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917677" w14:textId="05575C9D" w:rsidR="002D081B" w:rsidRPr="002150A4" w:rsidRDefault="004B49FD" w:rsidP="002D081B">
      <w:pPr>
        <w:spacing w:after="120"/>
        <w:rPr>
          <w:rFonts w:ascii="Arial Narrow" w:hAnsi="Arial Narrow" w:cs="Arial"/>
          <w:b/>
          <w:bCs/>
          <w:color w:val="E42618"/>
          <w:sz w:val="28"/>
          <w:szCs w:val="28"/>
        </w:rPr>
      </w:pPr>
      <w:bookmarkStart w:id="0" w:name="_GoBack"/>
      <w:bookmarkEnd w:id="0"/>
      <w:r>
        <w:rPr>
          <w:rFonts w:ascii="Arial Narrow" w:hAnsi="Arial Narrow" w:cs="Arial"/>
          <w:b/>
          <w:bCs/>
          <w:color w:val="E42618"/>
          <w:sz w:val="28"/>
          <w:szCs w:val="28"/>
        </w:rPr>
        <w:t>CONTI</w:t>
      </w:r>
      <w:r w:rsidRPr="00C72574">
        <w:rPr>
          <w:rFonts w:ascii="Arial Narrow" w:hAnsi="Arial Narrow" w:cs="Arial"/>
          <w:b/>
          <w:bCs/>
          <w:color w:val="E42618"/>
          <w:sz w:val="28"/>
          <w:szCs w:val="28"/>
        </w:rPr>
        <w:t xml:space="preserve"> ECONOMICI DELLE IMPRESE</w:t>
      </w:r>
      <w:r>
        <w:rPr>
          <w:rFonts w:ascii="Arial Narrow" w:hAnsi="Arial Narrow" w:cs="Arial"/>
          <w:b/>
          <w:bCs/>
          <w:color w:val="E42618"/>
          <w:sz w:val="28"/>
          <w:szCs w:val="28"/>
        </w:rPr>
        <w:t xml:space="preserve"> E DEI GRUPPI DI IMPRESA </w:t>
      </w:r>
      <w:r w:rsidRPr="00E27B91">
        <w:rPr>
          <w:rFonts w:ascii="Arial Narrow" w:hAnsi="Arial Narrow" w:cs="Arial"/>
          <w:b/>
          <w:bCs/>
          <w:color w:val="A6A6A6" w:themeColor="background1" w:themeShade="A6"/>
          <w:sz w:val="28"/>
          <w:szCs w:val="28"/>
        </w:rPr>
        <w:t>|</w:t>
      </w:r>
      <w:r w:rsidRPr="00D24B77">
        <w:rPr>
          <w:rFonts w:ascii="Arial Narrow" w:hAnsi="Arial Narrow" w:cs="Arial"/>
          <w:b/>
          <w:bCs/>
          <w:color w:val="1F497D" w:themeColor="text2"/>
          <w:sz w:val="28"/>
          <w:szCs w:val="28"/>
        </w:rPr>
        <w:t xml:space="preserve"> </w:t>
      </w:r>
      <w:r>
        <w:rPr>
          <w:rFonts w:ascii="Arial Narrow" w:hAnsi="Arial Narrow" w:cs="Arial"/>
          <w:b/>
          <w:bCs/>
          <w:color w:val="E42618"/>
          <w:sz w:val="28"/>
          <w:szCs w:val="28"/>
        </w:rPr>
        <w:t xml:space="preserve">ANNO </w:t>
      </w:r>
      <w:r w:rsidR="0013790F">
        <w:rPr>
          <w:rFonts w:ascii="Arial Narrow" w:hAnsi="Arial Narrow" w:cs="Arial"/>
          <w:b/>
          <w:bCs/>
          <w:color w:val="E42618"/>
          <w:sz w:val="28"/>
          <w:szCs w:val="28"/>
        </w:rPr>
        <w:t>202</w:t>
      </w:r>
      <w:r w:rsidR="00752884">
        <w:rPr>
          <w:rFonts w:ascii="Arial Narrow" w:hAnsi="Arial Narrow" w:cs="Arial"/>
          <w:b/>
          <w:bCs/>
          <w:color w:val="E42618"/>
          <w:sz w:val="28"/>
          <w:szCs w:val="28"/>
        </w:rPr>
        <w:t>4</w:t>
      </w:r>
    </w:p>
    <w:p w14:paraId="0F7A7DDD" w14:textId="77777777" w:rsidR="002D081B" w:rsidRPr="002150A4" w:rsidRDefault="002D081B" w:rsidP="002D081B">
      <w:pPr>
        <w:spacing w:after="120"/>
        <w:rPr>
          <w:rFonts w:ascii="Arial Narrow" w:hAnsi="Arial Narrow" w:cs="Arial"/>
          <w:color w:val="1F497D" w:themeColor="text2"/>
          <w:sz w:val="18"/>
          <w:szCs w:val="18"/>
        </w:rPr>
      </w:pPr>
    </w:p>
    <w:p w14:paraId="747FB22E" w14:textId="77777777" w:rsidR="00463C3D" w:rsidRDefault="00E15A7C" w:rsidP="00E902DE">
      <w:pPr>
        <w:tabs>
          <w:tab w:val="left" w:pos="851"/>
        </w:tabs>
        <w:autoSpaceDE w:val="0"/>
        <w:autoSpaceDN w:val="0"/>
        <w:adjustRightInd w:val="0"/>
        <w:spacing w:after="0" w:line="240" w:lineRule="auto"/>
        <w:rPr>
          <w:rFonts w:ascii="Georgia" w:hAnsi="Georgia" w:cs="Arial"/>
          <w:bCs/>
          <w:color w:val="1F497D" w:themeColor="text2"/>
          <w:sz w:val="48"/>
          <w:szCs w:val="48"/>
        </w:rPr>
      </w:pPr>
      <w:r w:rsidRPr="00E15A7C">
        <w:rPr>
          <w:rFonts w:ascii="Georgia" w:hAnsi="Georgia" w:cs="Arial"/>
          <w:bCs/>
          <w:color w:val="1F497D" w:themeColor="text2"/>
          <w:sz w:val="48"/>
          <w:szCs w:val="48"/>
        </w:rPr>
        <w:t>I Servizi guidano la crescita di imprese, occupazione</w:t>
      </w:r>
      <w:r w:rsidR="000C534E">
        <w:rPr>
          <w:rFonts w:ascii="Georgia" w:hAnsi="Georgia" w:cs="Arial"/>
          <w:bCs/>
          <w:color w:val="1F497D" w:themeColor="text2"/>
          <w:sz w:val="48"/>
          <w:szCs w:val="48"/>
        </w:rPr>
        <w:t xml:space="preserve"> e </w:t>
      </w:r>
      <w:r w:rsidRPr="00E15A7C">
        <w:rPr>
          <w:rFonts w:ascii="Georgia" w:hAnsi="Georgia" w:cs="Arial"/>
          <w:bCs/>
          <w:color w:val="1F497D" w:themeColor="text2"/>
          <w:sz w:val="48"/>
          <w:szCs w:val="48"/>
        </w:rPr>
        <w:t>valore aggiunto</w:t>
      </w:r>
      <w:r w:rsidR="000C534E">
        <w:rPr>
          <w:rFonts w:ascii="Georgia" w:hAnsi="Georgia" w:cs="Arial"/>
          <w:bCs/>
          <w:color w:val="1F497D" w:themeColor="text2"/>
          <w:sz w:val="48"/>
          <w:szCs w:val="48"/>
        </w:rPr>
        <w:t xml:space="preserve"> </w:t>
      </w:r>
    </w:p>
    <w:p w14:paraId="2B1D8FC3" w14:textId="50E8227B" w:rsidR="002D081B" w:rsidRPr="0068712E" w:rsidRDefault="00470FDD" w:rsidP="00E902DE">
      <w:pPr>
        <w:tabs>
          <w:tab w:val="left" w:pos="851"/>
        </w:tabs>
        <w:autoSpaceDE w:val="0"/>
        <w:autoSpaceDN w:val="0"/>
        <w:adjustRightInd w:val="0"/>
        <w:spacing w:after="0" w:line="240" w:lineRule="auto"/>
        <w:rPr>
          <w:rFonts w:ascii="Georgia" w:hAnsi="Georgia" w:cs="Arial"/>
          <w:bCs/>
          <w:color w:val="1F497D" w:themeColor="text2"/>
          <w:sz w:val="28"/>
          <w:szCs w:val="28"/>
        </w:rPr>
      </w:pPr>
      <w:r w:rsidRPr="0068712E">
        <w:rPr>
          <w:rFonts w:ascii="Georgia" w:hAnsi="Georgia" w:cs="Arial"/>
          <w:bCs/>
          <w:noProof/>
          <w:color w:val="1F497D" w:themeColor="text2"/>
          <w:sz w:val="48"/>
          <w:szCs w:val="48"/>
        </w:rPr>
        <mc:AlternateContent>
          <mc:Choice Requires="wps">
            <w:drawing>
              <wp:anchor distT="0" distB="0" distL="114300" distR="114300" simplePos="0" relativeHeight="251671552" behindDoc="0" locked="0" layoutInCell="1" allowOverlap="1" wp14:anchorId="154AD9FD" wp14:editId="50DCE69C">
                <wp:simplePos x="0" y="0"/>
                <wp:positionH relativeFrom="column">
                  <wp:posOffset>-554355</wp:posOffset>
                </wp:positionH>
                <wp:positionV relativeFrom="paragraph">
                  <wp:posOffset>142240</wp:posOffset>
                </wp:positionV>
                <wp:extent cx="438150" cy="381000"/>
                <wp:effectExtent l="12700" t="38100" r="31750" b="38100"/>
                <wp:wrapNone/>
                <wp:docPr id="21" name="Freccia a destra 21"/>
                <wp:cNvGraphicFramePr/>
                <a:graphic xmlns:a="http://schemas.openxmlformats.org/drawingml/2006/main">
                  <a:graphicData uri="http://schemas.microsoft.com/office/word/2010/wordprocessingShape">
                    <wps:wsp>
                      <wps:cNvSpPr/>
                      <wps:spPr>
                        <a:xfrm>
                          <a:off x="0" y="0"/>
                          <a:ext cx="438150" cy="381000"/>
                        </a:xfrm>
                        <a:prstGeom prst="rightArrow">
                          <a:avLst/>
                        </a:prstGeom>
                        <a:solidFill>
                          <a:srgbClr val="E42618"/>
                        </a:solidFill>
                        <a:ln>
                          <a:solidFill>
                            <a:srgbClr val="E4261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DC829F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21" o:spid="_x0000_s1026" type="#_x0000_t13" style="position:absolute;margin-left:-43.65pt;margin-top:11.2pt;width:34.5pt;height:30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" adj="12209" fillcolor="#e42618" strokecolor="#e42618" strokeweight="2pt"/>
            </w:pict>
          </mc:Fallback>
        </mc:AlternateContent>
      </w:r>
    </w:p>
    <w:p w14:paraId="08F82715" w14:textId="2767F96B" w:rsidR="0037386D" w:rsidRPr="0029188E" w:rsidRDefault="005E7148" w:rsidP="001C3C75">
      <w:pPr>
        <w:tabs>
          <w:tab w:val="left" w:pos="851"/>
        </w:tabs>
        <w:autoSpaceDE w:val="0"/>
        <w:autoSpaceDN w:val="0"/>
        <w:adjustRightInd w:val="0"/>
        <w:spacing w:line="264" w:lineRule="auto"/>
        <w:ind w:left="142"/>
        <w:jc w:val="both"/>
        <w:rPr>
          <w:rFonts w:ascii="Georgia" w:hAnsi="Georgia" w:cs="Arial"/>
          <w:bCs/>
          <w:color w:val="1F497D" w:themeColor="text2"/>
          <w:sz w:val="28"/>
          <w:szCs w:val="28"/>
        </w:rPr>
      </w:pPr>
      <w:r w:rsidRPr="0029188E">
        <w:rPr>
          <w:rFonts w:ascii="Georgia" w:hAnsi="Georgia" w:cs="Arial"/>
          <w:bCs/>
          <w:color w:val="1F497D" w:themeColor="text2"/>
          <w:sz w:val="28"/>
          <w:szCs w:val="28"/>
        </w:rPr>
        <w:t>Nel 202</w:t>
      </w:r>
      <w:r w:rsidR="00B045AC" w:rsidRPr="0029188E">
        <w:rPr>
          <w:rFonts w:ascii="Georgia" w:hAnsi="Georgia" w:cs="Arial"/>
          <w:bCs/>
          <w:color w:val="1F497D" w:themeColor="text2"/>
          <w:sz w:val="28"/>
          <w:szCs w:val="28"/>
        </w:rPr>
        <w:t>4</w:t>
      </w:r>
      <w:r w:rsidR="007C2473" w:rsidRPr="0029188E">
        <w:rPr>
          <w:rFonts w:ascii="Georgia" w:hAnsi="Georgia" w:cs="Arial"/>
          <w:bCs/>
          <w:color w:val="1F497D" w:themeColor="text2"/>
          <w:sz w:val="28"/>
          <w:szCs w:val="28"/>
        </w:rPr>
        <w:t>,</w:t>
      </w:r>
      <w:r w:rsidR="00B045AC" w:rsidRPr="0029188E">
        <w:rPr>
          <w:rFonts w:ascii="Georgia" w:hAnsi="Georgia" w:cs="Arial"/>
          <w:bCs/>
          <w:color w:val="1F497D" w:themeColor="text2"/>
          <w:sz w:val="28"/>
          <w:szCs w:val="28"/>
        </w:rPr>
        <w:t xml:space="preserve"> </w:t>
      </w:r>
      <w:r w:rsidR="00B472FB" w:rsidRPr="0029188E">
        <w:rPr>
          <w:rFonts w:ascii="Georgia" w:hAnsi="Georgia" w:cs="Arial"/>
          <w:bCs/>
          <w:color w:val="1F497D" w:themeColor="text2"/>
          <w:sz w:val="28"/>
          <w:szCs w:val="28"/>
        </w:rPr>
        <w:t>il numero di</w:t>
      </w:r>
      <w:r w:rsidR="00B045AC" w:rsidRPr="0029188E">
        <w:rPr>
          <w:rFonts w:ascii="Georgia" w:hAnsi="Georgia" w:cs="Arial"/>
          <w:bCs/>
          <w:color w:val="1F497D" w:themeColor="text2"/>
          <w:sz w:val="28"/>
          <w:szCs w:val="28"/>
        </w:rPr>
        <w:t xml:space="preserve"> imprese industriali e dei servizi cresc</w:t>
      </w:r>
      <w:r w:rsidR="00B472FB" w:rsidRPr="0029188E">
        <w:rPr>
          <w:rFonts w:ascii="Georgia" w:hAnsi="Georgia" w:cs="Arial"/>
          <w:bCs/>
          <w:color w:val="1F497D" w:themeColor="text2"/>
          <w:sz w:val="28"/>
          <w:szCs w:val="28"/>
        </w:rPr>
        <w:t>e</w:t>
      </w:r>
      <w:r w:rsidR="00B045AC" w:rsidRPr="0029188E">
        <w:rPr>
          <w:rFonts w:ascii="Georgia" w:hAnsi="Georgia" w:cs="Arial"/>
          <w:bCs/>
          <w:color w:val="1F497D" w:themeColor="text2"/>
          <w:sz w:val="28"/>
          <w:szCs w:val="28"/>
        </w:rPr>
        <w:t xml:space="preserve"> in misura contenuta</w:t>
      </w:r>
      <w:r w:rsidRPr="0029188E">
        <w:rPr>
          <w:rFonts w:ascii="Georgia" w:hAnsi="Georgia" w:cs="Arial"/>
          <w:bCs/>
          <w:color w:val="1F497D" w:themeColor="text2"/>
          <w:sz w:val="28"/>
          <w:szCs w:val="28"/>
        </w:rPr>
        <w:t xml:space="preserve"> </w:t>
      </w:r>
      <w:r w:rsidR="00B045AC" w:rsidRPr="0029188E">
        <w:rPr>
          <w:rFonts w:ascii="Georgia" w:hAnsi="Georgia" w:cs="Arial"/>
          <w:bCs/>
          <w:color w:val="1F497D" w:themeColor="text2"/>
          <w:sz w:val="28"/>
          <w:szCs w:val="28"/>
        </w:rPr>
        <w:t>(</w:t>
      </w:r>
      <w:r w:rsidRPr="0029188E">
        <w:rPr>
          <w:rFonts w:ascii="Georgia" w:hAnsi="Georgia" w:cs="Arial"/>
          <w:bCs/>
          <w:color w:val="1F497D" w:themeColor="text2"/>
          <w:sz w:val="28"/>
          <w:szCs w:val="28"/>
        </w:rPr>
        <w:t>+0,</w:t>
      </w:r>
      <w:r w:rsidR="00B045AC" w:rsidRPr="0029188E">
        <w:rPr>
          <w:rFonts w:ascii="Georgia" w:hAnsi="Georgia" w:cs="Arial"/>
          <w:bCs/>
          <w:color w:val="1F497D" w:themeColor="text2"/>
          <w:sz w:val="28"/>
          <w:szCs w:val="28"/>
        </w:rPr>
        <w:t>5</w:t>
      </w:r>
      <w:r w:rsidRPr="0029188E">
        <w:rPr>
          <w:rFonts w:ascii="Georgia" w:hAnsi="Georgia" w:cs="Arial"/>
          <w:bCs/>
          <w:color w:val="1F497D" w:themeColor="text2"/>
          <w:sz w:val="28"/>
          <w:szCs w:val="28"/>
        </w:rPr>
        <w:t>% rispetto all’anno precedente)</w:t>
      </w:r>
      <w:r w:rsidR="00B045AC" w:rsidRPr="0029188E">
        <w:rPr>
          <w:rFonts w:ascii="Georgia" w:hAnsi="Georgia" w:cs="Arial"/>
          <w:bCs/>
          <w:color w:val="1F497D" w:themeColor="text2"/>
          <w:sz w:val="28"/>
          <w:szCs w:val="28"/>
        </w:rPr>
        <w:t xml:space="preserve"> attestandosi a poco pi</w:t>
      </w:r>
      <w:r w:rsidR="00DC35D9" w:rsidRPr="0029188E">
        <w:rPr>
          <w:rFonts w:ascii="Georgia" w:hAnsi="Georgia" w:cs="Arial"/>
          <w:bCs/>
          <w:color w:val="1F497D" w:themeColor="text2"/>
          <w:sz w:val="28"/>
          <w:szCs w:val="28"/>
        </w:rPr>
        <w:t xml:space="preserve">ù di </w:t>
      </w:r>
      <w:r w:rsidR="00B045AC" w:rsidRPr="0029188E">
        <w:rPr>
          <w:rFonts w:ascii="Georgia" w:hAnsi="Georgia" w:cs="Arial"/>
          <w:bCs/>
          <w:color w:val="1F497D" w:themeColor="text2"/>
          <w:sz w:val="28"/>
          <w:szCs w:val="28"/>
        </w:rPr>
        <w:t>4</w:t>
      </w:r>
      <w:r w:rsidR="004B73F2">
        <w:rPr>
          <w:rFonts w:ascii="Georgia" w:hAnsi="Georgia" w:cs="Arial"/>
          <w:bCs/>
          <w:color w:val="1F497D" w:themeColor="text2"/>
          <w:sz w:val="28"/>
          <w:szCs w:val="28"/>
        </w:rPr>
        <w:t>,</w:t>
      </w:r>
      <w:r w:rsidR="00B045AC" w:rsidRPr="0029188E">
        <w:rPr>
          <w:rFonts w:ascii="Georgia" w:hAnsi="Georgia" w:cs="Arial"/>
          <w:bCs/>
          <w:color w:val="1F497D" w:themeColor="text2"/>
          <w:sz w:val="28"/>
          <w:szCs w:val="28"/>
        </w:rPr>
        <w:t>5</w:t>
      </w:r>
      <w:r w:rsidR="00DC35D9" w:rsidRPr="0029188E">
        <w:rPr>
          <w:rFonts w:ascii="Georgia" w:hAnsi="Georgia" w:cs="Arial"/>
          <w:bCs/>
          <w:color w:val="1F497D" w:themeColor="text2"/>
          <w:sz w:val="28"/>
          <w:szCs w:val="28"/>
        </w:rPr>
        <w:t xml:space="preserve"> </w:t>
      </w:r>
      <w:r w:rsidR="00B045AC" w:rsidRPr="0029188E">
        <w:rPr>
          <w:rFonts w:ascii="Georgia" w:hAnsi="Georgia" w:cs="Arial"/>
          <w:bCs/>
          <w:color w:val="1F497D" w:themeColor="text2"/>
          <w:sz w:val="28"/>
          <w:szCs w:val="28"/>
        </w:rPr>
        <w:t>mil</w:t>
      </w:r>
      <w:r w:rsidR="004B73F2">
        <w:rPr>
          <w:rFonts w:ascii="Georgia" w:hAnsi="Georgia" w:cs="Arial"/>
          <w:bCs/>
          <w:color w:val="1F497D" w:themeColor="text2"/>
          <w:sz w:val="28"/>
          <w:szCs w:val="28"/>
        </w:rPr>
        <w:t>ioni di</w:t>
      </w:r>
      <w:r w:rsidR="00393662">
        <w:rPr>
          <w:rFonts w:ascii="Georgia" w:hAnsi="Georgia" w:cs="Arial"/>
          <w:bCs/>
          <w:color w:val="1F497D" w:themeColor="text2"/>
          <w:sz w:val="28"/>
          <w:szCs w:val="28"/>
        </w:rPr>
        <w:t xml:space="preserve"> </w:t>
      </w:r>
      <w:r w:rsidR="00DC35D9" w:rsidRPr="0029188E">
        <w:rPr>
          <w:rFonts w:ascii="Georgia" w:hAnsi="Georgia" w:cs="Arial"/>
          <w:bCs/>
          <w:color w:val="1F497D" w:themeColor="text2"/>
          <w:sz w:val="28"/>
          <w:szCs w:val="28"/>
        </w:rPr>
        <w:t>unità</w:t>
      </w:r>
      <w:r w:rsidRPr="0029188E">
        <w:rPr>
          <w:rFonts w:ascii="Georgia" w:hAnsi="Georgia" w:cs="Arial"/>
          <w:bCs/>
          <w:color w:val="1F497D" w:themeColor="text2"/>
          <w:sz w:val="28"/>
          <w:szCs w:val="28"/>
        </w:rPr>
        <w:t xml:space="preserve">. </w:t>
      </w:r>
      <w:r w:rsidR="00B045AC" w:rsidRPr="0029188E">
        <w:rPr>
          <w:rFonts w:ascii="Georgia" w:hAnsi="Georgia" w:cs="Arial"/>
          <w:bCs/>
          <w:color w:val="1F497D" w:themeColor="text2"/>
          <w:sz w:val="28"/>
          <w:szCs w:val="28"/>
        </w:rPr>
        <w:t>Tale dinamica è determinata principalmente dai</w:t>
      </w:r>
      <w:r w:rsidR="00F50EAA" w:rsidRPr="0029188E">
        <w:rPr>
          <w:rFonts w:ascii="Georgia" w:hAnsi="Georgia" w:cs="Arial"/>
          <w:bCs/>
          <w:color w:val="1F497D" w:themeColor="text2"/>
          <w:sz w:val="28"/>
          <w:szCs w:val="28"/>
        </w:rPr>
        <w:t xml:space="preserve"> </w:t>
      </w:r>
      <w:r w:rsidR="00B045AC" w:rsidRPr="0029188E">
        <w:rPr>
          <w:rFonts w:ascii="Georgia" w:hAnsi="Georgia" w:cs="Arial"/>
          <w:bCs/>
          <w:color w:val="1F497D" w:themeColor="text2"/>
          <w:sz w:val="28"/>
          <w:szCs w:val="28"/>
        </w:rPr>
        <w:t>S</w:t>
      </w:r>
      <w:r w:rsidR="00F50EAA" w:rsidRPr="0029188E">
        <w:rPr>
          <w:rFonts w:ascii="Georgia" w:hAnsi="Georgia" w:cs="Arial"/>
          <w:bCs/>
          <w:color w:val="1F497D" w:themeColor="text2"/>
          <w:sz w:val="28"/>
          <w:szCs w:val="28"/>
        </w:rPr>
        <w:t xml:space="preserve">ervizi </w:t>
      </w:r>
      <w:r w:rsidR="00DC35D9" w:rsidRPr="0029188E">
        <w:rPr>
          <w:rFonts w:ascii="Georgia" w:hAnsi="Georgia" w:cs="Arial"/>
          <w:bCs/>
          <w:color w:val="1F497D" w:themeColor="text2"/>
          <w:sz w:val="28"/>
          <w:szCs w:val="28"/>
        </w:rPr>
        <w:t>(+0,8%)</w:t>
      </w:r>
      <w:r w:rsidR="001255CB">
        <w:rPr>
          <w:rFonts w:ascii="Georgia" w:hAnsi="Georgia" w:cs="Arial"/>
          <w:bCs/>
          <w:color w:val="1F497D" w:themeColor="text2"/>
          <w:sz w:val="28"/>
          <w:szCs w:val="28"/>
        </w:rPr>
        <w:t>.</w:t>
      </w:r>
      <w:r w:rsidR="00B05140" w:rsidRPr="0029188E">
        <w:rPr>
          <w:rFonts w:ascii="Georgia" w:hAnsi="Georgia" w:cs="Arial"/>
          <w:bCs/>
          <w:color w:val="1F497D" w:themeColor="text2"/>
          <w:sz w:val="28"/>
          <w:szCs w:val="28"/>
        </w:rPr>
        <w:t xml:space="preserve"> </w:t>
      </w:r>
    </w:p>
    <w:p w14:paraId="1A80A99C" w14:textId="38ABE0B9" w:rsidR="004641BA" w:rsidRDefault="00EA5AB5" w:rsidP="004641BA">
      <w:pPr>
        <w:tabs>
          <w:tab w:val="left" w:pos="851"/>
        </w:tabs>
        <w:autoSpaceDE w:val="0"/>
        <w:autoSpaceDN w:val="0"/>
        <w:adjustRightInd w:val="0"/>
        <w:spacing w:line="264" w:lineRule="auto"/>
        <w:ind w:left="142"/>
        <w:jc w:val="both"/>
        <w:rPr>
          <w:rFonts w:ascii="Georgia" w:hAnsi="Georgia" w:cs="Arial"/>
          <w:bCs/>
          <w:color w:val="1F497D" w:themeColor="text2"/>
          <w:sz w:val="28"/>
          <w:szCs w:val="28"/>
        </w:rPr>
      </w:pPr>
      <w:r w:rsidRPr="0029188E">
        <w:rPr>
          <w:rFonts w:ascii="Georgia" w:hAnsi="Georgia" w:cs="Arial"/>
          <w:bCs/>
          <w:color w:val="1F497D" w:themeColor="text2"/>
          <w:sz w:val="28"/>
          <w:szCs w:val="28"/>
        </w:rPr>
        <w:t xml:space="preserve">Il valore aggiunto </w:t>
      </w:r>
      <w:r w:rsidR="00DC35D9" w:rsidRPr="0029188E">
        <w:rPr>
          <w:rFonts w:ascii="Georgia" w:hAnsi="Georgia" w:cs="Arial"/>
          <w:bCs/>
          <w:color w:val="1F497D" w:themeColor="text2"/>
          <w:sz w:val="28"/>
          <w:szCs w:val="28"/>
        </w:rPr>
        <w:t>in termini nominali</w:t>
      </w:r>
      <w:r w:rsidR="00720E85">
        <w:rPr>
          <w:rFonts w:ascii="Georgia" w:hAnsi="Georgia" w:cs="Arial"/>
          <w:bCs/>
          <w:color w:val="1F497D" w:themeColor="text2"/>
          <w:sz w:val="28"/>
          <w:szCs w:val="28"/>
        </w:rPr>
        <w:t>, pari a oltre 1.100</w:t>
      </w:r>
      <w:r w:rsidR="00DC35D9" w:rsidRPr="0029188E">
        <w:rPr>
          <w:rFonts w:ascii="Georgia" w:hAnsi="Georgia" w:cs="Arial"/>
          <w:bCs/>
          <w:color w:val="1F497D" w:themeColor="text2"/>
          <w:sz w:val="28"/>
          <w:szCs w:val="28"/>
        </w:rPr>
        <w:t xml:space="preserve"> </w:t>
      </w:r>
      <w:r w:rsidR="00720E85">
        <w:rPr>
          <w:rFonts w:ascii="Georgia" w:hAnsi="Georgia" w:cs="Arial"/>
          <w:bCs/>
          <w:color w:val="1F497D" w:themeColor="text2"/>
          <w:sz w:val="28"/>
          <w:szCs w:val="28"/>
        </w:rPr>
        <w:t xml:space="preserve">miliardi nel 2024, </w:t>
      </w:r>
      <w:r w:rsidRPr="0029188E">
        <w:rPr>
          <w:rFonts w:ascii="Georgia" w:hAnsi="Georgia" w:cs="Arial"/>
          <w:bCs/>
          <w:color w:val="1F497D" w:themeColor="text2"/>
          <w:sz w:val="28"/>
          <w:szCs w:val="28"/>
        </w:rPr>
        <w:t xml:space="preserve">cresce del </w:t>
      </w:r>
      <w:r w:rsidR="00DC35D9" w:rsidRPr="0029188E">
        <w:rPr>
          <w:rFonts w:ascii="Georgia" w:hAnsi="Georgia" w:cs="Arial"/>
          <w:bCs/>
          <w:color w:val="1F497D" w:themeColor="text2"/>
          <w:sz w:val="28"/>
          <w:szCs w:val="28"/>
        </w:rPr>
        <w:t>2,5</w:t>
      </w:r>
      <w:r w:rsidRPr="0029188E">
        <w:rPr>
          <w:rFonts w:ascii="Georgia" w:hAnsi="Georgia" w:cs="Arial"/>
          <w:bCs/>
          <w:color w:val="1F497D" w:themeColor="text2"/>
          <w:sz w:val="28"/>
          <w:szCs w:val="28"/>
        </w:rPr>
        <w:t>%</w:t>
      </w:r>
      <w:r w:rsidR="00720E85">
        <w:rPr>
          <w:rFonts w:ascii="Georgia" w:hAnsi="Georgia" w:cs="Arial"/>
          <w:bCs/>
          <w:color w:val="1F497D" w:themeColor="text2"/>
          <w:sz w:val="28"/>
          <w:szCs w:val="28"/>
        </w:rPr>
        <w:t xml:space="preserve"> </w:t>
      </w:r>
      <w:r w:rsidR="00DC35D9" w:rsidRPr="0029188E">
        <w:rPr>
          <w:rFonts w:ascii="Georgia" w:hAnsi="Georgia" w:cs="Arial"/>
          <w:bCs/>
          <w:color w:val="1F497D" w:themeColor="text2"/>
          <w:sz w:val="28"/>
          <w:szCs w:val="28"/>
        </w:rPr>
        <w:t xml:space="preserve">sostenuto dai Servizi (+4,2%) e, in misura minore, </w:t>
      </w:r>
      <w:r w:rsidR="000B24CB" w:rsidRPr="0029188E">
        <w:rPr>
          <w:rFonts w:ascii="Georgia" w:hAnsi="Georgia" w:cs="Arial"/>
          <w:bCs/>
          <w:color w:val="1F497D" w:themeColor="text2"/>
          <w:sz w:val="28"/>
          <w:szCs w:val="28"/>
        </w:rPr>
        <w:t>dall’Industria in senso stretto (+0,6%)</w:t>
      </w:r>
      <w:r w:rsidR="00385B27" w:rsidRPr="0029188E">
        <w:rPr>
          <w:rFonts w:ascii="Georgia" w:hAnsi="Georgia" w:cs="Arial"/>
          <w:bCs/>
          <w:color w:val="1F497D" w:themeColor="text2"/>
          <w:sz w:val="28"/>
          <w:szCs w:val="28"/>
        </w:rPr>
        <w:t>; in calo il valore aggiunto delle Costruzioni (-0,5%)</w:t>
      </w:r>
      <w:r w:rsidR="000B24CB" w:rsidRPr="0029188E">
        <w:rPr>
          <w:rFonts w:ascii="Georgia" w:hAnsi="Georgia" w:cs="Arial"/>
          <w:bCs/>
          <w:color w:val="1F497D" w:themeColor="text2"/>
          <w:sz w:val="28"/>
          <w:szCs w:val="28"/>
        </w:rPr>
        <w:t>.</w:t>
      </w:r>
      <w:r w:rsidR="00385B27" w:rsidRPr="0029188E">
        <w:rPr>
          <w:rFonts w:ascii="Georgia" w:hAnsi="Georgia" w:cs="Arial"/>
          <w:bCs/>
          <w:color w:val="1F497D" w:themeColor="text2"/>
          <w:sz w:val="28"/>
          <w:szCs w:val="28"/>
        </w:rPr>
        <w:t xml:space="preserve"> </w:t>
      </w:r>
      <w:r w:rsidR="004641BA">
        <w:rPr>
          <w:rFonts w:ascii="Georgia" w:hAnsi="Georgia" w:cs="Arial"/>
          <w:bCs/>
          <w:color w:val="1F497D" w:themeColor="text2"/>
          <w:sz w:val="28"/>
          <w:szCs w:val="28"/>
        </w:rPr>
        <w:t>La crescita del valore aggiunto nei servizi è trainata da</w:t>
      </w:r>
      <w:r w:rsidR="00720E85">
        <w:rPr>
          <w:rFonts w:ascii="Georgia" w:hAnsi="Georgia" w:cs="Arial"/>
          <w:bCs/>
          <w:color w:val="1F497D" w:themeColor="text2"/>
          <w:sz w:val="28"/>
          <w:szCs w:val="28"/>
        </w:rPr>
        <w:t xml:space="preserve"> </w:t>
      </w:r>
      <w:r w:rsidR="004641BA" w:rsidRPr="004641BA">
        <w:rPr>
          <w:rFonts w:ascii="Georgia" w:hAnsi="Georgia" w:cs="Arial"/>
          <w:bCs/>
          <w:color w:val="1F497D" w:themeColor="text2"/>
          <w:sz w:val="28"/>
          <w:szCs w:val="28"/>
        </w:rPr>
        <w:t>Attività professionali, scientifiche e tecniche</w:t>
      </w:r>
      <w:r w:rsidR="00747D99">
        <w:rPr>
          <w:rFonts w:ascii="Georgia" w:hAnsi="Georgia" w:cs="Arial"/>
          <w:bCs/>
          <w:color w:val="1F497D" w:themeColor="text2"/>
          <w:sz w:val="28"/>
          <w:szCs w:val="28"/>
        </w:rPr>
        <w:t xml:space="preserve"> (+</w:t>
      </w:r>
      <w:r w:rsidR="004641BA" w:rsidRPr="004641BA">
        <w:rPr>
          <w:rFonts w:ascii="Georgia" w:hAnsi="Georgia" w:cs="Arial"/>
          <w:bCs/>
          <w:color w:val="1F497D" w:themeColor="text2"/>
          <w:sz w:val="28"/>
          <w:szCs w:val="28"/>
        </w:rPr>
        <w:t>0,9</w:t>
      </w:r>
      <w:r w:rsidR="00747D99">
        <w:rPr>
          <w:rFonts w:ascii="Georgia" w:hAnsi="Georgia" w:cs="Arial"/>
          <w:bCs/>
          <w:color w:val="1F497D" w:themeColor="text2"/>
          <w:sz w:val="28"/>
          <w:szCs w:val="28"/>
        </w:rPr>
        <w:t xml:space="preserve"> p.p.) e da </w:t>
      </w:r>
      <w:r w:rsidR="004641BA" w:rsidRPr="004641BA">
        <w:rPr>
          <w:rFonts w:ascii="Georgia" w:hAnsi="Georgia" w:cs="Arial"/>
          <w:bCs/>
          <w:color w:val="1F497D" w:themeColor="text2"/>
          <w:sz w:val="28"/>
          <w:szCs w:val="28"/>
        </w:rPr>
        <w:t>Attività dei servizi di alloggio e di ristorazione</w:t>
      </w:r>
      <w:r w:rsidR="00747D99">
        <w:rPr>
          <w:rFonts w:ascii="Georgia" w:hAnsi="Georgia" w:cs="Arial"/>
          <w:bCs/>
          <w:color w:val="1F497D" w:themeColor="text2"/>
          <w:sz w:val="28"/>
          <w:szCs w:val="28"/>
        </w:rPr>
        <w:t xml:space="preserve">, </w:t>
      </w:r>
      <w:r w:rsidR="004641BA" w:rsidRPr="004641BA">
        <w:rPr>
          <w:rFonts w:ascii="Georgia" w:hAnsi="Georgia" w:cs="Arial"/>
          <w:bCs/>
          <w:color w:val="1F497D" w:themeColor="text2"/>
          <w:sz w:val="28"/>
          <w:szCs w:val="28"/>
        </w:rPr>
        <w:t>Servizi di informazione e comunicazione</w:t>
      </w:r>
      <w:r w:rsidR="00720E85">
        <w:rPr>
          <w:rFonts w:ascii="Georgia" w:hAnsi="Georgia" w:cs="Arial"/>
          <w:bCs/>
          <w:color w:val="1F497D" w:themeColor="text2"/>
          <w:sz w:val="28"/>
          <w:szCs w:val="28"/>
        </w:rPr>
        <w:t xml:space="preserve"> e </w:t>
      </w:r>
      <w:r w:rsidR="004641BA" w:rsidRPr="004641BA">
        <w:rPr>
          <w:rFonts w:ascii="Georgia" w:hAnsi="Georgia" w:cs="Arial"/>
          <w:bCs/>
          <w:color w:val="1F497D" w:themeColor="text2"/>
          <w:sz w:val="28"/>
          <w:szCs w:val="28"/>
        </w:rPr>
        <w:t>Trasporto e magazzinaggio</w:t>
      </w:r>
      <w:r w:rsidR="00720E85">
        <w:rPr>
          <w:rFonts w:ascii="Georgia" w:hAnsi="Georgia" w:cs="Arial"/>
          <w:bCs/>
          <w:color w:val="1F497D" w:themeColor="text2"/>
          <w:sz w:val="28"/>
          <w:szCs w:val="28"/>
        </w:rPr>
        <w:t xml:space="preserve"> </w:t>
      </w:r>
      <w:r w:rsidR="00747D99">
        <w:rPr>
          <w:rFonts w:ascii="Georgia" w:hAnsi="Georgia" w:cs="Arial"/>
          <w:bCs/>
          <w:color w:val="1F497D" w:themeColor="text2"/>
          <w:sz w:val="28"/>
          <w:szCs w:val="28"/>
        </w:rPr>
        <w:t>(+</w:t>
      </w:r>
      <w:r w:rsidR="004641BA" w:rsidRPr="004641BA">
        <w:rPr>
          <w:rFonts w:ascii="Georgia" w:hAnsi="Georgia" w:cs="Arial"/>
          <w:bCs/>
          <w:color w:val="1F497D" w:themeColor="text2"/>
          <w:sz w:val="28"/>
          <w:szCs w:val="28"/>
        </w:rPr>
        <w:t>0,6</w:t>
      </w:r>
      <w:r w:rsidR="00747D99">
        <w:rPr>
          <w:rFonts w:ascii="Georgia" w:hAnsi="Georgia" w:cs="Arial"/>
          <w:bCs/>
          <w:color w:val="1F497D" w:themeColor="text2"/>
          <w:sz w:val="28"/>
          <w:szCs w:val="28"/>
        </w:rPr>
        <w:t xml:space="preserve"> p.p.</w:t>
      </w:r>
      <w:r w:rsidR="00720E85">
        <w:rPr>
          <w:rFonts w:ascii="Georgia" w:hAnsi="Georgia" w:cs="Arial"/>
          <w:bCs/>
          <w:color w:val="1F497D" w:themeColor="text2"/>
          <w:sz w:val="28"/>
          <w:szCs w:val="28"/>
        </w:rPr>
        <w:t xml:space="preserve"> ciascuno</w:t>
      </w:r>
      <w:r w:rsidR="00747D99">
        <w:rPr>
          <w:rFonts w:ascii="Georgia" w:hAnsi="Georgia" w:cs="Arial"/>
          <w:bCs/>
          <w:color w:val="1F497D" w:themeColor="text2"/>
          <w:sz w:val="28"/>
          <w:szCs w:val="28"/>
        </w:rPr>
        <w:t xml:space="preserve">). </w:t>
      </w:r>
    </w:p>
    <w:p w14:paraId="4E55C132" w14:textId="77777777" w:rsidR="00720E85" w:rsidRDefault="00385B27" w:rsidP="00720E85">
      <w:pPr>
        <w:tabs>
          <w:tab w:val="left" w:pos="851"/>
        </w:tabs>
        <w:autoSpaceDE w:val="0"/>
        <w:autoSpaceDN w:val="0"/>
        <w:adjustRightInd w:val="0"/>
        <w:spacing w:line="264" w:lineRule="auto"/>
        <w:ind w:left="142"/>
        <w:jc w:val="both"/>
        <w:rPr>
          <w:rFonts w:ascii="Georgia" w:hAnsi="Georgia" w:cs="Arial"/>
          <w:bCs/>
          <w:color w:val="1F497D" w:themeColor="text2"/>
          <w:sz w:val="28"/>
          <w:szCs w:val="28"/>
        </w:rPr>
      </w:pPr>
      <w:r w:rsidRPr="0029188E">
        <w:rPr>
          <w:rFonts w:ascii="Georgia" w:hAnsi="Georgia" w:cs="Arial"/>
          <w:bCs/>
          <w:color w:val="1F497D" w:themeColor="text2"/>
          <w:sz w:val="28"/>
          <w:szCs w:val="28"/>
        </w:rPr>
        <w:t xml:space="preserve">L’incremento </w:t>
      </w:r>
      <w:r w:rsidR="006C78C5">
        <w:rPr>
          <w:rFonts w:ascii="Georgia" w:hAnsi="Georgia" w:cs="Arial"/>
          <w:bCs/>
          <w:color w:val="1F497D" w:themeColor="text2"/>
          <w:sz w:val="28"/>
          <w:szCs w:val="28"/>
        </w:rPr>
        <w:t xml:space="preserve">complessivo </w:t>
      </w:r>
      <w:r w:rsidRPr="0029188E">
        <w:rPr>
          <w:rFonts w:ascii="Georgia" w:hAnsi="Georgia" w:cs="Arial"/>
          <w:bCs/>
          <w:color w:val="1F497D" w:themeColor="text2"/>
          <w:sz w:val="28"/>
          <w:szCs w:val="28"/>
        </w:rPr>
        <w:t>dell’occupazione</w:t>
      </w:r>
      <w:r w:rsidR="00A115B3" w:rsidRPr="0029188E">
        <w:rPr>
          <w:rFonts w:ascii="Georgia" w:hAnsi="Georgia" w:cs="Arial"/>
          <w:bCs/>
          <w:color w:val="1F497D" w:themeColor="text2"/>
          <w:sz w:val="28"/>
          <w:szCs w:val="28"/>
        </w:rPr>
        <w:t xml:space="preserve"> è del</w:t>
      </w:r>
      <w:r w:rsidR="00B472FB" w:rsidRPr="0029188E">
        <w:rPr>
          <w:rFonts w:ascii="Georgia" w:hAnsi="Georgia" w:cs="Arial"/>
          <w:bCs/>
          <w:color w:val="1F497D" w:themeColor="text2"/>
          <w:sz w:val="28"/>
          <w:szCs w:val="28"/>
        </w:rPr>
        <w:t>l’1</w:t>
      </w:r>
      <w:r w:rsidR="00A115B3" w:rsidRPr="0029188E">
        <w:rPr>
          <w:rFonts w:ascii="Georgia" w:hAnsi="Georgia" w:cs="Arial"/>
          <w:bCs/>
          <w:color w:val="1F497D" w:themeColor="text2"/>
          <w:sz w:val="28"/>
          <w:szCs w:val="28"/>
        </w:rPr>
        <w:t>,</w:t>
      </w:r>
      <w:r w:rsidR="00B472FB" w:rsidRPr="0029188E">
        <w:rPr>
          <w:rFonts w:ascii="Georgia" w:hAnsi="Georgia" w:cs="Arial"/>
          <w:bCs/>
          <w:color w:val="1F497D" w:themeColor="text2"/>
          <w:sz w:val="28"/>
          <w:szCs w:val="28"/>
        </w:rPr>
        <w:t>1</w:t>
      </w:r>
      <w:r w:rsidR="00A115B3" w:rsidRPr="0029188E">
        <w:rPr>
          <w:rFonts w:ascii="Georgia" w:hAnsi="Georgia" w:cs="Arial"/>
          <w:bCs/>
          <w:color w:val="1F497D" w:themeColor="text2"/>
          <w:sz w:val="28"/>
          <w:szCs w:val="28"/>
        </w:rPr>
        <w:t>%</w:t>
      </w:r>
      <w:bookmarkStart w:id="1" w:name="_Hlk210809977"/>
      <w:r w:rsidR="006C78C5">
        <w:rPr>
          <w:rFonts w:ascii="Georgia" w:hAnsi="Georgia" w:cs="Arial"/>
          <w:bCs/>
          <w:color w:val="1F497D" w:themeColor="text2"/>
          <w:sz w:val="28"/>
          <w:szCs w:val="28"/>
        </w:rPr>
        <w:t xml:space="preserve">, </w:t>
      </w:r>
      <w:r w:rsidR="001255CB">
        <w:rPr>
          <w:rFonts w:ascii="Georgia" w:hAnsi="Georgia" w:cs="Arial"/>
          <w:bCs/>
          <w:color w:val="1F497D" w:themeColor="text2"/>
          <w:sz w:val="28"/>
          <w:szCs w:val="28"/>
        </w:rPr>
        <w:t>su</w:t>
      </w:r>
      <w:r w:rsidR="00642FB4">
        <w:rPr>
          <w:rFonts w:ascii="Georgia" w:hAnsi="Georgia" w:cs="Arial"/>
          <w:bCs/>
          <w:color w:val="1F497D" w:themeColor="text2"/>
          <w:sz w:val="28"/>
          <w:szCs w:val="28"/>
        </w:rPr>
        <w:t xml:space="preserve">periore alla media </w:t>
      </w:r>
      <w:r w:rsidR="006C78C5">
        <w:rPr>
          <w:rFonts w:ascii="Georgia" w:hAnsi="Georgia" w:cs="Arial"/>
          <w:bCs/>
          <w:color w:val="1F497D" w:themeColor="text2"/>
          <w:sz w:val="28"/>
          <w:szCs w:val="28"/>
        </w:rPr>
        <w:t xml:space="preserve">nei </w:t>
      </w:r>
      <w:r w:rsidR="006C78C5" w:rsidRPr="00642FB4">
        <w:rPr>
          <w:rFonts w:ascii="Georgia" w:hAnsi="Georgia" w:cs="Arial"/>
          <w:bCs/>
          <w:color w:val="1F497D" w:themeColor="text2"/>
          <w:sz w:val="28"/>
          <w:szCs w:val="28"/>
        </w:rPr>
        <w:t>servizi (+</w:t>
      </w:r>
      <w:r w:rsidR="00642FB4" w:rsidRPr="00147645">
        <w:rPr>
          <w:rFonts w:ascii="Georgia" w:hAnsi="Georgia" w:cs="Arial"/>
          <w:bCs/>
          <w:color w:val="1F497D" w:themeColor="text2"/>
          <w:sz w:val="28"/>
          <w:szCs w:val="28"/>
        </w:rPr>
        <w:t>1</w:t>
      </w:r>
      <w:r w:rsidR="006C78C5" w:rsidRPr="00642FB4">
        <w:rPr>
          <w:rFonts w:ascii="Georgia" w:hAnsi="Georgia" w:cs="Arial"/>
          <w:bCs/>
          <w:color w:val="1F497D" w:themeColor="text2"/>
          <w:sz w:val="28"/>
          <w:szCs w:val="28"/>
        </w:rPr>
        <w:t>,</w:t>
      </w:r>
      <w:r w:rsidR="00642FB4" w:rsidRPr="00147645">
        <w:rPr>
          <w:rFonts w:ascii="Georgia" w:hAnsi="Georgia" w:cs="Arial"/>
          <w:bCs/>
          <w:color w:val="1F497D" w:themeColor="text2"/>
          <w:sz w:val="28"/>
          <w:szCs w:val="28"/>
        </w:rPr>
        <w:t>3</w:t>
      </w:r>
      <w:r w:rsidR="006C78C5" w:rsidRPr="00642FB4">
        <w:rPr>
          <w:rFonts w:ascii="Georgia" w:hAnsi="Georgia" w:cs="Arial"/>
          <w:bCs/>
          <w:color w:val="1F497D" w:themeColor="text2"/>
          <w:sz w:val="28"/>
          <w:szCs w:val="28"/>
        </w:rPr>
        <w:t>%)</w:t>
      </w:r>
      <w:r w:rsidR="00642FB4">
        <w:rPr>
          <w:rFonts w:ascii="Georgia" w:hAnsi="Georgia" w:cs="Arial"/>
          <w:bCs/>
          <w:color w:val="1F497D" w:themeColor="text2"/>
          <w:sz w:val="28"/>
          <w:szCs w:val="28"/>
        </w:rPr>
        <w:t xml:space="preserve"> e più elevato per le grandi (3,8%) e medie (2,5%) imprese</w:t>
      </w:r>
      <w:r w:rsidR="00A115B3" w:rsidRPr="00642FB4">
        <w:rPr>
          <w:rFonts w:ascii="Georgia" w:hAnsi="Georgia" w:cs="Arial"/>
          <w:bCs/>
          <w:color w:val="1F497D" w:themeColor="text2"/>
          <w:sz w:val="28"/>
          <w:szCs w:val="28"/>
        </w:rPr>
        <w:t>.</w:t>
      </w:r>
      <w:r w:rsidR="00A115B3" w:rsidRPr="0029188E">
        <w:rPr>
          <w:rFonts w:ascii="Georgia" w:hAnsi="Georgia" w:cs="Arial"/>
          <w:bCs/>
          <w:color w:val="1F497D" w:themeColor="text2"/>
          <w:sz w:val="28"/>
          <w:szCs w:val="28"/>
        </w:rPr>
        <w:t xml:space="preserve"> </w:t>
      </w:r>
      <w:bookmarkEnd w:id="1"/>
    </w:p>
    <w:p w14:paraId="3B5D8DF1" w14:textId="68320D60" w:rsidR="004456CF" w:rsidRPr="00465935" w:rsidRDefault="005E7148" w:rsidP="00720E85">
      <w:pPr>
        <w:tabs>
          <w:tab w:val="left" w:pos="851"/>
        </w:tabs>
        <w:autoSpaceDE w:val="0"/>
        <w:autoSpaceDN w:val="0"/>
        <w:adjustRightInd w:val="0"/>
        <w:spacing w:line="264" w:lineRule="auto"/>
        <w:ind w:left="142"/>
        <w:jc w:val="both"/>
        <w:rPr>
          <w:rFonts w:ascii="Georgia" w:hAnsi="Georgia" w:cs="Arial"/>
          <w:bCs/>
          <w:color w:val="1F497D" w:themeColor="text2"/>
          <w:sz w:val="20"/>
          <w:szCs w:val="28"/>
        </w:rPr>
      </w:pPr>
      <w:r w:rsidRPr="0029188E">
        <w:rPr>
          <w:rFonts w:ascii="Georgia" w:hAnsi="Georgia" w:cs="Arial"/>
          <w:bCs/>
          <w:color w:val="1F497D" w:themeColor="text2"/>
          <w:sz w:val="28"/>
          <w:szCs w:val="28"/>
        </w:rPr>
        <w:t xml:space="preserve">Le imprese organizzate in gruppi (poco più di </w:t>
      </w:r>
      <w:r w:rsidR="000B4CF4" w:rsidRPr="0029188E">
        <w:rPr>
          <w:rFonts w:ascii="Georgia" w:hAnsi="Georgia" w:cs="Arial"/>
          <w:bCs/>
          <w:color w:val="1F497D" w:themeColor="text2"/>
          <w:sz w:val="28"/>
          <w:szCs w:val="28"/>
        </w:rPr>
        <w:t>200</w:t>
      </w:r>
      <w:r w:rsidRPr="0029188E">
        <w:rPr>
          <w:rFonts w:ascii="Georgia" w:hAnsi="Georgia" w:cs="Arial"/>
          <w:bCs/>
          <w:color w:val="1F497D" w:themeColor="text2"/>
          <w:sz w:val="28"/>
          <w:szCs w:val="28"/>
        </w:rPr>
        <w:t xml:space="preserve">mila imprese) </w:t>
      </w:r>
      <w:r w:rsidR="000B4CF4" w:rsidRPr="0029188E">
        <w:rPr>
          <w:rFonts w:ascii="Georgia" w:hAnsi="Georgia" w:cs="Arial"/>
          <w:bCs/>
          <w:color w:val="1F497D" w:themeColor="text2"/>
          <w:sz w:val="28"/>
          <w:szCs w:val="28"/>
        </w:rPr>
        <w:t>crescono</w:t>
      </w:r>
      <w:r w:rsidR="00B80DFE">
        <w:rPr>
          <w:rFonts w:ascii="Georgia" w:hAnsi="Georgia" w:cs="Arial"/>
          <w:bCs/>
          <w:color w:val="1F497D" w:themeColor="text2"/>
          <w:sz w:val="28"/>
          <w:szCs w:val="28"/>
        </w:rPr>
        <w:t>, in termini di numerosità,</w:t>
      </w:r>
      <w:r w:rsidR="000B4CF4" w:rsidRPr="0029188E">
        <w:rPr>
          <w:rFonts w:ascii="Georgia" w:hAnsi="Georgia" w:cs="Arial"/>
          <w:bCs/>
          <w:color w:val="1F497D" w:themeColor="text2"/>
          <w:sz w:val="28"/>
          <w:szCs w:val="28"/>
        </w:rPr>
        <w:t xml:space="preserve"> del 4,8% e </w:t>
      </w:r>
      <w:r w:rsidRPr="0029188E">
        <w:rPr>
          <w:rFonts w:ascii="Georgia" w:hAnsi="Georgia" w:cs="Arial"/>
          <w:bCs/>
          <w:color w:val="1F497D" w:themeColor="text2"/>
          <w:sz w:val="28"/>
          <w:szCs w:val="28"/>
        </w:rPr>
        <w:t xml:space="preserve">generano </w:t>
      </w:r>
      <w:r w:rsidRPr="009946F5">
        <w:rPr>
          <w:rFonts w:ascii="Georgia" w:hAnsi="Georgia" w:cs="Arial"/>
          <w:bCs/>
          <w:color w:val="1F497D" w:themeColor="text2"/>
          <w:sz w:val="28"/>
          <w:szCs w:val="28"/>
        </w:rPr>
        <w:t>il 6</w:t>
      </w:r>
      <w:r w:rsidR="000B4CF4" w:rsidRPr="009946F5">
        <w:rPr>
          <w:rFonts w:ascii="Georgia" w:hAnsi="Georgia" w:cs="Arial"/>
          <w:bCs/>
          <w:color w:val="1F497D" w:themeColor="text2"/>
          <w:sz w:val="28"/>
          <w:szCs w:val="28"/>
        </w:rPr>
        <w:t>6</w:t>
      </w:r>
      <w:r w:rsidRPr="009946F5">
        <w:rPr>
          <w:rFonts w:ascii="Georgia" w:hAnsi="Georgia" w:cs="Arial"/>
          <w:bCs/>
          <w:color w:val="1F497D" w:themeColor="text2"/>
          <w:sz w:val="28"/>
          <w:szCs w:val="28"/>
        </w:rPr>
        <w:t>,</w:t>
      </w:r>
      <w:r w:rsidR="000B4CF4" w:rsidRPr="009946F5">
        <w:rPr>
          <w:rFonts w:ascii="Georgia" w:hAnsi="Georgia" w:cs="Arial"/>
          <w:bCs/>
          <w:color w:val="1F497D" w:themeColor="text2"/>
          <w:sz w:val="28"/>
          <w:szCs w:val="28"/>
        </w:rPr>
        <w:t>4</w:t>
      </w:r>
      <w:r w:rsidRPr="009946F5">
        <w:rPr>
          <w:rFonts w:ascii="Georgia" w:hAnsi="Georgia" w:cs="Arial"/>
          <w:bCs/>
          <w:color w:val="1F497D" w:themeColor="text2"/>
          <w:sz w:val="28"/>
          <w:szCs w:val="28"/>
        </w:rPr>
        <w:t>%</w:t>
      </w:r>
      <w:r w:rsidRPr="0029188E">
        <w:rPr>
          <w:rFonts w:ascii="Georgia" w:hAnsi="Georgia" w:cs="Arial"/>
          <w:bCs/>
          <w:color w:val="1F497D" w:themeColor="text2"/>
          <w:sz w:val="28"/>
          <w:szCs w:val="28"/>
        </w:rPr>
        <w:t xml:space="preserve"> del </w:t>
      </w:r>
      <w:r w:rsidR="00147645" w:rsidRPr="0029188E">
        <w:rPr>
          <w:rFonts w:ascii="Georgia" w:hAnsi="Georgia" w:cs="Arial"/>
          <w:bCs/>
          <w:color w:val="1F497D" w:themeColor="text2"/>
          <w:sz w:val="28"/>
          <w:szCs w:val="28"/>
        </w:rPr>
        <w:t>fatturato e</w:t>
      </w:r>
      <w:r w:rsidRPr="0029188E">
        <w:rPr>
          <w:rFonts w:ascii="Georgia" w:hAnsi="Georgia" w:cs="Arial"/>
          <w:bCs/>
          <w:color w:val="1F497D" w:themeColor="text2"/>
          <w:sz w:val="28"/>
          <w:szCs w:val="28"/>
        </w:rPr>
        <w:t xml:space="preserve"> il 5</w:t>
      </w:r>
      <w:r w:rsidR="000B4CF4" w:rsidRPr="0029188E">
        <w:rPr>
          <w:rFonts w:ascii="Georgia" w:hAnsi="Georgia" w:cs="Arial"/>
          <w:bCs/>
          <w:color w:val="1F497D" w:themeColor="text2"/>
          <w:sz w:val="28"/>
          <w:szCs w:val="28"/>
        </w:rPr>
        <w:t>8</w:t>
      </w:r>
      <w:r w:rsidRPr="0029188E">
        <w:rPr>
          <w:rFonts w:ascii="Georgia" w:hAnsi="Georgia" w:cs="Arial"/>
          <w:bCs/>
          <w:color w:val="1F497D" w:themeColor="text2"/>
          <w:sz w:val="28"/>
          <w:szCs w:val="28"/>
        </w:rPr>
        <w:t>,</w:t>
      </w:r>
      <w:r w:rsidR="000B4CF4" w:rsidRPr="0029188E">
        <w:rPr>
          <w:rFonts w:ascii="Georgia" w:hAnsi="Georgia" w:cs="Arial"/>
          <w:bCs/>
          <w:color w:val="1F497D" w:themeColor="text2"/>
          <w:sz w:val="28"/>
          <w:szCs w:val="28"/>
        </w:rPr>
        <w:t>7</w:t>
      </w:r>
      <w:r w:rsidRPr="0029188E">
        <w:rPr>
          <w:rFonts w:ascii="Georgia" w:hAnsi="Georgia" w:cs="Arial"/>
          <w:bCs/>
          <w:color w:val="1F497D" w:themeColor="text2"/>
          <w:sz w:val="28"/>
          <w:szCs w:val="28"/>
        </w:rPr>
        <w:t>% del valore aggiunto</w:t>
      </w:r>
      <w:r w:rsidR="00810C99" w:rsidRPr="0029188E">
        <w:rPr>
          <w:rFonts w:ascii="Georgia" w:hAnsi="Georgia" w:cs="Arial"/>
          <w:bCs/>
          <w:color w:val="1F497D" w:themeColor="text2"/>
          <w:sz w:val="28"/>
          <w:szCs w:val="28"/>
        </w:rPr>
        <w:t xml:space="preserve"> dell’industria e dei servizi</w:t>
      </w:r>
      <w:r w:rsidRPr="0029188E">
        <w:rPr>
          <w:rFonts w:ascii="Georgia" w:hAnsi="Georgia" w:cs="Arial"/>
          <w:bCs/>
          <w:color w:val="1F497D" w:themeColor="text2"/>
          <w:sz w:val="28"/>
          <w:szCs w:val="28"/>
        </w:rPr>
        <w:t>.</w:t>
      </w:r>
      <w:r>
        <w:rPr>
          <w:rFonts w:ascii="Georgia" w:hAnsi="Georgia" w:cs="Arial"/>
          <w:bCs/>
          <w:color w:val="1F497D" w:themeColor="text2"/>
          <w:sz w:val="28"/>
          <w:szCs w:val="28"/>
        </w:rPr>
        <w:t xml:space="preserve"> </w:t>
      </w:r>
    </w:p>
    <w:tbl>
      <w:tblPr>
        <w:tblStyle w:val="Grigliatabella"/>
        <w:tblpPr w:leftFromText="141" w:rightFromText="141" w:vertAnchor="text" w:horzAnchor="margin" w:tblpXSpec="center" w:tblpY="78"/>
        <w:tblW w:w="11897" w:type="dxa"/>
        <w:tblBorders>
          <w:top w:val="none" w:sz="0" w:space="0" w:color="auto"/>
          <w:left w:val="single" w:sz="8" w:space="0" w:color="FFFFFF" w:themeColor="background1"/>
          <w:bottom w:val="single" w:sz="8" w:space="0" w:color="FFFFFF" w:themeColor="background1"/>
          <w:right w:val="single" w:sz="8" w:space="0" w:color="FFFFFF" w:themeColor="background1"/>
          <w:insideH w:val="none" w:sz="0" w:space="0" w:color="auto"/>
          <w:insideV w:val="single" w:sz="8" w:space="0" w:color="FFFFFF" w:themeColor="background1"/>
        </w:tblBorders>
        <w:tblLayout w:type="fixed"/>
        <w:tblCellMar>
          <w:left w:w="113" w:type="dxa"/>
          <w:right w:w="113" w:type="dxa"/>
        </w:tblCellMar>
        <w:tblLook w:val="04A0" w:firstRow="1" w:lastRow="0" w:firstColumn="1" w:lastColumn="0" w:noHBand="0" w:noVBand="1"/>
      </w:tblPr>
      <w:tblGrid>
        <w:gridCol w:w="3828"/>
        <w:gridCol w:w="3828"/>
        <w:gridCol w:w="4241"/>
      </w:tblGrid>
      <w:tr w:rsidR="0013790F" w:rsidRPr="00C12CCE" w14:paraId="7F73B745" w14:textId="77777777" w:rsidTr="00086381">
        <w:trPr>
          <w:trHeight w:val="2415"/>
        </w:trPr>
        <w:tc>
          <w:tcPr>
            <w:tcW w:w="3828" w:type="dxa"/>
            <w:tcBorders>
              <w:top w:val="nil"/>
              <w:right w:val="single" w:sz="12" w:space="0" w:color="FFFFFF" w:themeColor="background1"/>
            </w:tcBorders>
            <w:shd w:val="clear" w:color="auto" w:fill="D9D9D9" w:themeFill="background1" w:themeFillShade="D9"/>
          </w:tcPr>
          <w:p w14:paraId="207D8107" w14:textId="5E5C5F53" w:rsidR="0013790F" w:rsidRPr="0029188E" w:rsidRDefault="00016731" w:rsidP="00B03D49">
            <w:pPr>
              <w:tabs>
                <w:tab w:val="left" w:pos="164"/>
                <w:tab w:val="left" w:pos="306"/>
              </w:tabs>
              <w:autoSpaceDE w:val="0"/>
              <w:autoSpaceDN w:val="0"/>
              <w:adjustRightInd w:val="0"/>
              <w:ind w:left="164"/>
              <w:rPr>
                <w:rFonts w:ascii="Georgia" w:hAnsi="Georgia" w:cs="Arial"/>
                <w:bCs/>
                <w:color w:val="E42618"/>
                <w:sz w:val="88"/>
                <w:szCs w:val="88"/>
              </w:rPr>
            </w:pPr>
            <w:r w:rsidRPr="0029188E">
              <w:rPr>
                <w:rFonts w:ascii="Georgia" w:hAnsi="Georgia" w:cs="Arial"/>
                <w:bCs/>
                <w:color w:val="E42618"/>
                <w:sz w:val="88"/>
                <w:szCs w:val="88"/>
              </w:rPr>
              <w:t>+</w:t>
            </w:r>
            <w:r w:rsidR="00BD4B75" w:rsidRPr="0029188E">
              <w:rPr>
                <w:rFonts w:ascii="Georgia" w:hAnsi="Georgia" w:cs="Arial"/>
                <w:bCs/>
                <w:color w:val="E42618"/>
                <w:sz w:val="88"/>
                <w:szCs w:val="88"/>
              </w:rPr>
              <w:t>2</w:t>
            </w:r>
            <w:r w:rsidR="0013790F" w:rsidRPr="0029188E">
              <w:rPr>
                <w:rFonts w:ascii="Georgia" w:hAnsi="Georgia" w:cs="Arial"/>
                <w:bCs/>
                <w:color w:val="E42618"/>
                <w:sz w:val="88"/>
                <w:szCs w:val="88"/>
              </w:rPr>
              <w:t>,</w:t>
            </w:r>
            <w:r w:rsidR="00BD4B75" w:rsidRPr="0029188E">
              <w:rPr>
                <w:rFonts w:ascii="Georgia" w:hAnsi="Georgia" w:cs="Arial"/>
                <w:bCs/>
                <w:color w:val="E42618"/>
                <w:sz w:val="88"/>
                <w:szCs w:val="88"/>
              </w:rPr>
              <w:t>5</w:t>
            </w:r>
            <w:r w:rsidR="0013790F" w:rsidRPr="0029188E">
              <w:rPr>
                <w:rFonts w:ascii="Georgia" w:hAnsi="Georgia" w:cs="Arial"/>
                <w:bCs/>
                <w:color w:val="E42618"/>
                <w:sz w:val="88"/>
                <w:szCs w:val="88"/>
              </w:rPr>
              <w:t>%</w:t>
            </w:r>
          </w:p>
          <w:p w14:paraId="09CBAC02" w14:textId="5DC81F1C" w:rsidR="0013790F" w:rsidRPr="0029188E" w:rsidRDefault="0013790F" w:rsidP="00465935">
            <w:pPr>
              <w:tabs>
                <w:tab w:val="left" w:pos="164"/>
                <w:tab w:val="left" w:pos="306"/>
              </w:tabs>
              <w:autoSpaceDE w:val="0"/>
              <w:autoSpaceDN w:val="0"/>
              <w:adjustRightInd w:val="0"/>
              <w:spacing w:after="0" w:line="240" w:lineRule="auto"/>
              <w:ind w:left="164"/>
              <w:rPr>
                <w:rFonts w:ascii="Georgia" w:hAnsi="Georgia" w:cs="Arial"/>
                <w:b/>
                <w:bCs/>
                <w:color w:val="E42618"/>
                <w:sz w:val="26"/>
                <w:szCs w:val="26"/>
              </w:rPr>
            </w:pPr>
            <w:r w:rsidRPr="0029188E">
              <w:rPr>
                <w:rFonts w:ascii="Georgia" w:hAnsi="Georgia" w:cs="Arial"/>
                <w:b/>
                <w:bCs/>
                <w:color w:val="E42618"/>
                <w:sz w:val="26"/>
                <w:szCs w:val="26"/>
              </w:rPr>
              <w:t>La crescita de</w:t>
            </w:r>
            <w:r w:rsidR="008009F3" w:rsidRPr="0029188E">
              <w:rPr>
                <w:rFonts w:ascii="Georgia" w:hAnsi="Georgia" w:cs="Arial"/>
                <w:b/>
                <w:bCs/>
                <w:color w:val="E42618"/>
                <w:sz w:val="26"/>
                <w:szCs w:val="26"/>
              </w:rPr>
              <w:t>l</w:t>
            </w:r>
            <w:r w:rsidR="002130DB" w:rsidRPr="0029188E">
              <w:rPr>
                <w:rFonts w:ascii="Georgia" w:hAnsi="Georgia" w:cs="Arial"/>
                <w:b/>
                <w:bCs/>
                <w:color w:val="E42618"/>
                <w:sz w:val="26"/>
                <w:szCs w:val="26"/>
              </w:rPr>
              <w:t xml:space="preserve">l’occupazione dipendente </w:t>
            </w:r>
            <w:r w:rsidR="008009F3" w:rsidRPr="0029188E">
              <w:rPr>
                <w:rFonts w:ascii="Georgia" w:hAnsi="Georgia" w:cs="Arial"/>
                <w:b/>
                <w:bCs/>
                <w:color w:val="E42618"/>
                <w:sz w:val="26"/>
                <w:szCs w:val="26"/>
              </w:rPr>
              <w:t>sul 202</w:t>
            </w:r>
            <w:r w:rsidR="00BD4B75" w:rsidRPr="0029188E">
              <w:rPr>
                <w:rFonts w:ascii="Georgia" w:hAnsi="Georgia" w:cs="Arial"/>
                <w:b/>
                <w:bCs/>
                <w:color w:val="E42618"/>
                <w:sz w:val="26"/>
                <w:szCs w:val="26"/>
              </w:rPr>
              <w:t>3</w:t>
            </w:r>
          </w:p>
          <w:p w14:paraId="5B82F05E" w14:textId="77777777" w:rsidR="000579AE" w:rsidRPr="0029188E" w:rsidRDefault="000579AE" w:rsidP="00465935">
            <w:pPr>
              <w:tabs>
                <w:tab w:val="left" w:pos="164"/>
                <w:tab w:val="left" w:pos="306"/>
              </w:tabs>
              <w:autoSpaceDE w:val="0"/>
              <w:autoSpaceDN w:val="0"/>
              <w:adjustRightInd w:val="0"/>
              <w:spacing w:after="0" w:line="240" w:lineRule="auto"/>
              <w:ind w:left="164"/>
              <w:rPr>
                <w:rFonts w:ascii="Georgia" w:hAnsi="Georgia" w:cs="Arial"/>
                <w:b/>
                <w:bCs/>
                <w:color w:val="E42618"/>
                <w:sz w:val="26"/>
                <w:szCs w:val="26"/>
              </w:rPr>
            </w:pPr>
          </w:p>
          <w:p w14:paraId="405D40EF" w14:textId="115F80FE" w:rsidR="0013790F" w:rsidRPr="00896566" w:rsidRDefault="0013790F" w:rsidP="00393662">
            <w:pPr>
              <w:tabs>
                <w:tab w:val="left" w:pos="164"/>
                <w:tab w:val="left" w:pos="306"/>
              </w:tabs>
              <w:autoSpaceDE w:val="0"/>
              <w:autoSpaceDN w:val="0"/>
              <w:adjustRightInd w:val="0"/>
              <w:spacing w:after="120" w:line="240" w:lineRule="auto"/>
              <w:ind w:left="164"/>
              <w:rPr>
                <w:rFonts w:ascii="Arial Narrow" w:hAnsi="Arial Narrow" w:cs="Arial"/>
                <w:bCs/>
                <w:color w:val="E42618"/>
                <w:highlight w:val="yellow"/>
              </w:rPr>
            </w:pPr>
            <w:r w:rsidRPr="0029188E">
              <w:rPr>
                <w:rFonts w:ascii="Arial Narrow" w:hAnsi="Arial Narrow" w:cs="Arial"/>
                <w:bCs/>
                <w:color w:val="1F497D" w:themeColor="text2"/>
                <w:shd w:val="clear" w:color="auto" w:fill="D9D9D9" w:themeFill="background1" w:themeFillShade="D9"/>
              </w:rPr>
              <w:t>+</w:t>
            </w:r>
            <w:r w:rsidR="00BD4B75" w:rsidRPr="0029188E">
              <w:rPr>
                <w:rFonts w:ascii="Arial Narrow" w:hAnsi="Arial Narrow" w:cs="Arial"/>
                <w:bCs/>
                <w:color w:val="1F497D" w:themeColor="text2"/>
                <w:shd w:val="clear" w:color="auto" w:fill="D9D9D9" w:themeFill="background1" w:themeFillShade="D9"/>
              </w:rPr>
              <w:t>3</w:t>
            </w:r>
            <w:r w:rsidRPr="0029188E">
              <w:rPr>
                <w:rFonts w:ascii="Arial Narrow" w:hAnsi="Arial Narrow" w:cs="Arial"/>
                <w:bCs/>
                <w:color w:val="1F497D" w:themeColor="text2"/>
                <w:shd w:val="clear" w:color="auto" w:fill="D9D9D9" w:themeFill="background1" w:themeFillShade="D9"/>
              </w:rPr>
              <w:t>,</w:t>
            </w:r>
            <w:r w:rsidR="00BD4B75" w:rsidRPr="0029188E">
              <w:rPr>
                <w:rFonts w:ascii="Arial Narrow" w:hAnsi="Arial Narrow" w:cs="Arial"/>
                <w:bCs/>
                <w:color w:val="1F497D" w:themeColor="text2"/>
                <w:shd w:val="clear" w:color="auto" w:fill="D9D9D9" w:themeFill="background1" w:themeFillShade="D9"/>
              </w:rPr>
              <w:t>8</w:t>
            </w:r>
            <w:r w:rsidRPr="0029188E">
              <w:rPr>
                <w:rFonts w:ascii="Arial Narrow" w:hAnsi="Arial Narrow" w:cs="Arial"/>
                <w:bCs/>
                <w:color w:val="1F497D" w:themeColor="text2"/>
                <w:shd w:val="clear" w:color="auto" w:fill="D9D9D9" w:themeFill="background1" w:themeFillShade="D9"/>
              </w:rPr>
              <w:t>% per le</w:t>
            </w:r>
            <w:r w:rsidR="00810C99" w:rsidRPr="0029188E">
              <w:rPr>
                <w:rFonts w:ascii="Arial Narrow" w:hAnsi="Arial Narrow" w:cs="Arial"/>
                <w:bCs/>
                <w:color w:val="1F497D" w:themeColor="text2"/>
                <w:shd w:val="clear" w:color="auto" w:fill="D9D9D9" w:themeFill="background1" w:themeFillShade="D9"/>
              </w:rPr>
              <w:t xml:space="preserve"> </w:t>
            </w:r>
            <w:r w:rsidR="006E7AC7" w:rsidRPr="0029188E">
              <w:rPr>
                <w:rFonts w:ascii="Arial Narrow" w:hAnsi="Arial Narrow" w:cs="Arial"/>
                <w:bCs/>
                <w:color w:val="1F497D" w:themeColor="text2"/>
                <w:shd w:val="clear" w:color="auto" w:fill="D9D9D9" w:themeFill="background1" w:themeFillShade="D9"/>
              </w:rPr>
              <w:t xml:space="preserve">grandi </w:t>
            </w:r>
            <w:r w:rsidR="00BD4B75" w:rsidRPr="0029188E">
              <w:rPr>
                <w:rFonts w:ascii="Arial Narrow" w:hAnsi="Arial Narrow" w:cs="Arial"/>
                <w:bCs/>
                <w:color w:val="1F497D" w:themeColor="text2"/>
                <w:shd w:val="clear" w:color="auto" w:fill="D9D9D9" w:themeFill="background1" w:themeFillShade="D9"/>
              </w:rPr>
              <w:t>imprese</w:t>
            </w:r>
            <w:r w:rsidRPr="0029188E">
              <w:rPr>
                <w:rFonts w:ascii="Arial Narrow" w:hAnsi="Arial Narrow" w:cs="Arial"/>
                <w:bCs/>
                <w:color w:val="1F497D" w:themeColor="text2"/>
                <w:shd w:val="clear" w:color="auto" w:fill="D9D9D9" w:themeFill="background1" w:themeFillShade="D9"/>
              </w:rPr>
              <w:t xml:space="preserve"> </w:t>
            </w:r>
            <w:r w:rsidRPr="0029188E">
              <w:rPr>
                <w:rFonts w:ascii="Arial Narrow" w:hAnsi="Arial Narrow" w:cs="Arial"/>
                <w:bCs/>
                <w:color w:val="1F497D" w:themeColor="text2"/>
                <w:shd w:val="clear" w:color="auto" w:fill="D9D9D9" w:themeFill="background1" w:themeFillShade="D9"/>
              </w:rPr>
              <w:br/>
            </w:r>
            <w:r w:rsidRPr="009946F5">
              <w:rPr>
                <w:rFonts w:ascii="Arial Narrow" w:hAnsi="Arial Narrow" w:cs="Arial"/>
                <w:bCs/>
                <w:color w:val="1F497D" w:themeColor="text2"/>
              </w:rPr>
              <w:t>+</w:t>
            </w:r>
            <w:r w:rsidR="00BD4B75" w:rsidRPr="009946F5">
              <w:rPr>
                <w:rFonts w:ascii="Arial Narrow" w:hAnsi="Arial Narrow" w:cs="Arial"/>
                <w:bCs/>
                <w:color w:val="1F497D" w:themeColor="text2"/>
              </w:rPr>
              <w:t>5</w:t>
            </w:r>
            <w:r w:rsidR="00E55ED0" w:rsidRPr="009946F5">
              <w:rPr>
                <w:rFonts w:ascii="Arial Narrow" w:hAnsi="Arial Narrow" w:cs="Arial"/>
                <w:bCs/>
                <w:color w:val="1F497D" w:themeColor="text2"/>
              </w:rPr>
              <w:t>,</w:t>
            </w:r>
            <w:r w:rsidR="00286831" w:rsidRPr="009946F5">
              <w:rPr>
                <w:rFonts w:ascii="Arial Narrow" w:hAnsi="Arial Narrow" w:cs="Arial"/>
                <w:bCs/>
                <w:color w:val="1F497D" w:themeColor="text2"/>
              </w:rPr>
              <w:t>2</w:t>
            </w:r>
            <w:r w:rsidRPr="009946F5">
              <w:rPr>
                <w:rFonts w:ascii="Arial Narrow" w:hAnsi="Arial Narrow" w:cs="Arial"/>
                <w:bCs/>
                <w:color w:val="1F497D" w:themeColor="text2"/>
              </w:rPr>
              <w:t>% per</w:t>
            </w:r>
            <w:r w:rsidRPr="0029188E">
              <w:rPr>
                <w:rFonts w:ascii="Arial Narrow" w:hAnsi="Arial Narrow" w:cs="Arial"/>
                <w:bCs/>
                <w:color w:val="1F497D" w:themeColor="text2"/>
              </w:rPr>
              <w:t xml:space="preserve"> </w:t>
            </w:r>
            <w:r w:rsidR="00764F35" w:rsidRPr="0029188E">
              <w:rPr>
                <w:rFonts w:ascii="Arial Narrow" w:hAnsi="Arial Narrow" w:cs="Arial"/>
                <w:bCs/>
                <w:color w:val="1F497D" w:themeColor="text2"/>
              </w:rPr>
              <w:t xml:space="preserve">le imprese organizzate in </w:t>
            </w:r>
            <w:r w:rsidRPr="0029188E">
              <w:rPr>
                <w:rFonts w:ascii="Arial Narrow" w:hAnsi="Arial Narrow" w:cs="Arial"/>
                <w:bCs/>
                <w:color w:val="1F497D" w:themeColor="text2"/>
              </w:rPr>
              <w:t>gruppi</w:t>
            </w:r>
          </w:p>
        </w:tc>
        <w:tc>
          <w:tcPr>
            <w:tcW w:w="3828" w:type="dxa"/>
            <w:tcBorders>
              <w:top w:val="nil"/>
              <w:left w:val="single" w:sz="12" w:space="0" w:color="FFFFFF" w:themeColor="background1"/>
              <w:right w:val="single" w:sz="12" w:space="0" w:color="FFFFFF" w:themeColor="background1"/>
            </w:tcBorders>
            <w:shd w:val="clear" w:color="auto" w:fill="D9D9D9" w:themeFill="background1" w:themeFillShade="D9"/>
          </w:tcPr>
          <w:p w14:paraId="5490DD40" w14:textId="79C7DABC" w:rsidR="0013790F" w:rsidRPr="0029188E" w:rsidRDefault="00016731" w:rsidP="00412E92">
            <w:pPr>
              <w:tabs>
                <w:tab w:val="left" w:pos="851"/>
              </w:tabs>
              <w:autoSpaceDE w:val="0"/>
              <w:autoSpaceDN w:val="0"/>
              <w:adjustRightInd w:val="0"/>
              <w:ind w:left="143"/>
              <w:rPr>
                <w:rFonts w:ascii="Georgia" w:hAnsi="Georgia" w:cs="Arial"/>
                <w:bCs/>
                <w:color w:val="1F497D" w:themeColor="text2"/>
                <w:sz w:val="88"/>
                <w:szCs w:val="88"/>
              </w:rPr>
            </w:pPr>
            <w:r w:rsidRPr="0029188E">
              <w:rPr>
                <w:rFonts w:ascii="Georgia" w:hAnsi="Georgia" w:cs="Arial"/>
                <w:bCs/>
                <w:color w:val="1F497D" w:themeColor="text2"/>
                <w:sz w:val="88"/>
                <w:szCs w:val="88"/>
              </w:rPr>
              <w:t>+</w:t>
            </w:r>
            <w:r w:rsidR="007C2473" w:rsidRPr="0029188E">
              <w:rPr>
                <w:rFonts w:ascii="Georgia" w:hAnsi="Georgia" w:cs="Arial"/>
                <w:bCs/>
                <w:color w:val="1F497D" w:themeColor="text2"/>
                <w:sz w:val="88"/>
                <w:szCs w:val="88"/>
              </w:rPr>
              <w:t>3</w:t>
            </w:r>
            <w:r w:rsidR="0015284C" w:rsidRPr="0029188E">
              <w:rPr>
                <w:rFonts w:ascii="Georgia" w:hAnsi="Georgia" w:cs="Arial"/>
                <w:bCs/>
                <w:color w:val="1F497D" w:themeColor="text2"/>
                <w:sz w:val="88"/>
                <w:szCs w:val="88"/>
              </w:rPr>
              <w:t>,</w:t>
            </w:r>
            <w:r w:rsidR="00BD4B75" w:rsidRPr="0029188E">
              <w:rPr>
                <w:rFonts w:ascii="Georgia" w:hAnsi="Georgia" w:cs="Arial"/>
                <w:bCs/>
                <w:color w:val="1F497D" w:themeColor="text2"/>
                <w:sz w:val="88"/>
                <w:szCs w:val="88"/>
              </w:rPr>
              <w:t>1</w:t>
            </w:r>
            <w:r w:rsidR="0013790F" w:rsidRPr="0029188E">
              <w:rPr>
                <w:rFonts w:ascii="Georgia" w:hAnsi="Georgia" w:cs="Arial"/>
                <w:bCs/>
                <w:color w:val="1F497D" w:themeColor="text2"/>
                <w:sz w:val="88"/>
                <w:szCs w:val="88"/>
              </w:rPr>
              <w:t>%</w:t>
            </w:r>
          </w:p>
          <w:p w14:paraId="502BE48C" w14:textId="69EDE7C2" w:rsidR="00900732" w:rsidRDefault="0013790F" w:rsidP="00900732">
            <w:pPr>
              <w:tabs>
                <w:tab w:val="left" w:pos="164"/>
                <w:tab w:val="left" w:pos="306"/>
              </w:tabs>
              <w:autoSpaceDE w:val="0"/>
              <w:autoSpaceDN w:val="0"/>
              <w:adjustRightInd w:val="0"/>
              <w:spacing w:after="0" w:line="240" w:lineRule="auto"/>
              <w:ind w:left="164"/>
              <w:rPr>
                <w:rFonts w:ascii="Georgia" w:hAnsi="Georgia" w:cs="Arial"/>
                <w:b/>
                <w:bCs/>
                <w:color w:val="1F497D" w:themeColor="text2"/>
                <w:sz w:val="26"/>
                <w:szCs w:val="26"/>
              </w:rPr>
            </w:pPr>
            <w:r w:rsidRPr="0029188E">
              <w:rPr>
                <w:rFonts w:ascii="Georgia" w:hAnsi="Georgia" w:cs="Arial"/>
                <w:b/>
                <w:bCs/>
                <w:color w:val="1F497D" w:themeColor="text2"/>
                <w:sz w:val="26"/>
                <w:szCs w:val="26"/>
              </w:rPr>
              <w:t xml:space="preserve">L’aumento </w:t>
            </w:r>
            <w:r w:rsidR="006E7AC7" w:rsidRPr="0029188E">
              <w:rPr>
                <w:rFonts w:ascii="Georgia" w:hAnsi="Georgia" w:cs="Arial"/>
                <w:b/>
                <w:bCs/>
                <w:color w:val="1F497D" w:themeColor="text2"/>
                <w:sz w:val="26"/>
                <w:szCs w:val="26"/>
              </w:rPr>
              <w:t xml:space="preserve">nominale </w:t>
            </w:r>
            <w:r w:rsidRPr="0029188E">
              <w:rPr>
                <w:rFonts w:ascii="Georgia" w:hAnsi="Georgia" w:cs="Arial"/>
                <w:b/>
                <w:bCs/>
                <w:color w:val="1F497D" w:themeColor="text2"/>
                <w:sz w:val="26"/>
                <w:szCs w:val="26"/>
              </w:rPr>
              <w:t xml:space="preserve">del valore aggiunto </w:t>
            </w:r>
            <w:r w:rsidR="002130DB" w:rsidRPr="0029188E">
              <w:rPr>
                <w:rFonts w:ascii="Georgia" w:hAnsi="Georgia" w:cs="Arial"/>
                <w:b/>
                <w:bCs/>
                <w:color w:val="1F497D" w:themeColor="text2"/>
                <w:sz w:val="26"/>
                <w:szCs w:val="26"/>
              </w:rPr>
              <w:t>sul 202</w:t>
            </w:r>
            <w:r w:rsidR="007C2473" w:rsidRPr="0029188E">
              <w:rPr>
                <w:rFonts w:ascii="Georgia" w:hAnsi="Georgia" w:cs="Arial"/>
                <w:b/>
                <w:bCs/>
                <w:color w:val="1F497D" w:themeColor="text2"/>
                <w:sz w:val="26"/>
                <w:szCs w:val="26"/>
              </w:rPr>
              <w:t>3</w:t>
            </w:r>
            <w:r w:rsidR="002130DB" w:rsidRPr="0029188E">
              <w:rPr>
                <w:rFonts w:ascii="Georgia" w:hAnsi="Georgia" w:cs="Arial"/>
                <w:b/>
                <w:bCs/>
                <w:color w:val="1F497D" w:themeColor="text2"/>
                <w:sz w:val="26"/>
                <w:szCs w:val="26"/>
              </w:rPr>
              <w:t xml:space="preserve"> </w:t>
            </w:r>
            <w:r w:rsidRPr="0029188E">
              <w:rPr>
                <w:rFonts w:ascii="Georgia" w:hAnsi="Georgia" w:cs="Arial"/>
                <w:b/>
                <w:bCs/>
                <w:color w:val="1F497D" w:themeColor="text2"/>
                <w:sz w:val="26"/>
                <w:szCs w:val="26"/>
              </w:rPr>
              <w:t>per le</w:t>
            </w:r>
            <w:r w:rsidR="0015284C" w:rsidRPr="0029188E">
              <w:rPr>
                <w:rFonts w:ascii="Georgia" w:hAnsi="Georgia" w:cs="Arial"/>
                <w:b/>
                <w:bCs/>
                <w:color w:val="1F497D" w:themeColor="text2"/>
                <w:sz w:val="26"/>
                <w:szCs w:val="26"/>
              </w:rPr>
              <w:t xml:space="preserve"> </w:t>
            </w:r>
            <w:r w:rsidR="0029188E" w:rsidRPr="0029188E">
              <w:rPr>
                <w:rFonts w:ascii="Georgia" w:hAnsi="Georgia" w:cs="Arial"/>
                <w:b/>
                <w:bCs/>
                <w:color w:val="1F497D" w:themeColor="text2"/>
                <w:sz w:val="26"/>
                <w:szCs w:val="26"/>
              </w:rPr>
              <w:t>micro</w:t>
            </w:r>
            <w:r w:rsidR="002130DB" w:rsidRPr="0029188E">
              <w:rPr>
                <w:rFonts w:ascii="Georgia" w:hAnsi="Georgia" w:cs="Arial"/>
                <w:b/>
                <w:bCs/>
                <w:color w:val="1F497D" w:themeColor="text2"/>
                <w:sz w:val="26"/>
                <w:szCs w:val="26"/>
              </w:rPr>
              <w:t>imprese</w:t>
            </w:r>
            <w:r w:rsidR="002130DB" w:rsidRPr="002130DB">
              <w:rPr>
                <w:rFonts w:ascii="Georgia" w:hAnsi="Georgia" w:cs="Arial"/>
                <w:b/>
                <w:bCs/>
                <w:color w:val="1F497D" w:themeColor="text2"/>
                <w:sz w:val="26"/>
                <w:szCs w:val="26"/>
              </w:rPr>
              <w:t xml:space="preserve"> </w:t>
            </w:r>
          </w:p>
          <w:p w14:paraId="66E0E45A" w14:textId="77777777" w:rsidR="00900732" w:rsidRPr="00900732" w:rsidRDefault="00900732" w:rsidP="00900732">
            <w:pPr>
              <w:tabs>
                <w:tab w:val="left" w:pos="164"/>
                <w:tab w:val="left" w:pos="306"/>
              </w:tabs>
              <w:autoSpaceDE w:val="0"/>
              <w:autoSpaceDN w:val="0"/>
              <w:adjustRightInd w:val="0"/>
              <w:spacing w:after="0" w:line="240" w:lineRule="auto"/>
              <w:ind w:left="164"/>
              <w:rPr>
                <w:rFonts w:ascii="Georgia" w:hAnsi="Georgia" w:cs="Arial"/>
                <w:b/>
                <w:bCs/>
                <w:color w:val="E42618"/>
                <w:sz w:val="26"/>
                <w:szCs w:val="26"/>
              </w:rPr>
            </w:pPr>
          </w:p>
          <w:p w14:paraId="047643ED" w14:textId="0A4F095F" w:rsidR="0013790F" w:rsidRPr="00FE173D" w:rsidRDefault="00FE7581" w:rsidP="00393662">
            <w:pPr>
              <w:tabs>
                <w:tab w:val="left" w:pos="164"/>
                <w:tab w:val="left" w:pos="306"/>
              </w:tabs>
              <w:autoSpaceDE w:val="0"/>
              <w:autoSpaceDN w:val="0"/>
              <w:adjustRightInd w:val="0"/>
              <w:spacing w:after="120" w:line="240" w:lineRule="auto"/>
              <w:ind w:left="164"/>
              <w:rPr>
                <w:rFonts w:ascii="Georgia" w:hAnsi="Georgia" w:cs="Arial"/>
                <w:b/>
                <w:bCs/>
                <w:color w:val="1F497D" w:themeColor="text2"/>
                <w:sz w:val="26"/>
                <w:szCs w:val="26"/>
              </w:rPr>
            </w:pPr>
            <w:r>
              <w:rPr>
                <w:rFonts w:ascii="Arial Narrow" w:hAnsi="Arial Narrow" w:cs="Arial"/>
                <w:bCs/>
                <w:color w:val="1F497D" w:themeColor="text2"/>
                <w:shd w:val="clear" w:color="auto" w:fill="D9D9D9" w:themeFill="background1" w:themeFillShade="D9"/>
              </w:rPr>
              <w:t>3,2</w:t>
            </w:r>
            <w:r w:rsidR="00352475">
              <w:rPr>
                <w:rFonts w:ascii="Arial Narrow" w:hAnsi="Arial Narrow" w:cs="Arial"/>
                <w:bCs/>
                <w:color w:val="1F497D" w:themeColor="text2"/>
                <w:shd w:val="clear" w:color="auto" w:fill="D9D9D9" w:themeFill="background1" w:themeFillShade="D9"/>
              </w:rPr>
              <w:t>%</w:t>
            </w:r>
            <w:r>
              <w:rPr>
                <w:rFonts w:ascii="Arial Narrow" w:hAnsi="Arial Narrow" w:cs="Arial"/>
                <w:bCs/>
                <w:color w:val="1F497D" w:themeColor="text2"/>
                <w:shd w:val="clear" w:color="auto" w:fill="D9D9D9" w:themeFill="background1" w:themeFillShade="D9"/>
              </w:rPr>
              <w:t xml:space="preserve"> per le grandi e +2,8</w:t>
            </w:r>
            <w:r w:rsidR="00352475">
              <w:rPr>
                <w:rFonts w:ascii="Arial Narrow" w:hAnsi="Arial Narrow" w:cs="Arial"/>
                <w:bCs/>
                <w:color w:val="1F497D" w:themeColor="text2"/>
                <w:shd w:val="clear" w:color="auto" w:fill="D9D9D9" w:themeFill="background1" w:themeFillShade="D9"/>
              </w:rPr>
              <w:t>%</w:t>
            </w:r>
            <w:r>
              <w:rPr>
                <w:rFonts w:ascii="Arial Narrow" w:hAnsi="Arial Narrow" w:cs="Arial"/>
                <w:bCs/>
                <w:color w:val="1F497D" w:themeColor="text2"/>
                <w:shd w:val="clear" w:color="auto" w:fill="D9D9D9" w:themeFill="background1" w:themeFillShade="D9"/>
              </w:rPr>
              <w:t xml:space="preserve"> per medie imprese</w:t>
            </w:r>
          </w:p>
        </w:tc>
        <w:tc>
          <w:tcPr>
            <w:tcW w:w="4241" w:type="dxa"/>
            <w:tcBorders>
              <w:top w:val="nil"/>
              <w:left w:val="single" w:sz="12" w:space="0" w:color="FFFFFF" w:themeColor="background1"/>
            </w:tcBorders>
            <w:shd w:val="clear" w:color="auto" w:fill="D9D9D9" w:themeFill="background1" w:themeFillShade="D9"/>
            <w:tcMar>
              <w:left w:w="284" w:type="dxa"/>
              <w:right w:w="284" w:type="dxa"/>
            </w:tcMar>
          </w:tcPr>
          <w:p w14:paraId="48188CA0" w14:textId="12EE5059" w:rsidR="0013790F" w:rsidRPr="0029188E" w:rsidRDefault="00016731" w:rsidP="00091938">
            <w:pPr>
              <w:tabs>
                <w:tab w:val="left" w:pos="164"/>
                <w:tab w:val="left" w:pos="306"/>
              </w:tabs>
              <w:autoSpaceDE w:val="0"/>
              <w:autoSpaceDN w:val="0"/>
              <w:adjustRightInd w:val="0"/>
              <w:ind w:left="164"/>
              <w:rPr>
                <w:rFonts w:ascii="Georgia" w:hAnsi="Georgia" w:cs="Arial"/>
                <w:bCs/>
                <w:color w:val="E42618"/>
                <w:sz w:val="76"/>
                <w:szCs w:val="76"/>
              </w:rPr>
            </w:pPr>
            <w:r w:rsidRPr="0029188E">
              <w:rPr>
                <w:rFonts w:ascii="Georgia" w:hAnsi="Georgia" w:cs="Arial"/>
                <w:bCs/>
                <w:color w:val="E42618"/>
                <w:sz w:val="76"/>
                <w:szCs w:val="76"/>
              </w:rPr>
              <w:t>+</w:t>
            </w:r>
            <w:r w:rsidR="00342E0A" w:rsidRPr="0029188E">
              <w:rPr>
                <w:rFonts w:ascii="Georgia" w:hAnsi="Georgia" w:cs="Arial"/>
                <w:bCs/>
                <w:color w:val="E42618"/>
                <w:sz w:val="76"/>
                <w:szCs w:val="76"/>
              </w:rPr>
              <w:t>3</w:t>
            </w:r>
            <w:r w:rsidR="0013790F" w:rsidRPr="0029188E">
              <w:rPr>
                <w:rFonts w:ascii="Georgia" w:hAnsi="Georgia" w:cs="Arial"/>
                <w:bCs/>
                <w:color w:val="E42618"/>
                <w:sz w:val="76"/>
                <w:szCs w:val="76"/>
              </w:rPr>
              <w:t>,</w:t>
            </w:r>
            <w:r w:rsidR="00342E0A" w:rsidRPr="0029188E">
              <w:rPr>
                <w:rFonts w:ascii="Georgia" w:hAnsi="Georgia" w:cs="Arial"/>
                <w:bCs/>
                <w:color w:val="E42618"/>
                <w:sz w:val="76"/>
                <w:szCs w:val="76"/>
              </w:rPr>
              <w:t>9</w:t>
            </w:r>
            <w:r w:rsidR="0013790F" w:rsidRPr="0029188E">
              <w:rPr>
                <w:rFonts w:ascii="Georgia" w:hAnsi="Georgia" w:cs="Arial"/>
                <w:bCs/>
                <w:color w:val="E42618"/>
                <w:sz w:val="76"/>
                <w:szCs w:val="76"/>
              </w:rPr>
              <w:t>%</w:t>
            </w:r>
          </w:p>
          <w:p w14:paraId="09A3ED69" w14:textId="4EE5481B" w:rsidR="00264C17" w:rsidRPr="0029188E" w:rsidRDefault="0013790F" w:rsidP="00091938">
            <w:pPr>
              <w:tabs>
                <w:tab w:val="left" w:pos="164"/>
                <w:tab w:val="left" w:pos="306"/>
              </w:tabs>
              <w:autoSpaceDE w:val="0"/>
              <w:autoSpaceDN w:val="0"/>
              <w:adjustRightInd w:val="0"/>
              <w:spacing w:after="0" w:line="240" w:lineRule="auto"/>
              <w:ind w:left="164"/>
              <w:rPr>
                <w:rFonts w:ascii="Georgia" w:hAnsi="Georgia" w:cs="Arial"/>
                <w:b/>
                <w:bCs/>
                <w:color w:val="E42618"/>
                <w:sz w:val="26"/>
                <w:szCs w:val="26"/>
              </w:rPr>
            </w:pPr>
            <w:r w:rsidRPr="0029188E">
              <w:rPr>
                <w:rFonts w:ascii="Georgia" w:hAnsi="Georgia" w:cs="Arial"/>
                <w:b/>
                <w:bCs/>
                <w:color w:val="E42618"/>
                <w:sz w:val="26"/>
                <w:szCs w:val="26"/>
              </w:rPr>
              <w:t>L</w:t>
            </w:r>
            <w:r w:rsidR="00AB2C4E" w:rsidRPr="0029188E">
              <w:rPr>
                <w:rFonts w:ascii="Georgia" w:hAnsi="Georgia" w:cs="Arial"/>
                <w:b/>
                <w:bCs/>
                <w:color w:val="E42618"/>
                <w:sz w:val="26"/>
                <w:szCs w:val="26"/>
              </w:rPr>
              <w:t xml:space="preserve">’aumento </w:t>
            </w:r>
            <w:r w:rsidR="00E645FF" w:rsidRPr="0029188E">
              <w:rPr>
                <w:rFonts w:ascii="Georgia" w:hAnsi="Georgia" w:cs="Arial"/>
                <w:b/>
                <w:bCs/>
                <w:color w:val="E42618"/>
                <w:sz w:val="26"/>
                <w:szCs w:val="26"/>
              </w:rPr>
              <w:t xml:space="preserve">nominale </w:t>
            </w:r>
            <w:r w:rsidR="00AB2C4E" w:rsidRPr="0029188E">
              <w:rPr>
                <w:rFonts w:ascii="Georgia" w:hAnsi="Georgia" w:cs="Arial"/>
                <w:b/>
                <w:bCs/>
                <w:color w:val="E42618"/>
                <w:sz w:val="26"/>
                <w:szCs w:val="26"/>
              </w:rPr>
              <w:t>del valore aggiunto per</w:t>
            </w:r>
            <w:r w:rsidR="00764F35" w:rsidRPr="0029188E">
              <w:rPr>
                <w:rFonts w:ascii="Georgia" w:hAnsi="Georgia" w:cs="Arial"/>
                <w:b/>
                <w:bCs/>
                <w:color w:val="E42618"/>
                <w:sz w:val="26"/>
                <w:szCs w:val="26"/>
              </w:rPr>
              <w:t xml:space="preserve"> le imprese dei</w:t>
            </w:r>
            <w:r w:rsidR="00AB2C4E" w:rsidRPr="0029188E">
              <w:rPr>
                <w:rFonts w:ascii="Georgia" w:hAnsi="Georgia" w:cs="Arial"/>
                <w:b/>
                <w:bCs/>
                <w:color w:val="E42618"/>
                <w:sz w:val="26"/>
                <w:szCs w:val="26"/>
              </w:rPr>
              <w:t xml:space="preserve"> </w:t>
            </w:r>
            <w:r w:rsidR="00342E0A" w:rsidRPr="0029188E">
              <w:rPr>
                <w:rFonts w:ascii="Georgia" w:hAnsi="Georgia" w:cs="Arial"/>
                <w:b/>
                <w:bCs/>
                <w:color w:val="E42618"/>
                <w:sz w:val="26"/>
                <w:szCs w:val="26"/>
              </w:rPr>
              <w:t xml:space="preserve">gruppi </w:t>
            </w:r>
            <w:r w:rsidR="005F515E" w:rsidRPr="0029188E">
              <w:rPr>
                <w:rFonts w:ascii="Georgia" w:hAnsi="Georgia" w:cs="Arial"/>
                <w:b/>
                <w:bCs/>
                <w:color w:val="E42618"/>
                <w:sz w:val="26"/>
                <w:szCs w:val="26"/>
              </w:rPr>
              <w:t xml:space="preserve">multinazionali </w:t>
            </w:r>
            <w:r w:rsidR="00342E0A" w:rsidRPr="0029188E">
              <w:rPr>
                <w:rFonts w:ascii="Georgia" w:hAnsi="Georgia" w:cs="Arial"/>
                <w:b/>
                <w:bCs/>
                <w:color w:val="E42618"/>
                <w:sz w:val="26"/>
                <w:szCs w:val="26"/>
              </w:rPr>
              <w:t>sul</w:t>
            </w:r>
            <w:r w:rsidR="00016731" w:rsidRPr="0029188E">
              <w:rPr>
                <w:rFonts w:ascii="Georgia" w:hAnsi="Georgia" w:cs="Arial"/>
                <w:b/>
                <w:bCs/>
                <w:color w:val="E42618"/>
                <w:sz w:val="26"/>
                <w:szCs w:val="26"/>
              </w:rPr>
              <w:t xml:space="preserve"> 202</w:t>
            </w:r>
            <w:r w:rsidR="00342E0A" w:rsidRPr="0029188E">
              <w:rPr>
                <w:rFonts w:ascii="Georgia" w:hAnsi="Georgia" w:cs="Arial"/>
                <w:b/>
                <w:bCs/>
                <w:color w:val="E42618"/>
                <w:sz w:val="26"/>
                <w:szCs w:val="26"/>
              </w:rPr>
              <w:t>3</w:t>
            </w:r>
          </w:p>
          <w:p w14:paraId="1059FB86" w14:textId="77777777" w:rsidR="00C47318" w:rsidRPr="0029188E" w:rsidRDefault="00C47318" w:rsidP="00091938">
            <w:pPr>
              <w:tabs>
                <w:tab w:val="left" w:pos="164"/>
                <w:tab w:val="left" w:pos="306"/>
              </w:tabs>
              <w:autoSpaceDE w:val="0"/>
              <w:autoSpaceDN w:val="0"/>
              <w:adjustRightInd w:val="0"/>
              <w:spacing w:after="0" w:line="240" w:lineRule="auto"/>
              <w:ind w:left="164"/>
              <w:rPr>
                <w:rFonts w:ascii="Georgia" w:hAnsi="Georgia" w:cs="Arial"/>
                <w:b/>
                <w:bCs/>
                <w:color w:val="E42618"/>
                <w:sz w:val="26"/>
                <w:szCs w:val="26"/>
              </w:rPr>
            </w:pPr>
          </w:p>
          <w:p w14:paraId="1DE54423" w14:textId="3E767693" w:rsidR="0013790F" w:rsidRPr="00896566" w:rsidRDefault="00AF388F" w:rsidP="00091938">
            <w:pPr>
              <w:tabs>
                <w:tab w:val="left" w:pos="164"/>
                <w:tab w:val="left" w:pos="306"/>
              </w:tabs>
              <w:autoSpaceDE w:val="0"/>
              <w:autoSpaceDN w:val="0"/>
              <w:adjustRightInd w:val="0"/>
              <w:spacing w:after="120" w:line="240" w:lineRule="auto"/>
              <w:ind w:left="164"/>
              <w:rPr>
                <w:rFonts w:ascii="Arial Narrow" w:hAnsi="Arial Narrow" w:cs="Arial"/>
                <w:bCs/>
                <w:color w:val="1F497D" w:themeColor="text2"/>
                <w:highlight w:val="yellow"/>
              </w:rPr>
            </w:pPr>
            <w:r w:rsidRPr="0029188E">
              <w:rPr>
                <w:rFonts w:ascii="Arial Narrow" w:hAnsi="Arial Narrow" w:cs="Arial"/>
                <w:bCs/>
                <w:color w:val="1F497D" w:themeColor="text2"/>
                <w:shd w:val="clear" w:color="auto" w:fill="D9D9D9" w:themeFill="background1" w:themeFillShade="D9"/>
              </w:rPr>
              <w:t>+</w:t>
            </w:r>
            <w:r w:rsidR="005F515E" w:rsidRPr="0029188E">
              <w:rPr>
                <w:rFonts w:ascii="Arial Narrow" w:hAnsi="Arial Narrow" w:cs="Arial"/>
                <w:bCs/>
                <w:color w:val="1F497D" w:themeColor="text2"/>
                <w:shd w:val="clear" w:color="auto" w:fill="D9D9D9" w:themeFill="background1" w:themeFillShade="D9"/>
              </w:rPr>
              <w:t>3</w:t>
            </w:r>
            <w:r w:rsidR="004A2A93" w:rsidRPr="0029188E">
              <w:rPr>
                <w:rFonts w:ascii="Arial Narrow" w:hAnsi="Arial Narrow" w:cs="Arial"/>
                <w:bCs/>
                <w:color w:val="1F497D" w:themeColor="text2"/>
                <w:shd w:val="clear" w:color="auto" w:fill="D9D9D9" w:themeFill="background1" w:themeFillShade="D9"/>
              </w:rPr>
              <w:t>,</w:t>
            </w:r>
            <w:r w:rsidR="005F515E" w:rsidRPr="0029188E">
              <w:rPr>
                <w:rFonts w:ascii="Arial Narrow" w:hAnsi="Arial Narrow" w:cs="Arial"/>
                <w:bCs/>
                <w:color w:val="1F497D" w:themeColor="text2"/>
                <w:shd w:val="clear" w:color="auto" w:fill="D9D9D9" w:themeFill="background1" w:themeFillShade="D9"/>
              </w:rPr>
              <w:t>7</w:t>
            </w:r>
            <w:r w:rsidRPr="0029188E">
              <w:rPr>
                <w:rFonts w:ascii="Arial Narrow" w:hAnsi="Arial Narrow" w:cs="Arial"/>
                <w:bCs/>
                <w:color w:val="1F497D" w:themeColor="text2"/>
                <w:shd w:val="clear" w:color="auto" w:fill="D9D9D9" w:themeFill="background1" w:themeFillShade="D9"/>
              </w:rPr>
              <w:t xml:space="preserve">% per </w:t>
            </w:r>
            <w:r w:rsidR="00C76655" w:rsidRPr="0029188E">
              <w:rPr>
                <w:rFonts w:ascii="Arial Narrow" w:hAnsi="Arial Narrow" w:cs="Arial"/>
                <w:bCs/>
                <w:color w:val="1F497D" w:themeColor="text2"/>
                <w:shd w:val="clear" w:color="auto" w:fill="D9D9D9" w:themeFill="background1" w:themeFillShade="D9"/>
              </w:rPr>
              <w:t xml:space="preserve">le imprese dei </w:t>
            </w:r>
            <w:r w:rsidRPr="0029188E">
              <w:rPr>
                <w:rFonts w:ascii="Arial Narrow" w:hAnsi="Arial Narrow" w:cs="Arial"/>
                <w:bCs/>
                <w:color w:val="1F497D" w:themeColor="text2"/>
                <w:shd w:val="clear" w:color="auto" w:fill="D9D9D9" w:themeFill="background1" w:themeFillShade="D9"/>
              </w:rPr>
              <w:t xml:space="preserve">gruppi </w:t>
            </w:r>
            <w:r w:rsidR="005F515E" w:rsidRPr="0029188E">
              <w:rPr>
                <w:rFonts w:ascii="Arial Narrow" w:hAnsi="Arial Narrow" w:cs="Arial"/>
                <w:bCs/>
                <w:color w:val="1F497D" w:themeColor="text2"/>
                <w:shd w:val="clear" w:color="auto" w:fill="D9D9D9" w:themeFill="background1" w:themeFillShade="D9"/>
              </w:rPr>
              <w:t>domestici</w:t>
            </w:r>
          </w:p>
        </w:tc>
      </w:tr>
    </w:tbl>
    <w:p w14:paraId="14EA77D4" w14:textId="1A95E9FA" w:rsidR="00C65721" w:rsidRPr="0058002A" w:rsidRDefault="00C65721" w:rsidP="000467F2">
      <w:pPr>
        <w:rPr>
          <w:rFonts w:ascii="Arial" w:hAnsi="Arial" w:cs="Arial"/>
          <w:iCs/>
          <w:noProof/>
          <w:color w:val="000000"/>
          <w:sz w:val="20"/>
          <w:szCs w:val="20"/>
        </w:rPr>
        <w:sectPr w:rsidR="00C65721" w:rsidRPr="0058002A" w:rsidSect="005E7148">
          <w:footerReference w:type="even" r:id="rId11"/>
          <w:footerReference w:type="default" r:id="rId12"/>
          <w:headerReference w:type="first" r:id="rId13"/>
          <w:footerReference w:type="first" r:id="rId14"/>
          <w:type w:val="continuous"/>
          <w:pgSz w:w="11906" w:h="16838" w:code="9"/>
          <w:pgMar w:top="788" w:right="851" w:bottom="680" w:left="851" w:header="0" w:footer="0" w:gutter="0"/>
          <w:pgNumType w:start="1"/>
          <w:cols w:space="708"/>
          <w:titlePg/>
          <w:docGrid w:linePitch="360"/>
        </w:sectPr>
      </w:pPr>
    </w:p>
    <w:p w14:paraId="65DC726B" w14:textId="09948108" w:rsidR="000C126A" w:rsidRPr="00465935" w:rsidRDefault="000C126A">
      <w:pPr>
        <w:rPr>
          <w:rFonts w:ascii="Arial" w:hAnsi="Arial" w:cs="Arial"/>
          <w:color w:val="1F497D" w:themeColor="text2"/>
          <w:sz w:val="14"/>
          <w:szCs w:val="26"/>
        </w:rPr>
      </w:pPr>
    </w:p>
    <w:p w14:paraId="27B7C512" w14:textId="026739E8" w:rsidR="005E7148" w:rsidRPr="00BF6B82" w:rsidRDefault="005E7148" w:rsidP="005E7148">
      <w:pPr>
        <w:spacing w:after="120" w:line="240" w:lineRule="auto"/>
        <w:jc w:val="both"/>
        <w:rPr>
          <w:rFonts w:ascii="Arial" w:hAnsi="Arial" w:cs="Arial"/>
          <w:b/>
          <w:color w:val="1F497D" w:themeColor="text2"/>
          <w:sz w:val="26"/>
          <w:szCs w:val="26"/>
        </w:rPr>
      </w:pPr>
      <w:r w:rsidRPr="00BF6B82">
        <w:rPr>
          <w:rFonts w:ascii="Arial" w:hAnsi="Arial" w:cs="Arial"/>
          <w:b/>
          <w:color w:val="1F497D" w:themeColor="text2"/>
          <w:sz w:val="26"/>
          <w:szCs w:val="26"/>
        </w:rPr>
        <w:t>Cresce l’occupazione, in particolare nelle grandi imprese</w:t>
      </w:r>
    </w:p>
    <w:p w14:paraId="50100866" w14:textId="2D30C0BD" w:rsidR="005E7148" w:rsidRPr="00BF6B82" w:rsidRDefault="005E7148" w:rsidP="005E7148">
      <w:pPr>
        <w:spacing w:after="120" w:line="240" w:lineRule="auto"/>
        <w:jc w:val="both"/>
        <w:outlineLvl w:val="0"/>
        <w:rPr>
          <w:rFonts w:ascii="Arial" w:hAnsi="Arial" w:cs="Arial"/>
          <w:sz w:val="22"/>
          <w:szCs w:val="22"/>
        </w:rPr>
      </w:pPr>
      <w:r w:rsidRPr="00BF6B82">
        <w:rPr>
          <w:rFonts w:ascii="Arial" w:hAnsi="Arial" w:cs="Arial"/>
          <w:sz w:val="22"/>
          <w:szCs w:val="22"/>
        </w:rPr>
        <w:t>Nel 202</w:t>
      </w:r>
      <w:r w:rsidR="007C2473" w:rsidRPr="00BF6B82">
        <w:rPr>
          <w:rFonts w:ascii="Arial" w:hAnsi="Arial" w:cs="Arial"/>
          <w:sz w:val="22"/>
          <w:szCs w:val="22"/>
        </w:rPr>
        <w:t>4</w:t>
      </w:r>
      <w:r w:rsidRPr="00BF6B82">
        <w:rPr>
          <w:rFonts w:ascii="Arial" w:hAnsi="Arial" w:cs="Arial"/>
          <w:sz w:val="22"/>
          <w:szCs w:val="22"/>
        </w:rPr>
        <w:t xml:space="preserve">, sono </w:t>
      </w:r>
      <w:r w:rsidR="007C2473" w:rsidRPr="00BF6B82">
        <w:rPr>
          <w:rFonts w:ascii="Arial" w:hAnsi="Arial" w:cs="Arial"/>
          <w:sz w:val="22"/>
          <w:szCs w:val="22"/>
        </w:rPr>
        <w:t xml:space="preserve">oltre </w:t>
      </w:r>
      <w:r w:rsidRPr="00BF6B82">
        <w:rPr>
          <w:rFonts w:ascii="Arial" w:hAnsi="Arial" w:cs="Arial"/>
          <w:sz w:val="22"/>
          <w:szCs w:val="22"/>
        </w:rPr>
        <w:t xml:space="preserve">4,5 milioni le imprese attive nell’industria e nei servizi di mercato </w:t>
      </w:r>
      <w:r w:rsidR="00E84715" w:rsidRPr="00BF6B82">
        <w:rPr>
          <w:rFonts w:ascii="Arial" w:hAnsi="Arial" w:cs="Arial"/>
          <w:sz w:val="22"/>
          <w:szCs w:val="22"/>
        </w:rPr>
        <w:t>(+0,</w:t>
      </w:r>
      <w:r w:rsidR="007C2473" w:rsidRPr="00BF6B82">
        <w:rPr>
          <w:rFonts w:ascii="Arial" w:hAnsi="Arial" w:cs="Arial"/>
          <w:sz w:val="22"/>
          <w:szCs w:val="22"/>
        </w:rPr>
        <w:t>5</w:t>
      </w:r>
      <w:r w:rsidR="00E84715" w:rsidRPr="00BF6B82">
        <w:rPr>
          <w:rFonts w:ascii="Arial" w:hAnsi="Arial" w:cs="Arial"/>
          <w:sz w:val="22"/>
          <w:szCs w:val="22"/>
        </w:rPr>
        <w:t>% rispetto al 202</w:t>
      </w:r>
      <w:r w:rsidR="007C2473" w:rsidRPr="00BF6B82">
        <w:rPr>
          <w:rFonts w:ascii="Arial" w:hAnsi="Arial" w:cs="Arial"/>
          <w:sz w:val="22"/>
          <w:szCs w:val="22"/>
        </w:rPr>
        <w:t>3</w:t>
      </w:r>
      <w:r w:rsidR="00E84715" w:rsidRPr="00BF6B82">
        <w:rPr>
          <w:rFonts w:ascii="Arial" w:hAnsi="Arial" w:cs="Arial"/>
          <w:sz w:val="22"/>
          <w:szCs w:val="22"/>
        </w:rPr>
        <w:t xml:space="preserve">) </w:t>
      </w:r>
      <w:r w:rsidRPr="00BF6B82">
        <w:rPr>
          <w:rFonts w:ascii="Arial" w:hAnsi="Arial" w:cs="Arial"/>
          <w:sz w:val="22"/>
          <w:szCs w:val="22"/>
        </w:rPr>
        <w:t xml:space="preserve">e occupano </w:t>
      </w:r>
      <w:r w:rsidR="007C2473" w:rsidRPr="00BF6B82">
        <w:rPr>
          <w:rFonts w:ascii="Arial" w:hAnsi="Arial" w:cs="Arial"/>
          <w:sz w:val="22"/>
          <w:szCs w:val="22"/>
        </w:rPr>
        <w:t xml:space="preserve">poco più di </w:t>
      </w:r>
      <w:r w:rsidRPr="00BF6B82">
        <w:rPr>
          <w:rFonts w:ascii="Arial" w:hAnsi="Arial" w:cs="Arial"/>
          <w:sz w:val="22"/>
          <w:szCs w:val="22"/>
        </w:rPr>
        <w:t>18,</w:t>
      </w:r>
      <w:r w:rsidR="007C2473" w:rsidRPr="00BF6B82">
        <w:rPr>
          <w:rFonts w:ascii="Arial" w:hAnsi="Arial" w:cs="Arial"/>
          <w:sz w:val="22"/>
          <w:szCs w:val="22"/>
        </w:rPr>
        <w:t>3</w:t>
      </w:r>
      <w:r w:rsidRPr="00BF6B82">
        <w:rPr>
          <w:rFonts w:ascii="Arial" w:hAnsi="Arial" w:cs="Arial"/>
          <w:sz w:val="22"/>
          <w:szCs w:val="22"/>
        </w:rPr>
        <w:t xml:space="preserve"> milioni di addetti (+</w:t>
      </w:r>
      <w:r w:rsidR="00BD4B75" w:rsidRPr="00BF6B82">
        <w:rPr>
          <w:rFonts w:ascii="Arial" w:hAnsi="Arial" w:cs="Arial"/>
          <w:sz w:val="22"/>
          <w:szCs w:val="22"/>
        </w:rPr>
        <w:t>1</w:t>
      </w:r>
      <w:r w:rsidRPr="00BF6B82">
        <w:rPr>
          <w:rFonts w:ascii="Arial" w:hAnsi="Arial" w:cs="Arial"/>
          <w:sz w:val="22"/>
          <w:szCs w:val="22"/>
        </w:rPr>
        <w:t>,</w:t>
      </w:r>
      <w:r w:rsidR="00BD4B75" w:rsidRPr="00BF6B82">
        <w:rPr>
          <w:rFonts w:ascii="Arial" w:hAnsi="Arial" w:cs="Arial"/>
          <w:sz w:val="22"/>
          <w:szCs w:val="22"/>
        </w:rPr>
        <w:t>1</w:t>
      </w:r>
      <w:r w:rsidRPr="00BF6B82">
        <w:rPr>
          <w:rFonts w:ascii="Arial" w:hAnsi="Arial" w:cs="Arial"/>
          <w:sz w:val="22"/>
          <w:szCs w:val="22"/>
        </w:rPr>
        <w:t>% sul 202</w:t>
      </w:r>
      <w:r w:rsidR="00BD4B75" w:rsidRPr="00BF6B82">
        <w:rPr>
          <w:rFonts w:ascii="Arial" w:hAnsi="Arial" w:cs="Arial"/>
          <w:sz w:val="22"/>
          <w:szCs w:val="22"/>
        </w:rPr>
        <w:t>3</w:t>
      </w:r>
      <w:r w:rsidRPr="00BF6B82">
        <w:rPr>
          <w:rFonts w:ascii="Arial" w:hAnsi="Arial" w:cs="Arial"/>
          <w:sz w:val="22"/>
          <w:szCs w:val="22"/>
        </w:rPr>
        <w:t xml:space="preserve">). I dipendenti sono </w:t>
      </w:r>
      <w:r w:rsidR="00427A4B">
        <w:rPr>
          <w:rFonts w:ascii="Arial" w:hAnsi="Arial" w:cs="Arial"/>
          <w:sz w:val="22"/>
          <w:szCs w:val="22"/>
        </w:rPr>
        <w:br/>
      </w:r>
      <w:r w:rsidR="00BD4B75" w:rsidRPr="00BF6B82">
        <w:rPr>
          <w:rFonts w:ascii="Arial" w:hAnsi="Arial" w:cs="Arial"/>
          <w:sz w:val="22"/>
          <w:szCs w:val="22"/>
        </w:rPr>
        <w:t>oltre</w:t>
      </w:r>
      <w:r w:rsidRPr="00BF6B82">
        <w:rPr>
          <w:rFonts w:ascii="Arial" w:hAnsi="Arial" w:cs="Arial"/>
          <w:sz w:val="22"/>
          <w:szCs w:val="22"/>
        </w:rPr>
        <w:t xml:space="preserve"> 13,</w:t>
      </w:r>
      <w:r w:rsidR="00BD4B75" w:rsidRPr="00BF6B82">
        <w:rPr>
          <w:rFonts w:ascii="Arial" w:hAnsi="Arial" w:cs="Arial"/>
          <w:sz w:val="22"/>
          <w:szCs w:val="22"/>
        </w:rPr>
        <w:t>7</w:t>
      </w:r>
      <w:r w:rsidRPr="00BF6B82">
        <w:rPr>
          <w:rFonts w:ascii="Arial" w:hAnsi="Arial" w:cs="Arial"/>
          <w:sz w:val="22"/>
          <w:szCs w:val="22"/>
        </w:rPr>
        <w:t xml:space="preserve"> milioni (+</w:t>
      </w:r>
      <w:r w:rsidR="00BD4B75" w:rsidRPr="00BF6B82">
        <w:rPr>
          <w:rFonts w:ascii="Arial" w:hAnsi="Arial" w:cs="Arial"/>
          <w:sz w:val="22"/>
          <w:szCs w:val="22"/>
        </w:rPr>
        <w:t>2</w:t>
      </w:r>
      <w:r w:rsidRPr="00BF6B82">
        <w:rPr>
          <w:rFonts w:ascii="Arial" w:hAnsi="Arial" w:cs="Arial"/>
          <w:sz w:val="22"/>
          <w:szCs w:val="22"/>
        </w:rPr>
        <w:t>,</w:t>
      </w:r>
      <w:r w:rsidR="00BD4B75" w:rsidRPr="00BF6B82">
        <w:rPr>
          <w:rFonts w:ascii="Arial" w:hAnsi="Arial" w:cs="Arial"/>
          <w:sz w:val="22"/>
          <w:szCs w:val="22"/>
        </w:rPr>
        <w:t>5</w:t>
      </w:r>
      <w:r w:rsidRPr="00BF6B82">
        <w:rPr>
          <w:rFonts w:ascii="Arial" w:hAnsi="Arial" w:cs="Arial"/>
          <w:sz w:val="22"/>
          <w:szCs w:val="22"/>
        </w:rPr>
        <w:t>% sul 202</w:t>
      </w:r>
      <w:r w:rsidR="00BD4B75" w:rsidRPr="00BF6B82">
        <w:rPr>
          <w:rFonts w:ascii="Arial" w:hAnsi="Arial" w:cs="Arial"/>
          <w:sz w:val="22"/>
          <w:szCs w:val="22"/>
        </w:rPr>
        <w:t>3</w:t>
      </w:r>
      <w:r w:rsidRPr="00BF6B82">
        <w:rPr>
          <w:rFonts w:ascii="Arial" w:hAnsi="Arial" w:cs="Arial"/>
          <w:sz w:val="22"/>
          <w:szCs w:val="22"/>
        </w:rPr>
        <w:t xml:space="preserve">).  </w:t>
      </w:r>
    </w:p>
    <w:p w14:paraId="614E6462" w14:textId="2B60BFFC" w:rsidR="003B6A00" w:rsidRPr="00BF6B82" w:rsidRDefault="003B6A00" w:rsidP="003B6A00">
      <w:pPr>
        <w:spacing w:after="120" w:line="240" w:lineRule="auto"/>
        <w:jc w:val="both"/>
        <w:outlineLvl w:val="0"/>
        <w:rPr>
          <w:rFonts w:ascii="Arial" w:hAnsi="Arial" w:cs="Arial"/>
          <w:sz w:val="22"/>
          <w:szCs w:val="22"/>
        </w:rPr>
      </w:pPr>
      <w:r w:rsidRPr="00BF6B82">
        <w:rPr>
          <w:rFonts w:ascii="Arial" w:hAnsi="Arial" w:cs="Arial"/>
          <w:sz w:val="22"/>
          <w:szCs w:val="22"/>
        </w:rPr>
        <w:t>Nell’Industria in senso stretto, opera l’8,1% delle imprese, in calo, in termini di numerosità</w:t>
      </w:r>
      <w:r w:rsidR="00642FB4">
        <w:rPr>
          <w:rFonts w:ascii="Arial" w:hAnsi="Arial" w:cs="Arial"/>
          <w:sz w:val="22"/>
          <w:szCs w:val="22"/>
        </w:rPr>
        <w:t xml:space="preserve"> dell’1,5% </w:t>
      </w:r>
      <w:r w:rsidRPr="00BF6B82">
        <w:rPr>
          <w:rFonts w:ascii="Arial" w:hAnsi="Arial" w:cs="Arial"/>
          <w:sz w:val="22"/>
          <w:szCs w:val="22"/>
        </w:rPr>
        <w:t>rispetto all’anno precedente. Il settore occupa il 23,5% degli addetti e realizza il 34,7% del valore aggiunto totale. Si registra un incremento occupazionale (+0,8% per gli addetti; +1,</w:t>
      </w:r>
      <w:r w:rsidR="00F40C61">
        <w:rPr>
          <w:rFonts w:ascii="Arial" w:hAnsi="Arial" w:cs="Arial"/>
          <w:sz w:val="22"/>
          <w:szCs w:val="22"/>
        </w:rPr>
        <w:t>5</w:t>
      </w:r>
      <w:r w:rsidRPr="00BF6B82">
        <w:rPr>
          <w:rFonts w:ascii="Arial" w:hAnsi="Arial" w:cs="Arial"/>
          <w:sz w:val="22"/>
          <w:szCs w:val="22"/>
        </w:rPr>
        <w:t xml:space="preserve">% per i dipendenti), ma inferiore alla media generale. </w:t>
      </w:r>
    </w:p>
    <w:p w14:paraId="4FB6E707" w14:textId="64433C0C" w:rsidR="003B6A00" w:rsidRPr="00BF6B82" w:rsidRDefault="003B6A00" w:rsidP="003B6A00">
      <w:pPr>
        <w:spacing w:after="120" w:line="240" w:lineRule="auto"/>
        <w:jc w:val="both"/>
        <w:outlineLvl w:val="0"/>
        <w:rPr>
          <w:rFonts w:ascii="Arial" w:hAnsi="Arial" w:cs="Arial"/>
          <w:sz w:val="22"/>
          <w:szCs w:val="22"/>
        </w:rPr>
      </w:pPr>
      <w:r w:rsidRPr="00BF6B82">
        <w:rPr>
          <w:rFonts w:ascii="Arial" w:hAnsi="Arial" w:cs="Arial"/>
          <w:sz w:val="22"/>
          <w:szCs w:val="22"/>
        </w:rPr>
        <w:t>Nel</w:t>
      </w:r>
      <w:r w:rsidR="00E61019">
        <w:rPr>
          <w:rFonts w:ascii="Arial" w:hAnsi="Arial" w:cs="Arial"/>
          <w:sz w:val="22"/>
          <w:szCs w:val="22"/>
        </w:rPr>
        <w:t>le</w:t>
      </w:r>
      <w:r w:rsidRPr="00BF6B82">
        <w:rPr>
          <w:rFonts w:ascii="Arial" w:hAnsi="Arial" w:cs="Arial"/>
          <w:sz w:val="22"/>
          <w:szCs w:val="22"/>
        </w:rPr>
        <w:t xml:space="preserve"> Costruzioni operano oltre 500mila imprese (11,8% del totale). Il settore occupa l’8,9% degli addetti generando l’8,8% del valore aggiunto totale. L’occupazione</w:t>
      </w:r>
      <w:r w:rsidR="00E61019">
        <w:rPr>
          <w:rFonts w:ascii="Arial" w:hAnsi="Arial" w:cs="Arial"/>
          <w:sz w:val="22"/>
          <w:szCs w:val="22"/>
        </w:rPr>
        <w:t>,</w:t>
      </w:r>
      <w:r w:rsidRPr="00BF6B82">
        <w:rPr>
          <w:rFonts w:ascii="Arial" w:hAnsi="Arial" w:cs="Arial"/>
          <w:sz w:val="22"/>
          <w:szCs w:val="22"/>
        </w:rPr>
        <w:t xml:space="preserve"> in termini di addetti</w:t>
      </w:r>
      <w:r w:rsidR="00E61019">
        <w:rPr>
          <w:rFonts w:ascii="Arial" w:hAnsi="Arial" w:cs="Arial"/>
          <w:sz w:val="22"/>
          <w:szCs w:val="22"/>
        </w:rPr>
        <w:t>,</w:t>
      </w:r>
      <w:r w:rsidRPr="00BF6B82">
        <w:rPr>
          <w:rFonts w:ascii="Arial" w:hAnsi="Arial" w:cs="Arial"/>
          <w:sz w:val="22"/>
          <w:szCs w:val="22"/>
        </w:rPr>
        <w:t xml:space="preserve"> cresce lievemente (+0,2%)</w:t>
      </w:r>
      <w:r w:rsidR="00E61019" w:rsidRPr="00BF6B82">
        <w:rPr>
          <w:rFonts w:ascii="Arial" w:hAnsi="Arial" w:cs="Arial"/>
          <w:sz w:val="22"/>
          <w:szCs w:val="22"/>
        </w:rPr>
        <w:t xml:space="preserve"> rispetto all’anno precedente</w:t>
      </w:r>
      <w:r w:rsidR="00E61019">
        <w:rPr>
          <w:rFonts w:ascii="Arial" w:hAnsi="Arial" w:cs="Arial"/>
          <w:sz w:val="22"/>
          <w:szCs w:val="22"/>
        </w:rPr>
        <w:t xml:space="preserve"> </w:t>
      </w:r>
      <w:r w:rsidRPr="00BF6B82">
        <w:rPr>
          <w:rFonts w:ascii="Arial" w:hAnsi="Arial" w:cs="Arial"/>
          <w:sz w:val="22"/>
          <w:szCs w:val="22"/>
        </w:rPr>
        <w:t xml:space="preserve">mentre per i dipendenti si registra un incremento </w:t>
      </w:r>
      <w:r w:rsidR="00642FB4">
        <w:rPr>
          <w:rFonts w:ascii="Arial" w:hAnsi="Arial" w:cs="Arial"/>
          <w:sz w:val="22"/>
          <w:szCs w:val="22"/>
        </w:rPr>
        <w:t>più marcato (+</w:t>
      </w:r>
      <w:r w:rsidRPr="00BF6B82">
        <w:rPr>
          <w:rFonts w:ascii="Arial" w:hAnsi="Arial" w:cs="Arial"/>
          <w:sz w:val="22"/>
          <w:szCs w:val="22"/>
        </w:rPr>
        <w:t>3,2%</w:t>
      </w:r>
      <w:r w:rsidR="00642FB4">
        <w:rPr>
          <w:rFonts w:ascii="Arial" w:hAnsi="Arial" w:cs="Arial"/>
          <w:sz w:val="22"/>
          <w:szCs w:val="22"/>
        </w:rPr>
        <w:t>)</w:t>
      </w:r>
      <w:r w:rsidRPr="00BF6B82">
        <w:rPr>
          <w:rFonts w:ascii="Arial" w:hAnsi="Arial" w:cs="Arial"/>
          <w:sz w:val="22"/>
          <w:szCs w:val="22"/>
        </w:rPr>
        <w:t xml:space="preserve">. </w:t>
      </w:r>
    </w:p>
    <w:p w14:paraId="121F0820" w14:textId="00DE147C" w:rsidR="005E7148" w:rsidRPr="00BF6B82" w:rsidRDefault="00D572C9" w:rsidP="005E7148">
      <w:pPr>
        <w:spacing w:after="120" w:line="240" w:lineRule="auto"/>
        <w:jc w:val="both"/>
        <w:outlineLvl w:val="0"/>
        <w:rPr>
          <w:rFonts w:ascii="Arial" w:hAnsi="Arial" w:cs="Arial"/>
          <w:sz w:val="22"/>
          <w:szCs w:val="22"/>
        </w:rPr>
      </w:pPr>
      <w:r w:rsidRPr="00BF6B82">
        <w:rPr>
          <w:rFonts w:ascii="Arial" w:hAnsi="Arial" w:cs="Arial"/>
          <w:sz w:val="22"/>
          <w:szCs w:val="22"/>
        </w:rPr>
        <w:t>N</w:t>
      </w:r>
      <w:r w:rsidR="005E7148" w:rsidRPr="00BF6B82">
        <w:rPr>
          <w:rFonts w:ascii="Arial" w:hAnsi="Arial" w:cs="Arial"/>
          <w:sz w:val="22"/>
          <w:szCs w:val="22"/>
        </w:rPr>
        <w:t xml:space="preserve">el settore dei Servizi </w:t>
      </w:r>
      <w:r w:rsidRPr="00BF6B82">
        <w:rPr>
          <w:rFonts w:ascii="Arial" w:hAnsi="Arial" w:cs="Arial"/>
          <w:sz w:val="22"/>
          <w:szCs w:val="22"/>
        </w:rPr>
        <w:t xml:space="preserve">sono attive oltre l’80% delle imprese </w:t>
      </w:r>
      <w:r w:rsidR="005E7148" w:rsidRPr="00BF6B82">
        <w:rPr>
          <w:rFonts w:ascii="Arial" w:hAnsi="Arial" w:cs="Arial"/>
          <w:sz w:val="22"/>
          <w:szCs w:val="22"/>
        </w:rPr>
        <w:t>(+</w:t>
      </w:r>
      <w:r w:rsidRPr="00BF6B82">
        <w:rPr>
          <w:rFonts w:ascii="Arial" w:hAnsi="Arial" w:cs="Arial"/>
          <w:sz w:val="22"/>
          <w:szCs w:val="22"/>
        </w:rPr>
        <w:t>0</w:t>
      </w:r>
      <w:r w:rsidR="005E7148" w:rsidRPr="00BF6B82">
        <w:rPr>
          <w:rFonts w:ascii="Arial" w:hAnsi="Arial" w:cs="Arial"/>
          <w:sz w:val="22"/>
          <w:szCs w:val="22"/>
        </w:rPr>
        <w:t>,</w:t>
      </w:r>
      <w:r w:rsidRPr="00BF6B82">
        <w:rPr>
          <w:rFonts w:ascii="Arial" w:hAnsi="Arial" w:cs="Arial"/>
          <w:sz w:val="22"/>
          <w:szCs w:val="22"/>
        </w:rPr>
        <w:t>8</w:t>
      </w:r>
      <w:r w:rsidR="005E7148" w:rsidRPr="00BF6B82">
        <w:rPr>
          <w:rFonts w:ascii="Arial" w:hAnsi="Arial" w:cs="Arial"/>
          <w:sz w:val="22"/>
          <w:szCs w:val="22"/>
        </w:rPr>
        <w:t>% rispetto al 202</w:t>
      </w:r>
      <w:r w:rsidRPr="00BF6B82">
        <w:rPr>
          <w:rFonts w:ascii="Arial" w:hAnsi="Arial" w:cs="Arial"/>
          <w:sz w:val="22"/>
          <w:szCs w:val="22"/>
        </w:rPr>
        <w:t>3</w:t>
      </w:r>
      <w:r w:rsidR="005E7148" w:rsidRPr="00BF6B82">
        <w:rPr>
          <w:rFonts w:ascii="Arial" w:hAnsi="Arial" w:cs="Arial"/>
          <w:sz w:val="22"/>
          <w:szCs w:val="22"/>
        </w:rPr>
        <w:t>)</w:t>
      </w:r>
      <w:r w:rsidR="006D793D" w:rsidRPr="00BF6B82">
        <w:rPr>
          <w:rFonts w:ascii="Arial" w:hAnsi="Arial" w:cs="Arial"/>
          <w:sz w:val="22"/>
          <w:szCs w:val="22"/>
        </w:rPr>
        <w:t>: o</w:t>
      </w:r>
      <w:r w:rsidR="005E7148" w:rsidRPr="00BF6B82">
        <w:rPr>
          <w:rFonts w:ascii="Arial" w:hAnsi="Arial" w:cs="Arial"/>
          <w:sz w:val="22"/>
          <w:szCs w:val="22"/>
        </w:rPr>
        <w:t>ccupa</w:t>
      </w:r>
      <w:r w:rsidRPr="00BF6B82">
        <w:rPr>
          <w:rFonts w:ascii="Arial" w:hAnsi="Arial" w:cs="Arial"/>
          <w:sz w:val="22"/>
          <w:szCs w:val="22"/>
        </w:rPr>
        <w:t>no</w:t>
      </w:r>
      <w:r w:rsidR="005E7148" w:rsidRPr="00BF6B82">
        <w:rPr>
          <w:rFonts w:ascii="Arial" w:hAnsi="Arial" w:cs="Arial"/>
          <w:sz w:val="22"/>
          <w:szCs w:val="22"/>
        </w:rPr>
        <w:t xml:space="preserve"> il 67,</w:t>
      </w:r>
      <w:r w:rsidRPr="00BF6B82">
        <w:rPr>
          <w:rFonts w:ascii="Arial" w:hAnsi="Arial" w:cs="Arial"/>
          <w:sz w:val="22"/>
          <w:szCs w:val="22"/>
        </w:rPr>
        <w:t>6</w:t>
      </w:r>
      <w:r w:rsidR="005E7148" w:rsidRPr="00BF6B82">
        <w:rPr>
          <w:rFonts w:ascii="Arial" w:hAnsi="Arial" w:cs="Arial"/>
          <w:sz w:val="22"/>
          <w:szCs w:val="22"/>
        </w:rPr>
        <w:t>% degli addetti</w:t>
      </w:r>
      <w:r w:rsidR="006D793D" w:rsidRPr="00BF6B82">
        <w:rPr>
          <w:rFonts w:ascii="Arial" w:hAnsi="Arial" w:cs="Arial"/>
          <w:sz w:val="22"/>
          <w:szCs w:val="22"/>
        </w:rPr>
        <w:t xml:space="preserve"> e</w:t>
      </w:r>
      <w:r w:rsidR="00810C99" w:rsidRPr="00BF6B82">
        <w:rPr>
          <w:rFonts w:ascii="Arial" w:hAnsi="Arial" w:cs="Arial"/>
          <w:sz w:val="22"/>
          <w:szCs w:val="22"/>
        </w:rPr>
        <w:t xml:space="preserve"> </w:t>
      </w:r>
      <w:r w:rsidRPr="00BF6B82">
        <w:rPr>
          <w:rFonts w:ascii="Arial" w:hAnsi="Arial" w:cs="Arial"/>
          <w:sz w:val="22"/>
          <w:szCs w:val="22"/>
        </w:rPr>
        <w:t>generano</w:t>
      </w:r>
      <w:r w:rsidR="005E7148" w:rsidRPr="00BF6B82">
        <w:rPr>
          <w:rFonts w:ascii="Arial" w:hAnsi="Arial" w:cs="Arial"/>
          <w:sz w:val="22"/>
          <w:szCs w:val="22"/>
        </w:rPr>
        <w:t xml:space="preserve"> il 5</w:t>
      </w:r>
      <w:r w:rsidRPr="00BF6B82">
        <w:rPr>
          <w:rFonts w:ascii="Arial" w:hAnsi="Arial" w:cs="Arial"/>
          <w:sz w:val="22"/>
          <w:szCs w:val="22"/>
        </w:rPr>
        <w:t>6</w:t>
      </w:r>
      <w:r w:rsidR="005E7148" w:rsidRPr="00BF6B82">
        <w:rPr>
          <w:rFonts w:ascii="Arial" w:hAnsi="Arial" w:cs="Arial"/>
          <w:sz w:val="22"/>
          <w:szCs w:val="22"/>
        </w:rPr>
        <w:t>,</w:t>
      </w:r>
      <w:r w:rsidRPr="00BF6B82">
        <w:rPr>
          <w:rFonts w:ascii="Arial" w:hAnsi="Arial" w:cs="Arial"/>
          <w:sz w:val="22"/>
          <w:szCs w:val="22"/>
        </w:rPr>
        <w:t>6</w:t>
      </w:r>
      <w:r w:rsidR="005E7148" w:rsidRPr="00BF6B82">
        <w:rPr>
          <w:rFonts w:ascii="Arial" w:hAnsi="Arial" w:cs="Arial"/>
          <w:sz w:val="22"/>
          <w:szCs w:val="22"/>
        </w:rPr>
        <w:t>% del valore aggiunto totale. Ne</w:t>
      </w:r>
      <w:r w:rsidR="00810C99" w:rsidRPr="00BF6B82">
        <w:rPr>
          <w:rFonts w:ascii="Arial" w:hAnsi="Arial" w:cs="Arial"/>
          <w:sz w:val="22"/>
          <w:szCs w:val="22"/>
        </w:rPr>
        <w:t>i servizi</w:t>
      </w:r>
      <w:r w:rsidR="005E7148" w:rsidRPr="00BF6B82">
        <w:rPr>
          <w:rFonts w:ascii="Arial" w:hAnsi="Arial" w:cs="Arial"/>
          <w:sz w:val="22"/>
          <w:szCs w:val="22"/>
        </w:rPr>
        <w:t xml:space="preserve"> la crescita dell’occupazione (+</w:t>
      </w:r>
      <w:r w:rsidRPr="00BF6B82">
        <w:rPr>
          <w:rFonts w:ascii="Arial" w:hAnsi="Arial" w:cs="Arial"/>
          <w:sz w:val="22"/>
          <w:szCs w:val="22"/>
        </w:rPr>
        <w:t>1</w:t>
      </w:r>
      <w:r w:rsidR="005E7148" w:rsidRPr="00BF6B82">
        <w:rPr>
          <w:rFonts w:ascii="Arial" w:hAnsi="Arial" w:cs="Arial"/>
          <w:sz w:val="22"/>
          <w:szCs w:val="22"/>
        </w:rPr>
        <w:t>,</w:t>
      </w:r>
      <w:r w:rsidRPr="00BF6B82">
        <w:rPr>
          <w:rFonts w:ascii="Arial" w:hAnsi="Arial" w:cs="Arial"/>
          <w:sz w:val="22"/>
          <w:szCs w:val="22"/>
        </w:rPr>
        <w:t>3</w:t>
      </w:r>
      <w:r w:rsidR="005E7148" w:rsidRPr="00BF6B82">
        <w:rPr>
          <w:rFonts w:ascii="Arial" w:hAnsi="Arial" w:cs="Arial"/>
          <w:sz w:val="22"/>
          <w:szCs w:val="22"/>
        </w:rPr>
        <w:t>% per gli addetti</w:t>
      </w:r>
      <w:r w:rsidR="00810C99" w:rsidRPr="00BF6B82">
        <w:rPr>
          <w:rFonts w:ascii="Arial" w:hAnsi="Arial" w:cs="Arial"/>
          <w:sz w:val="22"/>
          <w:szCs w:val="22"/>
        </w:rPr>
        <w:t xml:space="preserve">, </w:t>
      </w:r>
      <w:r w:rsidR="005E7148" w:rsidRPr="00BF6B82">
        <w:rPr>
          <w:rFonts w:ascii="Arial" w:hAnsi="Arial" w:cs="Arial"/>
          <w:sz w:val="22"/>
          <w:szCs w:val="22"/>
        </w:rPr>
        <w:t>+</w:t>
      </w:r>
      <w:r w:rsidRPr="00BF6B82">
        <w:rPr>
          <w:rFonts w:ascii="Arial" w:hAnsi="Arial" w:cs="Arial"/>
          <w:sz w:val="22"/>
          <w:szCs w:val="22"/>
        </w:rPr>
        <w:t>2</w:t>
      </w:r>
      <w:r w:rsidR="005E7148" w:rsidRPr="00BF6B82">
        <w:rPr>
          <w:rFonts w:ascii="Arial" w:hAnsi="Arial" w:cs="Arial"/>
          <w:sz w:val="22"/>
          <w:szCs w:val="22"/>
        </w:rPr>
        <w:t>,</w:t>
      </w:r>
      <w:r w:rsidRPr="00BF6B82">
        <w:rPr>
          <w:rFonts w:ascii="Arial" w:hAnsi="Arial" w:cs="Arial"/>
          <w:sz w:val="22"/>
          <w:szCs w:val="22"/>
        </w:rPr>
        <w:t>8</w:t>
      </w:r>
      <w:r w:rsidR="005E7148" w:rsidRPr="00BF6B82">
        <w:rPr>
          <w:rFonts w:ascii="Arial" w:hAnsi="Arial" w:cs="Arial"/>
          <w:sz w:val="22"/>
          <w:szCs w:val="22"/>
        </w:rPr>
        <w:t xml:space="preserve">% per i dipendenti) è superiore alla media generale. </w:t>
      </w:r>
    </w:p>
    <w:p w14:paraId="2E02C292" w14:textId="65F49FAB" w:rsidR="005E7148" w:rsidRPr="00BF6B82" w:rsidRDefault="005E7148" w:rsidP="005E7148">
      <w:pPr>
        <w:spacing w:after="120" w:line="240" w:lineRule="auto"/>
        <w:jc w:val="both"/>
        <w:outlineLvl w:val="0"/>
        <w:rPr>
          <w:rFonts w:ascii="Arial" w:hAnsi="Arial" w:cs="Arial"/>
          <w:sz w:val="22"/>
          <w:szCs w:val="22"/>
        </w:rPr>
      </w:pPr>
      <w:r w:rsidRPr="00BF6B82">
        <w:rPr>
          <w:rFonts w:ascii="Arial" w:hAnsi="Arial" w:cs="Arial"/>
          <w:sz w:val="22"/>
          <w:szCs w:val="22"/>
        </w:rPr>
        <w:t xml:space="preserve">Le </w:t>
      </w:r>
      <w:r w:rsidR="001E1A58" w:rsidRPr="00BF6B82">
        <w:rPr>
          <w:rFonts w:ascii="Arial" w:hAnsi="Arial" w:cs="Arial"/>
          <w:sz w:val="22"/>
          <w:szCs w:val="22"/>
        </w:rPr>
        <w:t xml:space="preserve">grandi </w:t>
      </w:r>
      <w:r w:rsidRPr="00BF6B82">
        <w:rPr>
          <w:rFonts w:ascii="Arial" w:hAnsi="Arial" w:cs="Arial"/>
          <w:sz w:val="22"/>
          <w:szCs w:val="22"/>
        </w:rPr>
        <w:t>imprese (</w:t>
      </w:r>
      <w:r w:rsidR="00F70024">
        <w:rPr>
          <w:rFonts w:ascii="Arial" w:hAnsi="Arial" w:cs="Arial"/>
          <w:sz w:val="22"/>
          <w:szCs w:val="22"/>
        </w:rPr>
        <w:t xml:space="preserve">4.752 unità, </w:t>
      </w:r>
      <w:r w:rsidRPr="00BF6B82">
        <w:rPr>
          <w:rFonts w:ascii="Arial" w:hAnsi="Arial" w:cs="Arial"/>
          <w:sz w:val="22"/>
          <w:szCs w:val="22"/>
        </w:rPr>
        <w:t>0,1% del totale</w:t>
      </w:r>
      <w:r w:rsidR="00147645">
        <w:rPr>
          <w:rFonts w:ascii="Arial" w:hAnsi="Arial" w:cs="Arial"/>
          <w:sz w:val="22"/>
          <w:szCs w:val="22"/>
        </w:rPr>
        <w:t xml:space="preserve"> </w:t>
      </w:r>
      <w:r w:rsidR="00A14713" w:rsidRPr="00BF6B82">
        <w:rPr>
          <w:rFonts w:ascii="Arial" w:hAnsi="Arial" w:cs="Arial"/>
          <w:sz w:val="22"/>
          <w:szCs w:val="22"/>
        </w:rPr>
        <w:t>nel 2024</w:t>
      </w:r>
      <w:r w:rsidR="00642FB4">
        <w:rPr>
          <w:rFonts w:ascii="Arial" w:hAnsi="Arial" w:cs="Arial"/>
          <w:sz w:val="22"/>
          <w:szCs w:val="22"/>
        </w:rPr>
        <w:t>)</w:t>
      </w:r>
      <w:r w:rsidRPr="00BF6B82">
        <w:rPr>
          <w:rFonts w:ascii="Arial" w:hAnsi="Arial" w:cs="Arial"/>
          <w:sz w:val="22"/>
          <w:szCs w:val="22"/>
        </w:rPr>
        <w:t xml:space="preserve"> </w:t>
      </w:r>
      <w:r w:rsidR="00A14713" w:rsidRPr="00BF6B82">
        <w:rPr>
          <w:rFonts w:ascii="Arial" w:hAnsi="Arial" w:cs="Arial"/>
          <w:sz w:val="22"/>
          <w:szCs w:val="22"/>
        </w:rPr>
        <w:t>crescono, in termini di numerosità del 4,1%. Tali unità generano circa il 35% del valore aggiunto, occupano un quarto degli addetti e oltre un terzo dei dipendenti totali (33,4%)</w:t>
      </w:r>
      <w:r w:rsidR="00637B51" w:rsidRPr="00BF6B82">
        <w:rPr>
          <w:rFonts w:ascii="Arial" w:hAnsi="Arial" w:cs="Arial"/>
          <w:sz w:val="22"/>
          <w:szCs w:val="22"/>
        </w:rPr>
        <w:t>. Per entrambe le variabili occupazionali l’incremento</w:t>
      </w:r>
      <w:r w:rsidRPr="00BF6B82">
        <w:rPr>
          <w:rFonts w:ascii="Arial" w:hAnsi="Arial" w:cs="Arial"/>
          <w:sz w:val="22"/>
          <w:szCs w:val="22"/>
        </w:rPr>
        <w:t xml:space="preserve"> </w:t>
      </w:r>
      <w:r w:rsidR="00637B51" w:rsidRPr="00BF6B82">
        <w:rPr>
          <w:rFonts w:ascii="Arial" w:hAnsi="Arial" w:cs="Arial"/>
          <w:sz w:val="22"/>
          <w:szCs w:val="22"/>
        </w:rPr>
        <w:t>è del 3</w:t>
      </w:r>
      <w:r w:rsidRPr="00BF6B82">
        <w:rPr>
          <w:rFonts w:ascii="Arial" w:hAnsi="Arial" w:cs="Arial"/>
          <w:sz w:val="22"/>
          <w:szCs w:val="22"/>
        </w:rPr>
        <w:t>,</w:t>
      </w:r>
      <w:r w:rsidR="00637B51" w:rsidRPr="00BF6B82">
        <w:rPr>
          <w:rFonts w:ascii="Arial" w:hAnsi="Arial" w:cs="Arial"/>
          <w:sz w:val="22"/>
          <w:szCs w:val="22"/>
        </w:rPr>
        <w:t>8</w:t>
      </w:r>
      <w:r w:rsidRPr="00BF6B82">
        <w:rPr>
          <w:rFonts w:ascii="Arial" w:hAnsi="Arial" w:cs="Arial"/>
          <w:sz w:val="22"/>
          <w:szCs w:val="22"/>
        </w:rPr>
        <w:t xml:space="preserve">% rispetto all’anno precedente. </w:t>
      </w:r>
      <w:r w:rsidR="00F32207" w:rsidRPr="00BF6B82">
        <w:rPr>
          <w:rFonts w:ascii="Arial" w:hAnsi="Arial" w:cs="Arial"/>
          <w:sz w:val="22"/>
          <w:szCs w:val="22"/>
        </w:rPr>
        <w:t xml:space="preserve">Incrementi inferiori </w:t>
      </w:r>
      <w:r w:rsidR="00F56C0B">
        <w:rPr>
          <w:rFonts w:ascii="Arial" w:hAnsi="Arial" w:cs="Arial"/>
          <w:sz w:val="22"/>
          <w:szCs w:val="22"/>
        </w:rPr>
        <w:t xml:space="preserve">ma sempre superiori alla media nazionale </w:t>
      </w:r>
      <w:r w:rsidRPr="00BF6B82">
        <w:rPr>
          <w:rFonts w:ascii="Arial" w:hAnsi="Arial" w:cs="Arial"/>
          <w:sz w:val="22"/>
          <w:szCs w:val="22"/>
        </w:rPr>
        <w:t xml:space="preserve">si registrano per le </w:t>
      </w:r>
      <w:r w:rsidR="001E1A58" w:rsidRPr="00BF6B82">
        <w:rPr>
          <w:rFonts w:ascii="Arial" w:hAnsi="Arial" w:cs="Arial"/>
          <w:sz w:val="22"/>
          <w:szCs w:val="22"/>
        </w:rPr>
        <w:t xml:space="preserve">medie </w:t>
      </w:r>
      <w:r w:rsidRPr="00BF6B82">
        <w:rPr>
          <w:rFonts w:ascii="Arial" w:hAnsi="Arial" w:cs="Arial"/>
          <w:sz w:val="22"/>
          <w:szCs w:val="22"/>
        </w:rPr>
        <w:t>imprese</w:t>
      </w:r>
      <w:r w:rsidR="00707E4A" w:rsidRPr="00BF6B82">
        <w:rPr>
          <w:rFonts w:ascii="Arial" w:hAnsi="Arial" w:cs="Arial"/>
          <w:sz w:val="22"/>
          <w:szCs w:val="22"/>
        </w:rPr>
        <w:t xml:space="preserve"> </w:t>
      </w:r>
      <w:r w:rsidR="00F32207" w:rsidRPr="00BF6B82">
        <w:rPr>
          <w:rFonts w:ascii="Arial" w:hAnsi="Arial" w:cs="Arial"/>
          <w:sz w:val="22"/>
          <w:szCs w:val="22"/>
        </w:rPr>
        <w:t>(+</w:t>
      </w:r>
      <w:r w:rsidR="006D5571" w:rsidRPr="00BF6B82">
        <w:rPr>
          <w:rFonts w:ascii="Arial" w:hAnsi="Arial" w:cs="Arial"/>
          <w:sz w:val="22"/>
          <w:szCs w:val="22"/>
        </w:rPr>
        <w:t>2</w:t>
      </w:r>
      <w:r w:rsidR="00F32207" w:rsidRPr="00BF6B82">
        <w:rPr>
          <w:rFonts w:ascii="Arial" w:hAnsi="Arial" w:cs="Arial"/>
          <w:sz w:val="22"/>
          <w:szCs w:val="22"/>
        </w:rPr>
        <w:t>,</w:t>
      </w:r>
      <w:r w:rsidR="006D5571" w:rsidRPr="00BF6B82">
        <w:rPr>
          <w:rFonts w:ascii="Arial" w:hAnsi="Arial" w:cs="Arial"/>
          <w:sz w:val="22"/>
          <w:szCs w:val="22"/>
        </w:rPr>
        <w:t>5</w:t>
      </w:r>
      <w:r w:rsidR="00F32207" w:rsidRPr="00BF6B82">
        <w:rPr>
          <w:rFonts w:ascii="Arial" w:hAnsi="Arial" w:cs="Arial"/>
          <w:sz w:val="22"/>
          <w:szCs w:val="22"/>
        </w:rPr>
        <w:t>%</w:t>
      </w:r>
      <w:r w:rsidR="006D5571" w:rsidRPr="00BF6B82">
        <w:rPr>
          <w:rFonts w:ascii="Arial" w:hAnsi="Arial" w:cs="Arial"/>
          <w:sz w:val="22"/>
          <w:szCs w:val="22"/>
        </w:rPr>
        <w:t xml:space="preserve"> per gli addetti; +2,6% per i dipendenti</w:t>
      </w:r>
      <w:r w:rsidR="00F32207" w:rsidRPr="00BF6B82">
        <w:rPr>
          <w:rFonts w:ascii="Arial" w:hAnsi="Arial" w:cs="Arial"/>
          <w:sz w:val="22"/>
          <w:szCs w:val="22"/>
        </w:rPr>
        <w:t>)</w:t>
      </w:r>
      <w:r w:rsidRPr="00BF6B82">
        <w:rPr>
          <w:rFonts w:ascii="Arial" w:hAnsi="Arial" w:cs="Arial"/>
          <w:sz w:val="22"/>
          <w:szCs w:val="22"/>
        </w:rPr>
        <w:t>.</w:t>
      </w:r>
    </w:p>
    <w:p w14:paraId="70ADC600" w14:textId="1F724AFD" w:rsidR="00F56C0B" w:rsidRDefault="005E7148" w:rsidP="005E7148">
      <w:pPr>
        <w:spacing w:after="120" w:line="240" w:lineRule="auto"/>
        <w:jc w:val="both"/>
        <w:outlineLvl w:val="0"/>
        <w:rPr>
          <w:rFonts w:ascii="Arial" w:hAnsi="Arial" w:cs="Arial"/>
          <w:sz w:val="22"/>
          <w:szCs w:val="22"/>
        </w:rPr>
      </w:pPr>
      <w:r w:rsidRPr="00BF6B82">
        <w:rPr>
          <w:rFonts w:ascii="Arial" w:hAnsi="Arial" w:cs="Arial"/>
          <w:sz w:val="22"/>
          <w:szCs w:val="22"/>
        </w:rPr>
        <w:t>Il 4,</w:t>
      </w:r>
      <w:r w:rsidR="00BC7731" w:rsidRPr="00BF6B82">
        <w:rPr>
          <w:rFonts w:ascii="Arial" w:hAnsi="Arial" w:cs="Arial"/>
          <w:sz w:val="22"/>
          <w:szCs w:val="22"/>
        </w:rPr>
        <w:t>4</w:t>
      </w:r>
      <w:r w:rsidRPr="00BF6B82">
        <w:rPr>
          <w:rFonts w:ascii="Arial" w:hAnsi="Arial" w:cs="Arial"/>
          <w:sz w:val="22"/>
          <w:szCs w:val="22"/>
        </w:rPr>
        <w:t>% delle imprese è organizzato in strutture di gruppo (</w:t>
      </w:r>
      <w:r w:rsidR="008F3717" w:rsidRPr="00BF6B82">
        <w:rPr>
          <w:rFonts w:ascii="Arial" w:hAnsi="Arial" w:cs="Arial"/>
          <w:sz w:val="22"/>
          <w:szCs w:val="22"/>
        </w:rPr>
        <w:t>200.016</w:t>
      </w:r>
      <w:r w:rsidRPr="00BF6B82">
        <w:rPr>
          <w:rFonts w:ascii="Arial" w:hAnsi="Arial" w:cs="Arial"/>
          <w:sz w:val="22"/>
          <w:szCs w:val="22"/>
        </w:rPr>
        <w:t xml:space="preserve"> imprese in </w:t>
      </w:r>
      <w:r w:rsidR="008F3717" w:rsidRPr="00BF6B82">
        <w:rPr>
          <w:rFonts w:ascii="Arial" w:hAnsi="Arial" w:cs="Arial"/>
          <w:sz w:val="22"/>
          <w:szCs w:val="22"/>
        </w:rPr>
        <w:t>131.212</w:t>
      </w:r>
      <w:r w:rsidRPr="00BF6B82">
        <w:rPr>
          <w:rFonts w:ascii="Arial" w:hAnsi="Arial" w:cs="Arial"/>
          <w:sz w:val="22"/>
          <w:szCs w:val="22"/>
        </w:rPr>
        <w:t xml:space="preserve"> gruppi), con oltre </w:t>
      </w:r>
      <w:r w:rsidR="008F3717" w:rsidRPr="00BF6B82">
        <w:rPr>
          <w:rFonts w:ascii="Arial" w:hAnsi="Arial" w:cs="Arial"/>
          <w:sz w:val="22"/>
          <w:szCs w:val="22"/>
        </w:rPr>
        <w:t>7</w:t>
      </w:r>
      <w:r w:rsidRPr="00BF6B82">
        <w:rPr>
          <w:rFonts w:ascii="Arial" w:hAnsi="Arial" w:cs="Arial"/>
          <w:sz w:val="22"/>
          <w:szCs w:val="22"/>
        </w:rPr>
        <w:t>,</w:t>
      </w:r>
      <w:r w:rsidR="008F3717" w:rsidRPr="00BF6B82">
        <w:rPr>
          <w:rFonts w:ascii="Arial" w:hAnsi="Arial" w:cs="Arial"/>
          <w:sz w:val="22"/>
          <w:szCs w:val="22"/>
        </w:rPr>
        <w:t>2</w:t>
      </w:r>
      <w:r w:rsidRPr="00BF6B82">
        <w:rPr>
          <w:rFonts w:ascii="Arial" w:hAnsi="Arial" w:cs="Arial"/>
          <w:sz w:val="22"/>
          <w:szCs w:val="22"/>
        </w:rPr>
        <w:t xml:space="preserve"> milioni di addetti (+</w:t>
      </w:r>
      <w:r w:rsidR="008F3717" w:rsidRPr="00BF6B82">
        <w:rPr>
          <w:rFonts w:ascii="Arial" w:hAnsi="Arial" w:cs="Arial"/>
          <w:sz w:val="22"/>
          <w:szCs w:val="22"/>
        </w:rPr>
        <w:t>5</w:t>
      </w:r>
      <w:r w:rsidRPr="00BF6B82">
        <w:rPr>
          <w:rFonts w:ascii="Arial" w:hAnsi="Arial" w:cs="Arial"/>
          <w:sz w:val="22"/>
          <w:szCs w:val="22"/>
        </w:rPr>
        <w:t>,1% sul 202</w:t>
      </w:r>
      <w:r w:rsidR="008F3717" w:rsidRPr="00BF6B82">
        <w:rPr>
          <w:rFonts w:ascii="Arial" w:hAnsi="Arial" w:cs="Arial"/>
          <w:sz w:val="22"/>
          <w:szCs w:val="22"/>
        </w:rPr>
        <w:t>3</w:t>
      </w:r>
      <w:r w:rsidRPr="00BF6B82">
        <w:rPr>
          <w:rFonts w:ascii="Arial" w:hAnsi="Arial" w:cs="Arial"/>
          <w:sz w:val="22"/>
          <w:szCs w:val="22"/>
        </w:rPr>
        <w:t>)</w:t>
      </w:r>
      <w:r w:rsidR="00F56C0B">
        <w:rPr>
          <w:rFonts w:ascii="Arial" w:hAnsi="Arial" w:cs="Arial"/>
          <w:sz w:val="22"/>
          <w:szCs w:val="22"/>
        </w:rPr>
        <w:t xml:space="preserve">. Le imprese appartenenti a </w:t>
      </w:r>
      <w:r w:rsidR="00147645">
        <w:rPr>
          <w:rFonts w:ascii="Arial" w:hAnsi="Arial" w:cs="Arial"/>
          <w:sz w:val="22"/>
          <w:szCs w:val="22"/>
        </w:rPr>
        <w:t>gruppi</w:t>
      </w:r>
      <w:r w:rsidR="00147645" w:rsidRPr="00BF6B82">
        <w:rPr>
          <w:rFonts w:ascii="Arial" w:hAnsi="Arial" w:cs="Arial"/>
          <w:sz w:val="22"/>
          <w:szCs w:val="22"/>
        </w:rPr>
        <w:t xml:space="preserve"> generano</w:t>
      </w:r>
      <w:r w:rsidR="00EC6D34" w:rsidRPr="00BF6B82">
        <w:rPr>
          <w:rFonts w:ascii="Arial" w:hAnsi="Arial" w:cs="Arial"/>
          <w:sz w:val="22"/>
          <w:szCs w:val="22"/>
        </w:rPr>
        <w:t xml:space="preserve"> il 5</w:t>
      </w:r>
      <w:r w:rsidR="00BC7731" w:rsidRPr="00BF6B82">
        <w:rPr>
          <w:rFonts w:ascii="Arial" w:hAnsi="Arial" w:cs="Arial"/>
          <w:sz w:val="22"/>
          <w:szCs w:val="22"/>
        </w:rPr>
        <w:t>8</w:t>
      </w:r>
      <w:r w:rsidR="00EC6D34" w:rsidRPr="00BF6B82">
        <w:rPr>
          <w:rFonts w:ascii="Arial" w:hAnsi="Arial" w:cs="Arial"/>
          <w:sz w:val="22"/>
          <w:szCs w:val="22"/>
        </w:rPr>
        <w:t>,</w:t>
      </w:r>
      <w:r w:rsidR="00BC7731" w:rsidRPr="00BF6B82">
        <w:rPr>
          <w:rFonts w:ascii="Arial" w:hAnsi="Arial" w:cs="Arial"/>
          <w:sz w:val="22"/>
          <w:szCs w:val="22"/>
        </w:rPr>
        <w:t>7</w:t>
      </w:r>
      <w:r w:rsidR="00EC6D34" w:rsidRPr="00BF6B82">
        <w:rPr>
          <w:rFonts w:ascii="Arial" w:hAnsi="Arial" w:cs="Arial"/>
          <w:sz w:val="22"/>
          <w:szCs w:val="22"/>
        </w:rPr>
        <w:t>% del valore aggiunto dell’industria e dei servizi</w:t>
      </w:r>
      <w:r w:rsidRPr="00BF6B82">
        <w:rPr>
          <w:rFonts w:ascii="Arial" w:hAnsi="Arial" w:cs="Arial"/>
          <w:sz w:val="22"/>
          <w:szCs w:val="22"/>
        </w:rPr>
        <w:t xml:space="preserve">. </w:t>
      </w:r>
      <w:r w:rsidR="00093832">
        <w:rPr>
          <w:rFonts w:ascii="Arial" w:hAnsi="Arial" w:cs="Arial"/>
          <w:sz w:val="22"/>
          <w:szCs w:val="22"/>
        </w:rPr>
        <w:t>L</w:t>
      </w:r>
      <w:r w:rsidR="00093832" w:rsidRPr="00BF6B82">
        <w:rPr>
          <w:rFonts w:ascii="Arial" w:hAnsi="Arial" w:cs="Arial"/>
          <w:sz w:val="22"/>
          <w:szCs w:val="22"/>
        </w:rPr>
        <w:t xml:space="preserve">e grandi imprese organizzate in gruppi </w:t>
      </w:r>
      <w:r w:rsidR="00093832">
        <w:rPr>
          <w:rFonts w:ascii="Arial" w:hAnsi="Arial" w:cs="Arial"/>
          <w:sz w:val="22"/>
          <w:szCs w:val="22"/>
        </w:rPr>
        <w:t>c</w:t>
      </w:r>
      <w:r w:rsidR="00093832" w:rsidRPr="00BF6B82">
        <w:rPr>
          <w:rFonts w:ascii="Arial" w:hAnsi="Arial" w:cs="Arial"/>
          <w:sz w:val="22"/>
          <w:szCs w:val="22"/>
        </w:rPr>
        <w:t>rescono</w:t>
      </w:r>
      <w:r w:rsidR="00093832">
        <w:rPr>
          <w:rFonts w:ascii="Arial" w:hAnsi="Arial" w:cs="Arial"/>
          <w:sz w:val="22"/>
          <w:szCs w:val="22"/>
        </w:rPr>
        <w:t xml:space="preserve">, in termini di numerosità, </w:t>
      </w:r>
      <w:r w:rsidR="00093832" w:rsidRPr="00BF6B82">
        <w:rPr>
          <w:rFonts w:ascii="Arial" w:hAnsi="Arial" w:cs="Arial"/>
          <w:sz w:val="22"/>
          <w:szCs w:val="22"/>
        </w:rPr>
        <w:t xml:space="preserve">del 5,7% e realizzano il 57,3% del valore aggiunto </w:t>
      </w:r>
      <w:r w:rsidR="00F56C0B">
        <w:rPr>
          <w:rFonts w:ascii="Arial" w:hAnsi="Arial" w:cs="Arial"/>
          <w:sz w:val="22"/>
          <w:szCs w:val="22"/>
        </w:rPr>
        <w:t xml:space="preserve">non consolidato </w:t>
      </w:r>
      <w:r w:rsidR="00093832" w:rsidRPr="00BF6B82">
        <w:rPr>
          <w:rFonts w:ascii="Arial" w:hAnsi="Arial" w:cs="Arial"/>
          <w:sz w:val="22"/>
          <w:szCs w:val="22"/>
        </w:rPr>
        <w:t xml:space="preserve">dei gruppi. </w:t>
      </w:r>
    </w:p>
    <w:p w14:paraId="3AEF3601" w14:textId="0F2745CF" w:rsidR="005E7148" w:rsidRPr="00BF6B82" w:rsidRDefault="005E7148" w:rsidP="005E7148">
      <w:pPr>
        <w:spacing w:after="120" w:line="240" w:lineRule="auto"/>
        <w:jc w:val="both"/>
        <w:outlineLvl w:val="0"/>
        <w:rPr>
          <w:rFonts w:ascii="Arial" w:hAnsi="Arial" w:cs="Arial"/>
          <w:sz w:val="22"/>
          <w:szCs w:val="22"/>
        </w:rPr>
      </w:pPr>
      <w:r w:rsidRPr="00BF6B82">
        <w:rPr>
          <w:rFonts w:ascii="Arial" w:hAnsi="Arial" w:cs="Arial"/>
          <w:sz w:val="22"/>
          <w:szCs w:val="22"/>
        </w:rPr>
        <w:t xml:space="preserve">La crescita occupazionale riguarda le imprese appartenenti a tutte le tipologie di gruppi: </w:t>
      </w:r>
      <w:r w:rsidR="00EF5D21" w:rsidRPr="00BF6B82">
        <w:rPr>
          <w:rFonts w:ascii="Arial" w:hAnsi="Arial" w:cs="Arial"/>
          <w:sz w:val="22"/>
          <w:szCs w:val="22"/>
        </w:rPr>
        <w:t>+6</w:t>
      </w:r>
      <w:r w:rsidR="00EF5D21">
        <w:rPr>
          <w:rFonts w:ascii="Arial" w:hAnsi="Arial" w:cs="Arial"/>
          <w:sz w:val="22"/>
          <w:szCs w:val="22"/>
        </w:rPr>
        <w:t>,0</w:t>
      </w:r>
      <w:r w:rsidR="00EF5D21" w:rsidRPr="00BF6B82">
        <w:rPr>
          <w:rFonts w:ascii="Arial" w:hAnsi="Arial" w:cs="Arial"/>
          <w:sz w:val="22"/>
          <w:szCs w:val="22"/>
        </w:rPr>
        <w:t>% per le imprese delle multinazionali estere</w:t>
      </w:r>
      <w:r w:rsidR="00EF5D21">
        <w:rPr>
          <w:rFonts w:ascii="Arial" w:hAnsi="Arial" w:cs="Arial"/>
          <w:sz w:val="22"/>
          <w:szCs w:val="22"/>
        </w:rPr>
        <w:t>,</w:t>
      </w:r>
      <w:r w:rsidR="00EF5D21" w:rsidRPr="00BF6B82">
        <w:rPr>
          <w:rFonts w:ascii="Arial" w:hAnsi="Arial" w:cs="Arial"/>
          <w:sz w:val="22"/>
          <w:szCs w:val="22"/>
        </w:rPr>
        <w:t xml:space="preserve"> </w:t>
      </w:r>
      <w:r w:rsidR="0097759B" w:rsidRPr="00BF6B82">
        <w:rPr>
          <w:rFonts w:ascii="Arial" w:hAnsi="Arial" w:cs="Arial"/>
          <w:sz w:val="22"/>
          <w:szCs w:val="22"/>
        </w:rPr>
        <w:t>+</w:t>
      </w:r>
      <w:r w:rsidR="008F3717" w:rsidRPr="00BF6B82">
        <w:rPr>
          <w:rFonts w:ascii="Arial" w:hAnsi="Arial" w:cs="Arial"/>
          <w:sz w:val="22"/>
          <w:szCs w:val="22"/>
        </w:rPr>
        <w:t>4</w:t>
      </w:r>
      <w:r w:rsidRPr="00BF6B82">
        <w:rPr>
          <w:rFonts w:ascii="Arial" w:hAnsi="Arial" w:cs="Arial"/>
          <w:sz w:val="22"/>
          <w:szCs w:val="22"/>
        </w:rPr>
        <w:t>,</w:t>
      </w:r>
      <w:r w:rsidR="008F3717" w:rsidRPr="00BF6B82">
        <w:rPr>
          <w:rFonts w:ascii="Arial" w:hAnsi="Arial" w:cs="Arial"/>
          <w:sz w:val="22"/>
          <w:szCs w:val="22"/>
        </w:rPr>
        <w:t>9</w:t>
      </w:r>
      <w:r w:rsidRPr="00BF6B82">
        <w:rPr>
          <w:rFonts w:ascii="Arial" w:hAnsi="Arial" w:cs="Arial"/>
          <w:sz w:val="22"/>
          <w:szCs w:val="22"/>
        </w:rPr>
        <w:t xml:space="preserve">% per le imprese dei gruppi domestici e </w:t>
      </w:r>
      <w:r w:rsidR="0097759B" w:rsidRPr="00BF6B82">
        <w:rPr>
          <w:rFonts w:ascii="Arial" w:hAnsi="Arial" w:cs="Arial"/>
          <w:sz w:val="22"/>
          <w:szCs w:val="22"/>
        </w:rPr>
        <w:t>+</w:t>
      </w:r>
      <w:r w:rsidR="008F3717" w:rsidRPr="00BF6B82">
        <w:rPr>
          <w:rFonts w:ascii="Arial" w:hAnsi="Arial" w:cs="Arial"/>
          <w:sz w:val="22"/>
          <w:szCs w:val="22"/>
        </w:rPr>
        <w:t>4</w:t>
      </w:r>
      <w:r w:rsidRPr="00BF6B82">
        <w:rPr>
          <w:rFonts w:ascii="Arial" w:hAnsi="Arial" w:cs="Arial"/>
          <w:sz w:val="22"/>
          <w:szCs w:val="22"/>
        </w:rPr>
        <w:t>,</w:t>
      </w:r>
      <w:r w:rsidR="008F3717" w:rsidRPr="00BF6B82">
        <w:rPr>
          <w:rFonts w:ascii="Arial" w:hAnsi="Arial" w:cs="Arial"/>
          <w:sz w:val="22"/>
          <w:szCs w:val="22"/>
        </w:rPr>
        <w:t>6</w:t>
      </w:r>
      <w:r w:rsidRPr="00BF6B82">
        <w:rPr>
          <w:rFonts w:ascii="Arial" w:hAnsi="Arial" w:cs="Arial"/>
          <w:sz w:val="22"/>
          <w:szCs w:val="22"/>
        </w:rPr>
        <w:t xml:space="preserve">% per le imprese delle multinazionali italiane. </w:t>
      </w:r>
    </w:p>
    <w:p w14:paraId="361A05B8" w14:textId="7F120EE9" w:rsidR="00CA512A" w:rsidRDefault="00CA512A" w:rsidP="00700F89">
      <w:pPr>
        <w:autoSpaceDE w:val="0"/>
        <w:autoSpaceDN w:val="0"/>
        <w:adjustRightInd w:val="0"/>
        <w:spacing w:after="0" w:line="240" w:lineRule="auto"/>
        <w:ind w:right="142"/>
        <w:jc w:val="both"/>
        <w:rPr>
          <w:rFonts w:ascii="Arial Black" w:hAnsi="Arial Black" w:cs="Arial"/>
          <w:iCs/>
          <w:noProof/>
          <w:color w:val="1F497D" w:themeColor="text2"/>
          <w:sz w:val="22"/>
          <w:szCs w:val="22"/>
          <w:highlight w:val="green"/>
        </w:rPr>
      </w:pPr>
    </w:p>
    <w:p w14:paraId="72D2F3CE" w14:textId="76340D81" w:rsidR="0008089A" w:rsidRDefault="0008089A" w:rsidP="00700F89">
      <w:pPr>
        <w:autoSpaceDE w:val="0"/>
        <w:autoSpaceDN w:val="0"/>
        <w:adjustRightInd w:val="0"/>
        <w:spacing w:after="0" w:line="240" w:lineRule="auto"/>
        <w:ind w:right="142"/>
        <w:jc w:val="both"/>
        <w:rPr>
          <w:rFonts w:ascii="Arial Black" w:hAnsi="Arial Black" w:cs="Arial"/>
          <w:iCs/>
          <w:noProof/>
          <w:color w:val="1F497D" w:themeColor="text2"/>
          <w:sz w:val="22"/>
          <w:szCs w:val="22"/>
          <w:highlight w:val="green"/>
        </w:rPr>
      </w:pPr>
    </w:p>
    <w:p w14:paraId="45F7170F" w14:textId="333C6468" w:rsidR="0008089A" w:rsidRDefault="0008089A" w:rsidP="00700F89">
      <w:pPr>
        <w:autoSpaceDE w:val="0"/>
        <w:autoSpaceDN w:val="0"/>
        <w:adjustRightInd w:val="0"/>
        <w:spacing w:after="0" w:line="240" w:lineRule="auto"/>
        <w:ind w:right="142"/>
        <w:jc w:val="both"/>
        <w:rPr>
          <w:rFonts w:ascii="Arial Black" w:hAnsi="Arial Black" w:cs="Arial"/>
          <w:iCs/>
          <w:noProof/>
          <w:color w:val="1F497D" w:themeColor="text2"/>
          <w:sz w:val="22"/>
          <w:szCs w:val="22"/>
          <w:highlight w:val="green"/>
        </w:rPr>
      </w:pPr>
    </w:p>
    <w:p w14:paraId="2EE4A7F9" w14:textId="150CCC28" w:rsidR="0008089A" w:rsidRDefault="0008089A" w:rsidP="00700F89">
      <w:pPr>
        <w:autoSpaceDE w:val="0"/>
        <w:autoSpaceDN w:val="0"/>
        <w:adjustRightInd w:val="0"/>
        <w:spacing w:after="0" w:line="240" w:lineRule="auto"/>
        <w:ind w:right="142"/>
        <w:jc w:val="both"/>
        <w:rPr>
          <w:rFonts w:ascii="Arial Black" w:hAnsi="Arial Black" w:cs="Arial"/>
          <w:iCs/>
          <w:noProof/>
          <w:color w:val="1F497D" w:themeColor="text2"/>
          <w:sz w:val="22"/>
          <w:szCs w:val="22"/>
          <w:highlight w:val="green"/>
        </w:rPr>
      </w:pPr>
    </w:p>
    <w:p w14:paraId="2700E610" w14:textId="77777777" w:rsidR="0008089A" w:rsidRDefault="0008089A" w:rsidP="00700F89">
      <w:pPr>
        <w:autoSpaceDE w:val="0"/>
        <w:autoSpaceDN w:val="0"/>
        <w:adjustRightInd w:val="0"/>
        <w:spacing w:after="0" w:line="240" w:lineRule="auto"/>
        <w:ind w:right="142"/>
        <w:jc w:val="both"/>
        <w:rPr>
          <w:rFonts w:ascii="Arial Black" w:hAnsi="Arial Black" w:cs="Arial"/>
          <w:iCs/>
          <w:noProof/>
          <w:color w:val="1F497D" w:themeColor="text2"/>
          <w:sz w:val="22"/>
          <w:szCs w:val="22"/>
          <w:highlight w:val="green"/>
        </w:rPr>
      </w:pPr>
    </w:p>
    <w:p w14:paraId="31AB8BD3" w14:textId="77777777" w:rsidR="00DC3A15" w:rsidRDefault="00DC3A15" w:rsidP="00700F89">
      <w:pPr>
        <w:autoSpaceDE w:val="0"/>
        <w:autoSpaceDN w:val="0"/>
        <w:adjustRightInd w:val="0"/>
        <w:spacing w:after="0" w:line="240" w:lineRule="auto"/>
        <w:ind w:right="142"/>
        <w:jc w:val="both"/>
        <w:rPr>
          <w:rFonts w:ascii="Arial Black" w:hAnsi="Arial Black" w:cs="Arial"/>
          <w:iCs/>
          <w:noProof/>
          <w:color w:val="1F497D" w:themeColor="text2"/>
          <w:sz w:val="22"/>
          <w:szCs w:val="22"/>
          <w:highlight w:val="green"/>
        </w:rPr>
      </w:pPr>
    </w:p>
    <w:p w14:paraId="1F1894EC" w14:textId="115B95AD" w:rsidR="0013790F" w:rsidRDefault="0013790F" w:rsidP="00700F89">
      <w:pPr>
        <w:autoSpaceDE w:val="0"/>
        <w:autoSpaceDN w:val="0"/>
        <w:adjustRightInd w:val="0"/>
        <w:spacing w:after="0" w:line="240" w:lineRule="auto"/>
        <w:ind w:right="142"/>
        <w:jc w:val="both"/>
        <w:rPr>
          <w:rFonts w:ascii="Arial Narrow" w:hAnsi="Arial Narrow" w:cs="Arial"/>
          <w:color w:val="1F497D" w:themeColor="text2"/>
          <w:sz w:val="22"/>
          <w:szCs w:val="22"/>
        </w:rPr>
      </w:pPr>
      <w:r w:rsidRPr="00071984">
        <w:rPr>
          <w:rFonts w:ascii="Arial Black" w:hAnsi="Arial Black" w:cs="Arial"/>
          <w:iCs/>
          <w:noProof/>
          <w:color w:val="1F497D" w:themeColor="text2"/>
          <w:sz w:val="22"/>
          <w:szCs w:val="22"/>
        </w:rPr>
        <w:t>PRINCIPALI INDICATORI ECONOMICI DELLE IMPRESE INDUSTRIALI E DEI SERVIZI PER DIMENSION</w:t>
      </w:r>
      <w:r w:rsidR="00F56C0B">
        <w:rPr>
          <w:rFonts w:ascii="Arial Black" w:hAnsi="Arial Black" w:cs="Arial"/>
          <w:iCs/>
          <w:noProof/>
          <w:color w:val="1F497D" w:themeColor="text2"/>
          <w:sz w:val="22"/>
          <w:szCs w:val="22"/>
        </w:rPr>
        <w:t>E  ECONOMICA</w:t>
      </w:r>
      <w:r w:rsidRPr="00071984">
        <w:rPr>
          <w:rFonts w:ascii="Arial Black" w:hAnsi="Arial Black" w:cs="Arial"/>
          <w:iCs/>
          <w:noProof/>
          <w:color w:val="1F497D" w:themeColor="text2"/>
          <w:sz w:val="22"/>
          <w:szCs w:val="22"/>
        </w:rPr>
        <w:t xml:space="preserve">. </w:t>
      </w:r>
      <w:r w:rsidRPr="00BF6B82">
        <w:rPr>
          <w:rFonts w:ascii="Arial Narrow" w:hAnsi="Arial Narrow" w:cs="Arial"/>
          <w:color w:val="1F497D" w:themeColor="text2"/>
          <w:sz w:val="22"/>
          <w:szCs w:val="22"/>
        </w:rPr>
        <w:t>Anno 202</w:t>
      </w:r>
      <w:r w:rsidR="00062FBA" w:rsidRPr="00BF6B82">
        <w:rPr>
          <w:rFonts w:ascii="Arial Narrow" w:hAnsi="Arial Narrow" w:cs="Arial"/>
          <w:color w:val="1F497D" w:themeColor="text2"/>
          <w:sz w:val="22"/>
          <w:szCs w:val="22"/>
        </w:rPr>
        <w:t>4</w:t>
      </w:r>
    </w:p>
    <w:p w14:paraId="55D322F5" w14:textId="77777777" w:rsidR="002249ED" w:rsidRPr="00F40DE8" w:rsidRDefault="002249ED" w:rsidP="00700F89">
      <w:pPr>
        <w:autoSpaceDE w:val="0"/>
        <w:autoSpaceDN w:val="0"/>
        <w:adjustRightInd w:val="0"/>
        <w:spacing w:after="0" w:line="240" w:lineRule="auto"/>
        <w:ind w:right="142"/>
        <w:jc w:val="both"/>
        <w:rPr>
          <w:rFonts w:ascii="Arial Narrow" w:hAnsi="Arial Narrow" w:cs="Arial"/>
          <w:color w:val="1F497D" w:themeColor="text2"/>
          <w:sz w:val="14"/>
          <w:szCs w:val="18"/>
        </w:rPr>
      </w:pPr>
    </w:p>
    <w:tbl>
      <w:tblPr>
        <w:tblW w:w="9689" w:type="dxa"/>
        <w:tblBorders>
          <w:top w:val="single" w:sz="4" w:space="0" w:color="FFFFFF" w:themeColor="background1"/>
          <w:bottom w:val="single" w:sz="4" w:space="0" w:color="FFFFFF" w:themeColor="background1"/>
          <w:insideH w:val="single" w:sz="4" w:space="0" w:color="FFFFFF" w:themeColor="background1"/>
        </w:tblBorders>
        <w:tblCellMar>
          <w:left w:w="70" w:type="dxa"/>
          <w:right w:w="70" w:type="dxa"/>
        </w:tblCellMar>
        <w:tblLook w:val="04A0" w:firstRow="1" w:lastRow="0" w:firstColumn="1" w:lastColumn="0" w:noHBand="0" w:noVBand="1"/>
      </w:tblPr>
      <w:tblGrid>
        <w:gridCol w:w="1172"/>
        <w:gridCol w:w="1172"/>
        <w:gridCol w:w="1172"/>
        <w:gridCol w:w="1172"/>
        <w:gridCol w:w="1172"/>
        <w:gridCol w:w="1172"/>
        <w:gridCol w:w="1273"/>
        <w:gridCol w:w="1384"/>
      </w:tblGrid>
      <w:tr w:rsidR="0008089A" w:rsidRPr="00F40DE8" w14:paraId="784C342E" w14:textId="77777777" w:rsidTr="0008089A">
        <w:trPr>
          <w:trHeight w:val="886"/>
        </w:trPr>
        <w:tc>
          <w:tcPr>
            <w:tcW w:w="1172" w:type="dxa"/>
            <w:tcBorders>
              <w:bottom w:val="nil"/>
            </w:tcBorders>
            <w:vAlign w:val="center"/>
            <w:hideMark/>
          </w:tcPr>
          <w:p w14:paraId="1ECB8ECD" w14:textId="77777777" w:rsidR="0013790F" w:rsidRPr="005D35E3" w:rsidRDefault="0013790F" w:rsidP="00700F89">
            <w:pPr>
              <w:spacing w:before="60" w:after="40" w:line="240" w:lineRule="auto"/>
              <w:rPr>
                <w:rFonts w:ascii="Arial Narrow" w:hAnsi="Arial Narrow" w:cs="Calibri"/>
                <w:b/>
                <w:bCs/>
                <w:color w:val="1F497D"/>
                <w:sz w:val="18"/>
                <w:szCs w:val="18"/>
              </w:rPr>
            </w:pPr>
            <w:r w:rsidRPr="005D35E3">
              <w:rPr>
                <w:rFonts w:ascii="Arial Narrow" w:hAnsi="Arial Narrow" w:cs="Calibri"/>
                <w:b/>
                <w:bCs/>
                <w:color w:val="1F497D"/>
                <w:sz w:val="18"/>
                <w:szCs w:val="18"/>
              </w:rPr>
              <w:t>CLASSI DI ADDETTI</w:t>
            </w:r>
          </w:p>
        </w:tc>
        <w:tc>
          <w:tcPr>
            <w:tcW w:w="1172" w:type="dxa"/>
            <w:tcBorders>
              <w:bottom w:val="single" w:sz="4" w:space="0" w:color="FFFFFF" w:themeColor="background1"/>
            </w:tcBorders>
            <w:shd w:val="clear" w:color="auto" w:fill="365F91" w:themeFill="accent1" w:themeFillShade="BF"/>
            <w:vAlign w:val="center"/>
            <w:hideMark/>
          </w:tcPr>
          <w:p w14:paraId="023217FB" w14:textId="77777777" w:rsidR="0013790F" w:rsidRPr="005D35E3" w:rsidRDefault="0013790F" w:rsidP="00700F89">
            <w:pPr>
              <w:spacing w:before="60" w:after="40" w:line="240" w:lineRule="auto"/>
              <w:jc w:val="center"/>
              <w:rPr>
                <w:rFonts w:ascii="Arial Narrow" w:hAnsi="Arial Narrow" w:cs="Calibri"/>
                <w:b/>
                <w:bCs/>
                <w:color w:val="FFFFFF"/>
                <w:sz w:val="18"/>
                <w:szCs w:val="18"/>
              </w:rPr>
            </w:pPr>
            <w:r w:rsidRPr="005D35E3">
              <w:rPr>
                <w:rFonts w:ascii="Arial Narrow" w:hAnsi="Arial Narrow" w:cs="Calibri"/>
                <w:b/>
                <w:bCs/>
                <w:color w:val="FFFFFF"/>
                <w:sz w:val="18"/>
                <w:szCs w:val="18"/>
              </w:rPr>
              <w:t>Imprese</w:t>
            </w:r>
          </w:p>
        </w:tc>
        <w:tc>
          <w:tcPr>
            <w:tcW w:w="1172" w:type="dxa"/>
            <w:tcBorders>
              <w:bottom w:val="single" w:sz="4" w:space="0" w:color="FFFFFF" w:themeColor="background1"/>
            </w:tcBorders>
            <w:shd w:val="clear" w:color="auto" w:fill="365F91" w:themeFill="accent1" w:themeFillShade="BF"/>
            <w:vAlign w:val="center"/>
            <w:hideMark/>
          </w:tcPr>
          <w:p w14:paraId="56CEB2ED" w14:textId="77777777" w:rsidR="0013790F" w:rsidRPr="005D35E3" w:rsidRDefault="0013790F" w:rsidP="00700F89">
            <w:pPr>
              <w:spacing w:before="60" w:after="40" w:line="240" w:lineRule="auto"/>
              <w:jc w:val="center"/>
              <w:rPr>
                <w:rFonts w:ascii="Arial Narrow" w:hAnsi="Arial Narrow" w:cs="Calibri"/>
                <w:b/>
                <w:bCs/>
                <w:color w:val="FFFFFF"/>
                <w:sz w:val="18"/>
                <w:szCs w:val="18"/>
              </w:rPr>
            </w:pPr>
            <w:r w:rsidRPr="005D35E3">
              <w:rPr>
                <w:rFonts w:ascii="Arial Narrow" w:hAnsi="Arial Narrow" w:cs="Calibri"/>
                <w:b/>
                <w:bCs/>
                <w:color w:val="FFFFFF"/>
                <w:sz w:val="18"/>
                <w:szCs w:val="18"/>
              </w:rPr>
              <w:t>Addetti</w:t>
            </w:r>
          </w:p>
        </w:tc>
        <w:tc>
          <w:tcPr>
            <w:tcW w:w="1172" w:type="dxa"/>
            <w:tcBorders>
              <w:bottom w:val="single" w:sz="4" w:space="0" w:color="FFFFFF" w:themeColor="background1"/>
            </w:tcBorders>
            <w:shd w:val="clear" w:color="auto" w:fill="365F91" w:themeFill="accent1" w:themeFillShade="BF"/>
            <w:vAlign w:val="center"/>
            <w:hideMark/>
          </w:tcPr>
          <w:p w14:paraId="52B31786" w14:textId="77777777" w:rsidR="0013790F" w:rsidRPr="005D35E3" w:rsidRDefault="0013790F" w:rsidP="00700F89">
            <w:pPr>
              <w:spacing w:before="60" w:after="40" w:line="240" w:lineRule="auto"/>
              <w:jc w:val="center"/>
              <w:rPr>
                <w:rFonts w:ascii="Arial Narrow" w:hAnsi="Arial Narrow" w:cs="Calibri"/>
                <w:b/>
                <w:bCs/>
                <w:color w:val="FFFFFF"/>
                <w:sz w:val="18"/>
                <w:szCs w:val="18"/>
              </w:rPr>
            </w:pPr>
            <w:r w:rsidRPr="005D35E3">
              <w:rPr>
                <w:rFonts w:ascii="Arial Narrow" w:hAnsi="Arial Narrow" w:cs="Calibri"/>
                <w:b/>
                <w:bCs/>
                <w:color w:val="FFFFFF"/>
                <w:sz w:val="18"/>
                <w:szCs w:val="18"/>
              </w:rPr>
              <w:t>Dipendenti</w:t>
            </w:r>
          </w:p>
        </w:tc>
        <w:tc>
          <w:tcPr>
            <w:tcW w:w="1172" w:type="dxa"/>
            <w:tcBorders>
              <w:bottom w:val="single" w:sz="4" w:space="0" w:color="FFFFFF" w:themeColor="background1"/>
            </w:tcBorders>
            <w:shd w:val="clear" w:color="auto" w:fill="365F91" w:themeFill="accent1" w:themeFillShade="BF"/>
            <w:vAlign w:val="center"/>
            <w:hideMark/>
          </w:tcPr>
          <w:p w14:paraId="3B9A4FF7" w14:textId="4E47D010" w:rsidR="0013790F" w:rsidRPr="005D35E3" w:rsidRDefault="0013790F" w:rsidP="00700F89">
            <w:pPr>
              <w:spacing w:before="60" w:after="40" w:line="240" w:lineRule="auto"/>
              <w:jc w:val="center"/>
              <w:rPr>
                <w:rFonts w:ascii="Arial Narrow" w:hAnsi="Arial Narrow" w:cs="Calibri"/>
                <w:b/>
                <w:bCs/>
                <w:color w:val="FFFFFF"/>
                <w:sz w:val="18"/>
                <w:szCs w:val="18"/>
              </w:rPr>
            </w:pPr>
            <w:r w:rsidRPr="005D35E3">
              <w:rPr>
                <w:rFonts w:ascii="Arial Narrow" w:hAnsi="Arial Narrow" w:cs="Calibri"/>
                <w:b/>
                <w:bCs/>
                <w:color w:val="FFFFFF"/>
                <w:sz w:val="18"/>
                <w:szCs w:val="18"/>
              </w:rPr>
              <w:t>Fatturato</w:t>
            </w:r>
          </w:p>
          <w:p w14:paraId="29FA79DE" w14:textId="77777777" w:rsidR="0013790F" w:rsidRPr="005D35E3" w:rsidRDefault="0013790F" w:rsidP="00700F89">
            <w:pPr>
              <w:spacing w:before="60" w:after="40" w:line="240" w:lineRule="auto"/>
              <w:jc w:val="center"/>
              <w:rPr>
                <w:rFonts w:ascii="Arial Narrow" w:hAnsi="Arial Narrow" w:cs="Calibri"/>
                <w:b/>
                <w:bCs/>
                <w:color w:val="FFFFFF"/>
                <w:sz w:val="18"/>
                <w:szCs w:val="18"/>
              </w:rPr>
            </w:pPr>
            <w:r w:rsidRPr="005D35E3">
              <w:rPr>
                <w:rFonts w:ascii="Arial Narrow" w:hAnsi="Arial Narrow" w:cs="Calibri"/>
                <w:b/>
                <w:bCs/>
                <w:color w:val="FFFFFF"/>
                <w:sz w:val="18"/>
                <w:szCs w:val="18"/>
              </w:rPr>
              <w:t>(mln di euro)</w:t>
            </w:r>
          </w:p>
        </w:tc>
        <w:tc>
          <w:tcPr>
            <w:tcW w:w="1172" w:type="dxa"/>
            <w:tcBorders>
              <w:bottom w:val="single" w:sz="4" w:space="0" w:color="FFFFFF" w:themeColor="background1"/>
            </w:tcBorders>
            <w:shd w:val="clear" w:color="auto" w:fill="365F91" w:themeFill="accent1" w:themeFillShade="BF"/>
            <w:vAlign w:val="center"/>
            <w:hideMark/>
          </w:tcPr>
          <w:p w14:paraId="092209E6" w14:textId="3405C3E4" w:rsidR="0013790F" w:rsidRPr="005D35E3" w:rsidRDefault="0013790F" w:rsidP="00700F89">
            <w:pPr>
              <w:spacing w:before="60" w:after="40" w:line="240" w:lineRule="auto"/>
              <w:jc w:val="center"/>
              <w:rPr>
                <w:rFonts w:ascii="Arial Narrow" w:hAnsi="Arial Narrow" w:cs="Calibri"/>
                <w:b/>
                <w:bCs/>
                <w:color w:val="FFFFFF"/>
                <w:sz w:val="18"/>
                <w:szCs w:val="18"/>
              </w:rPr>
            </w:pPr>
            <w:r w:rsidRPr="005D35E3">
              <w:rPr>
                <w:rFonts w:ascii="Arial Narrow" w:hAnsi="Arial Narrow" w:cs="Calibri"/>
                <w:b/>
                <w:bCs/>
                <w:color w:val="FFFFFF"/>
                <w:sz w:val="18"/>
                <w:szCs w:val="18"/>
              </w:rPr>
              <w:t>Valore aggiunto</w:t>
            </w:r>
          </w:p>
          <w:p w14:paraId="79E284A2" w14:textId="77777777" w:rsidR="0013790F" w:rsidRPr="005D35E3" w:rsidRDefault="0013790F" w:rsidP="00700F89">
            <w:pPr>
              <w:spacing w:before="60" w:after="40" w:line="240" w:lineRule="auto"/>
              <w:jc w:val="center"/>
              <w:rPr>
                <w:rFonts w:ascii="Arial Narrow" w:hAnsi="Arial Narrow" w:cs="Calibri"/>
                <w:b/>
                <w:bCs/>
                <w:color w:val="FFFFFF"/>
                <w:sz w:val="18"/>
                <w:szCs w:val="18"/>
              </w:rPr>
            </w:pPr>
            <w:r w:rsidRPr="005D35E3">
              <w:rPr>
                <w:rFonts w:ascii="Arial Narrow" w:hAnsi="Arial Narrow" w:cs="Calibri"/>
                <w:b/>
                <w:bCs/>
                <w:color w:val="FFFFFF"/>
                <w:sz w:val="18"/>
                <w:szCs w:val="18"/>
              </w:rPr>
              <w:t>(mln di euro)</w:t>
            </w:r>
          </w:p>
        </w:tc>
        <w:tc>
          <w:tcPr>
            <w:tcW w:w="1273" w:type="dxa"/>
            <w:tcBorders>
              <w:bottom w:val="single" w:sz="4" w:space="0" w:color="FFFFFF" w:themeColor="background1"/>
            </w:tcBorders>
            <w:shd w:val="clear" w:color="auto" w:fill="365F91" w:themeFill="accent1" w:themeFillShade="BF"/>
            <w:vAlign w:val="center"/>
            <w:hideMark/>
          </w:tcPr>
          <w:p w14:paraId="02073105" w14:textId="77777777" w:rsidR="0013790F" w:rsidRPr="005D35E3" w:rsidRDefault="0013790F" w:rsidP="00700F89">
            <w:pPr>
              <w:spacing w:before="60" w:after="40" w:line="240" w:lineRule="auto"/>
              <w:jc w:val="center"/>
              <w:rPr>
                <w:rFonts w:ascii="Arial Narrow" w:hAnsi="Arial Narrow" w:cs="Calibri"/>
                <w:b/>
                <w:bCs/>
                <w:color w:val="FFFFFF"/>
                <w:sz w:val="18"/>
                <w:szCs w:val="18"/>
              </w:rPr>
            </w:pPr>
            <w:r w:rsidRPr="005D35E3">
              <w:rPr>
                <w:rFonts w:ascii="Arial Narrow" w:hAnsi="Arial Narrow" w:cs="Calibri"/>
                <w:b/>
                <w:bCs/>
                <w:color w:val="FFFFFF"/>
                <w:sz w:val="18"/>
                <w:szCs w:val="18"/>
              </w:rPr>
              <w:t>Valore aggiunto per addetto</w:t>
            </w:r>
          </w:p>
          <w:p w14:paraId="68F02B29" w14:textId="5C38BFA4" w:rsidR="0013790F" w:rsidRPr="005D35E3" w:rsidRDefault="0013790F" w:rsidP="00700F89">
            <w:pPr>
              <w:spacing w:before="60" w:after="40" w:line="240" w:lineRule="auto"/>
              <w:jc w:val="center"/>
              <w:rPr>
                <w:rFonts w:ascii="Arial Narrow" w:hAnsi="Arial Narrow" w:cs="Calibri"/>
                <w:b/>
                <w:bCs/>
                <w:color w:val="FFFFFF"/>
                <w:sz w:val="18"/>
                <w:szCs w:val="18"/>
              </w:rPr>
            </w:pPr>
            <w:r w:rsidRPr="005D35E3">
              <w:rPr>
                <w:rFonts w:ascii="Arial Narrow" w:hAnsi="Arial Narrow" w:cs="Calibri"/>
                <w:b/>
                <w:bCs/>
                <w:color w:val="FFFFFF"/>
                <w:sz w:val="18"/>
                <w:szCs w:val="18"/>
              </w:rPr>
              <w:t>(mgl di euro)</w:t>
            </w:r>
          </w:p>
        </w:tc>
        <w:tc>
          <w:tcPr>
            <w:tcW w:w="1384" w:type="dxa"/>
            <w:tcBorders>
              <w:bottom w:val="single" w:sz="4" w:space="0" w:color="FFFFFF" w:themeColor="background1"/>
            </w:tcBorders>
            <w:shd w:val="clear" w:color="auto" w:fill="365F91" w:themeFill="accent1" w:themeFillShade="BF"/>
            <w:vAlign w:val="center"/>
            <w:hideMark/>
          </w:tcPr>
          <w:p w14:paraId="60B4B363" w14:textId="77777777" w:rsidR="0013790F" w:rsidRPr="005D35E3" w:rsidRDefault="0013790F" w:rsidP="00700F89">
            <w:pPr>
              <w:spacing w:before="60" w:after="40" w:line="240" w:lineRule="auto"/>
              <w:jc w:val="center"/>
              <w:rPr>
                <w:rFonts w:ascii="Arial Narrow" w:hAnsi="Arial Narrow" w:cs="Calibri"/>
                <w:b/>
                <w:bCs/>
                <w:color w:val="FFFFFF"/>
                <w:sz w:val="18"/>
                <w:szCs w:val="18"/>
              </w:rPr>
            </w:pPr>
            <w:r w:rsidRPr="005D35E3">
              <w:rPr>
                <w:rFonts w:ascii="Arial Narrow" w:hAnsi="Arial Narrow" w:cs="Calibri"/>
                <w:b/>
                <w:bCs/>
                <w:color w:val="FFFFFF"/>
                <w:sz w:val="18"/>
                <w:szCs w:val="18"/>
              </w:rPr>
              <w:t>Costo del lavoro per dipendente</w:t>
            </w:r>
          </w:p>
          <w:p w14:paraId="0F52D89A" w14:textId="081CF12A" w:rsidR="0013790F" w:rsidRPr="005D35E3" w:rsidRDefault="0013790F" w:rsidP="00700F89">
            <w:pPr>
              <w:spacing w:before="60" w:after="40" w:line="240" w:lineRule="auto"/>
              <w:jc w:val="center"/>
              <w:rPr>
                <w:rFonts w:ascii="Arial Narrow" w:hAnsi="Arial Narrow" w:cs="Calibri"/>
                <w:b/>
                <w:bCs/>
                <w:color w:val="FFFFFF"/>
                <w:sz w:val="18"/>
                <w:szCs w:val="18"/>
              </w:rPr>
            </w:pPr>
            <w:r w:rsidRPr="005D35E3">
              <w:rPr>
                <w:rFonts w:ascii="Arial Narrow" w:hAnsi="Arial Narrow" w:cs="Calibri"/>
                <w:b/>
                <w:bCs/>
                <w:color w:val="FFFFFF"/>
                <w:sz w:val="18"/>
                <w:szCs w:val="18"/>
              </w:rPr>
              <w:t>(mgl di euro)</w:t>
            </w:r>
          </w:p>
        </w:tc>
      </w:tr>
      <w:tr w:rsidR="00062FBA" w:rsidRPr="002064E2" w14:paraId="04DB9D1A" w14:textId="77777777" w:rsidTr="0008089A">
        <w:trPr>
          <w:trHeight w:val="441"/>
        </w:trPr>
        <w:tc>
          <w:tcPr>
            <w:tcW w:w="1172" w:type="dxa"/>
            <w:tcBorders>
              <w:top w:val="nil"/>
              <w:bottom w:val="single" w:sz="4" w:space="0" w:color="FFFFFF" w:themeColor="background1"/>
            </w:tcBorders>
            <w:shd w:val="clear" w:color="auto" w:fill="D9D9D9" w:themeFill="background1" w:themeFillShade="D9"/>
            <w:vAlign w:val="center"/>
            <w:hideMark/>
          </w:tcPr>
          <w:p w14:paraId="1E7AB74F" w14:textId="77777777" w:rsidR="00062FBA" w:rsidRPr="005D35E3" w:rsidRDefault="00062FBA" w:rsidP="00062FBA">
            <w:pPr>
              <w:spacing w:before="60" w:after="40" w:line="240" w:lineRule="auto"/>
              <w:rPr>
                <w:rFonts w:ascii="Arial Narrow" w:hAnsi="Arial Narrow" w:cs="Calibri"/>
                <w:b/>
                <w:bCs/>
                <w:color w:val="1F497D"/>
                <w:sz w:val="18"/>
                <w:szCs w:val="18"/>
              </w:rPr>
            </w:pPr>
            <w:r w:rsidRPr="005D35E3">
              <w:rPr>
                <w:rFonts w:ascii="Arial Narrow" w:hAnsi="Arial Narrow" w:cs="Calibri"/>
                <w:b/>
                <w:bCs/>
                <w:color w:val="1F497D"/>
                <w:sz w:val="18"/>
                <w:szCs w:val="18"/>
              </w:rPr>
              <w:t>0-9</w:t>
            </w:r>
          </w:p>
        </w:tc>
        <w:tc>
          <w:tcPr>
            <w:tcW w:w="1172" w:type="dxa"/>
            <w:tcBorders>
              <w:top w:val="single" w:sz="4" w:space="0" w:color="FFFFFF" w:themeColor="background1"/>
              <w:left w:val="nil"/>
              <w:bottom w:val="nil"/>
              <w:right w:val="nil"/>
            </w:tcBorders>
            <w:vAlign w:val="center"/>
            <w:hideMark/>
          </w:tcPr>
          <w:p w14:paraId="64D70912" w14:textId="49442C17"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4.293.094 </w:t>
            </w:r>
          </w:p>
        </w:tc>
        <w:tc>
          <w:tcPr>
            <w:tcW w:w="1172" w:type="dxa"/>
            <w:tcBorders>
              <w:top w:val="single" w:sz="4" w:space="0" w:color="FFFFFF" w:themeColor="background1"/>
              <w:left w:val="nil"/>
              <w:bottom w:val="nil"/>
              <w:right w:val="nil"/>
            </w:tcBorders>
            <w:shd w:val="clear" w:color="000000" w:fill="D9D9D9"/>
            <w:vAlign w:val="center"/>
            <w:hideMark/>
          </w:tcPr>
          <w:p w14:paraId="2883DA4C" w14:textId="2D5AD7B8"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7.377.776 </w:t>
            </w:r>
          </w:p>
        </w:tc>
        <w:tc>
          <w:tcPr>
            <w:tcW w:w="1172" w:type="dxa"/>
            <w:tcBorders>
              <w:top w:val="single" w:sz="4" w:space="0" w:color="FFFFFF" w:themeColor="background1"/>
              <w:left w:val="nil"/>
              <w:bottom w:val="nil"/>
              <w:right w:val="nil"/>
            </w:tcBorders>
            <w:vAlign w:val="center"/>
            <w:hideMark/>
          </w:tcPr>
          <w:p w14:paraId="655A5885" w14:textId="30B6AB40"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3.058.766 </w:t>
            </w:r>
          </w:p>
        </w:tc>
        <w:tc>
          <w:tcPr>
            <w:tcW w:w="1172" w:type="dxa"/>
            <w:tcBorders>
              <w:top w:val="single" w:sz="4" w:space="0" w:color="FFFFFF" w:themeColor="background1"/>
              <w:left w:val="nil"/>
              <w:bottom w:val="nil"/>
              <w:right w:val="nil"/>
            </w:tcBorders>
            <w:shd w:val="clear" w:color="000000" w:fill="D9D9D9"/>
            <w:vAlign w:val="center"/>
            <w:hideMark/>
          </w:tcPr>
          <w:p w14:paraId="5602C806" w14:textId="62C42DA5"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893.527 </w:t>
            </w:r>
          </w:p>
        </w:tc>
        <w:tc>
          <w:tcPr>
            <w:tcW w:w="1172" w:type="dxa"/>
            <w:tcBorders>
              <w:top w:val="single" w:sz="4" w:space="0" w:color="FFFFFF" w:themeColor="background1"/>
              <w:left w:val="nil"/>
              <w:bottom w:val="nil"/>
              <w:right w:val="nil"/>
            </w:tcBorders>
            <w:vAlign w:val="center"/>
            <w:hideMark/>
          </w:tcPr>
          <w:p w14:paraId="43C062A0" w14:textId="6B62F0D4"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296.367 </w:t>
            </w:r>
          </w:p>
        </w:tc>
        <w:tc>
          <w:tcPr>
            <w:tcW w:w="1273" w:type="dxa"/>
            <w:tcBorders>
              <w:top w:val="single" w:sz="4" w:space="0" w:color="FFFFFF" w:themeColor="background1"/>
              <w:left w:val="nil"/>
              <w:bottom w:val="nil"/>
              <w:right w:val="nil"/>
            </w:tcBorders>
            <w:shd w:val="clear" w:color="000000" w:fill="D9D9D9"/>
            <w:vAlign w:val="center"/>
            <w:hideMark/>
          </w:tcPr>
          <w:p w14:paraId="469462CD" w14:textId="122844E5"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40,2</w:t>
            </w:r>
          </w:p>
        </w:tc>
        <w:tc>
          <w:tcPr>
            <w:tcW w:w="1384" w:type="dxa"/>
            <w:tcBorders>
              <w:top w:val="single" w:sz="4" w:space="0" w:color="FFFFFF" w:themeColor="background1"/>
              <w:left w:val="nil"/>
              <w:bottom w:val="nil"/>
              <w:right w:val="nil"/>
            </w:tcBorders>
            <w:vAlign w:val="center"/>
            <w:hideMark/>
          </w:tcPr>
          <w:p w14:paraId="459F21AC" w14:textId="6203A9D3" w:rsidR="00062FBA" w:rsidRPr="00D8483E" w:rsidRDefault="00062FBA" w:rsidP="00062FBA">
            <w:pPr>
              <w:spacing w:before="60" w:after="40"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27,7 </w:t>
            </w:r>
          </w:p>
        </w:tc>
      </w:tr>
      <w:tr w:rsidR="00062FBA" w:rsidRPr="002064E2" w14:paraId="082F2C25" w14:textId="77777777" w:rsidTr="0008089A">
        <w:trPr>
          <w:trHeight w:val="441"/>
        </w:trPr>
        <w:tc>
          <w:tcPr>
            <w:tcW w:w="1172" w:type="dxa"/>
            <w:tcBorders>
              <w:top w:val="single" w:sz="4" w:space="0" w:color="FFFFFF" w:themeColor="background1"/>
              <w:bottom w:val="single" w:sz="4" w:space="0" w:color="FFFFFF" w:themeColor="background1"/>
            </w:tcBorders>
            <w:shd w:val="clear" w:color="auto" w:fill="D9D9D9" w:themeFill="background1" w:themeFillShade="D9"/>
            <w:vAlign w:val="center"/>
            <w:hideMark/>
          </w:tcPr>
          <w:p w14:paraId="7826AB36" w14:textId="77777777" w:rsidR="00062FBA" w:rsidRPr="005D35E3" w:rsidRDefault="00062FBA" w:rsidP="00062FBA">
            <w:pPr>
              <w:spacing w:before="60" w:after="40" w:line="240" w:lineRule="auto"/>
              <w:rPr>
                <w:rFonts w:ascii="Arial Narrow" w:hAnsi="Arial Narrow" w:cs="Calibri"/>
                <w:b/>
                <w:bCs/>
                <w:color w:val="1F497D"/>
                <w:sz w:val="18"/>
                <w:szCs w:val="18"/>
              </w:rPr>
            </w:pPr>
            <w:r w:rsidRPr="005D35E3">
              <w:rPr>
                <w:rFonts w:ascii="Arial Narrow" w:hAnsi="Arial Narrow" w:cs="Calibri"/>
                <w:b/>
                <w:bCs/>
                <w:color w:val="1F497D"/>
                <w:sz w:val="18"/>
                <w:szCs w:val="18"/>
              </w:rPr>
              <w:t>10-19</w:t>
            </w:r>
          </w:p>
        </w:tc>
        <w:tc>
          <w:tcPr>
            <w:tcW w:w="1172" w:type="dxa"/>
            <w:tcBorders>
              <w:top w:val="nil"/>
              <w:left w:val="nil"/>
              <w:bottom w:val="nil"/>
              <w:right w:val="nil"/>
            </w:tcBorders>
            <w:vAlign w:val="center"/>
            <w:hideMark/>
          </w:tcPr>
          <w:p w14:paraId="7E831C5E" w14:textId="09E8BC3D"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145.505 </w:t>
            </w:r>
          </w:p>
        </w:tc>
        <w:tc>
          <w:tcPr>
            <w:tcW w:w="1172" w:type="dxa"/>
            <w:tcBorders>
              <w:top w:val="nil"/>
              <w:left w:val="nil"/>
              <w:bottom w:val="nil"/>
              <w:right w:val="nil"/>
            </w:tcBorders>
            <w:shd w:val="clear" w:color="000000" w:fill="D9D9D9"/>
            <w:vAlign w:val="center"/>
            <w:hideMark/>
          </w:tcPr>
          <w:p w14:paraId="06E435C4" w14:textId="0BEF78A6"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1.917.116 </w:t>
            </w:r>
          </w:p>
        </w:tc>
        <w:tc>
          <w:tcPr>
            <w:tcW w:w="1172" w:type="dxa"/>
            <w:tcBorders>
              <w:top w:val="nil"/>
              <w:left w:val="nil"/>
              <w:bottom w:val="nil"/>
              <w:right w:val="nil"/>
            </w:tcBorders>
            <w:vAlign w:val="center"/>
            <w:hideMark/>
          </w:tcPr>
          <w:p w14:paraId="7BEF5E2A" w14:textId="750AD228" w:rsidR="00062FBA" w:rsidRPr="007D1B7A" w:rsidRDefault="00062FBA" w:rsidP="00062FBA">
            <w:pPr>
              <w:spacing w:before="60" w:after="40" w:line="240" w:lineRule="auto"/>
              <w:jc w:val="right"/>
              <w:rPr>
                <w:rFonts w:ascii="Arial Narrow" w:hAnsi="Arial Narrow" w:cs="Arial"/>
                <w:sz w:val="18"/>
                <w:szCs w:val="18"/>
              </w:rPr>
            </w:pPr>
            <w:r>
              <w:rPr>
                <w:rFonts w:ascii="Arial Narrow" w:hAnsi="Arial Narrow" w:cs="Calibri"/>
                <w:color w:val="000000"/>
                <w:sz w:val="18"/>
                <w:szCs w:val="18"/>
              </w:rPr>
              <w:t xml:space="preserve">     1.742.684 </w:t>
            </w:r>
          </w:p>
        </w:tc>
        <w:tc>
          <w:tcPr>
            <w:tcW w:w="1172" w:type="dxa"/>
            <w:tcBorders>
              <w:top w:val="nil"/>
              <w:left w:val="nil"/>
              <w:bottom w:val="nil"/>
              <w:right w:val="nil"/>
            </w:tcBorders>
            <w:shd w:val="clear" w:color="000000" w:fill="D9D9D9"/>
            <w:vAlign w:val="center"/>
            <w:hideMark/>
          </w:tcPr>
          <w:p w14:paraId="28FC79C7" w14:textId="0395473F"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372.407 </w:t>
            </w:r>
          </w:p>
        </w:tc>
        <w:tc>
          <w:tcPr>
            <w:tcW w:w="1172" w:type="dxa"/>
            <w:tcBorders>
              <w:top w:val="nil"/>
              <w:left w:val="nil"/>
              <w:bottom w:val="nil"/>
              <w:right w:val="nil"/>
            </w:tcBorders>
            <w:vAlign w:val="center"/>
            <w:hideMark/>
          </w:tcPr>
          <w:p w14:paraId="78D89F55" w14:textId="08087E9D"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103.025 </w:t>
            </w:r>
          </w:p>
        </w:tc>
        <w:tc>
          <w:tcPr>
            <w:tcW w:w="1273" w:type="dxa"/>
            <w:tcBorders>
              <w:top w:val="nil"/>
              <w:left w:val="nil"/>
              <w:bottom w:val="nil"/>
              <w:right w:val="nil"/>
            </w:tcBorders>
            <w:shd w:val="clear" w:color="000000" w:fill="D9D9D9"/>
            <w:vAlign w:val="center"/>
            <w:hideMark/>
          </w:tcPr>
          <w:p w14:paraId="29656A21" w14:textId="2CFAB16D"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53,7</w:t>
            </w:r>
          </w:p>
        </w:tc>
        <w:tc>
          <w:tcPr>
            <w:tcW w:w="1384" w:type="dxa"/>
            <w:tcBorders>
              <w:top w:val="nil"/>
              <w:left w:val="nil"/>
              <w:bottom w:val="nil"/>
              <w:right w:val="nil"/>
            </w:tcBorders>
            <w:vAlign w:val="center"/>
            <w:hideMark/>
          </w:tcPr>
          <w:p w14:paraId="32A53D58" w14:textId="575C72AC" w:rsidR="00062FBA" w:rsidRPr="00D8483E" w:rsidRDefault="00062FBA" w:rsidP="00062FBA">
            <w:pPr>
              <w:spacing w:before="60" w:after="40"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34,7 </w:t>
            </w:r>
          </w:p>
        </w:tc>
      </w:tr>
      <w:tr w:rsidR="00062FBA" w:rsidRPr="002064E2" w14:paraId="1D0FF571" w14:textId="77777777" w:rsidTr="0008089A">
        <w:trPr>
          <w:trHeight w:val="441"/>
        </w:trPr>
        <w:tc>
          <w:tcPr>
            <w:tcW w:w="1172" w:type="dxa"/>
            <w:tcBorders>
              <w:top w:val="single" w:sz="4" w:space="0" w:color="FFFFFF" w:themeColor="background1"/>
              <w:bottom w:val="single" w:sz="4" w:space="0" w:color="FFFFFF" w:themeColor="background1"/>
            </w:tcBorders>
            <w:shd w:val="clear" w:color="auto" w:fill="D9D9D9" w:themeFill="background1" w:themeFillShade="D9"/>
            <w:vAlign w:val="center"/>
            <w:hideMark/>
          </w:tcPr>
          <w:p w14:paraId="14BD2C62" w14:textId="77777777" w:rsidR="00062FBA" w:rsidRPr="005D35E3" w:rsidRDefault="00062FBA" w:rsidP="00062FBA">
            <w:pPr>
              <w:spacing w:before="60" w:after="40" w:line="240" w:lineRule="auto"/>
              <w:rPr>
                <w:rFonts w:ascii="Arial Narrow" w:hAnsi="Arial Narrow" w:cs="Calibri"/>
                <w:b/>
                <w:bCs/>
                <w:color w:val="1F497D"/>
                <w:sz w:val="18"/>
                <w:szCs w:val="18"/>
              </w:rPr>
            </w:pPr>
            <w:r w:rsidRPr="005D35E3">
              <w:rPr>
                <w:rFonts w:ascii="Arial Narrow" w:hAnsi="Arial Narrow" w:cs="Calibri"/>
                <w:b/>
                <w:bCs/>
                <w:color w:val="1F497D"/>
                <w:sz w:val="18"/>
                <w:szCs w:val="18"/>
              </w:rPr>
              <w:t>20-49</w:t>
            </w:r>
          </w:p>
        </w:tc>
        <w:tc>
          <w:tcPr>
            <w:tcW w:w="1172" w:type="dxa"/>
            <w:tcBorders>
              <w:top w:val="nil"/>
              <w:left w:val="nil"/>
              <w:bottom w:val="nil"/>
              <w:right w:val="nil"/>
            </w:tcBorders>
            <w:vAlign w:val="center"/>
            <w:hideMark/>
          </w:tcPr>
          <w:p w14:paraId="385C7422" w14:textId="0C750DB0"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62.175 </w:t>
            </w:r>
          </w:p>
        </w:tc>
        <w:tc>
          <w:tcPr>
            <w:tcW w:w="1172" w:type="dxa"/>
            <w:tcBorders>
              <w:top w:val="nil"/>
              <w:left w:val="nil"/>
              <w:bottom w:val="nil"/>
              <w:right w:val="nil"/>
            </w:tcBorders>
            <w:shd w:val="clear" w:color="000000" w:fill="D9D9D9"/>
            <w:vAlign w:val="center"/>
            <w:hideMark/>
          </w:tcPr>
          <w:p w14:paraId="4DE00F99" w14:textId="417C4415"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1.840.092 </w:t>
            </w:r>
          </w:p>
        </w:tc>
        <w:tc>
          <w:tcPr>
            <w:tcW w:w="1172" w:type="dxa"/>
            <w:tcBorders>
              <w:top w:val="nil"/>
              <w:left w:val="nil"/>
              <w:bottom w:val="nil"/>
              <w:right w:val="nil"/>
            </w:tcBorders>
            <w:vAlign w:val="center"/>
            <w:hideMark/>
          </w:tcPr>
          <w:p w14:paraId="27C332DB" w14:textId="5368E4C0" w:rsidR="00062FBA" w:rsidRPr="007D1B7A" w:rsidRDefault="00062FBA" w:rsidP="00062FBA">
            <w:pPr>
              <w:spacing w:before="60" w:after="40"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1.771.794 </w:t>
            </w:r>
          </w:p>
        </w:tc>
        <w:tc>
          <w:tcPr>
            <w:tcW w:w="1172" w:type="dxa"/>
            <w:tcBorders>
              <w:top w:val="nil"/>
              <w:left w:val="nil"/>
              <w:bottom w:val="nil"/>
              <w:right w:val="nil"/>
            </w:tcBorders>
            <w:shd w:val="clear" w:color="000000" w:fill="D9D9D9"/>
            <w:vAlign w:val="center"/>
            <w:hideMark/>
          </w:tcPr>
          <w:p w14:paraId="0682BFF9" w14:textId="3CA1777D"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458.031 </w:t>
            </w:r>
          </w:p>
        </w:tc>
        <w:tc>
          <w:tcPr>
            <w:tcW w:w="1172" w:type="dxa"/>
            <w:tcBorders>
              <w:top w:val="nil"/>
              <w:left w:val="nil"/>
              <w:bottom w:val="nil"/>
              <w:right w:val="nil"/>
            </w:tcBorders>
            <w:vAlign w:val="center"/>
            <w:hideMark/>
          </w:tcPr>
          <w:p w14:paraId="610B60B6" w14:textId="6E400BA1"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117.604 </w:t>
            </w:r>
          </w:p>
        </w:tc>
        <w:tc>
          <w:tcPr>
            <w:tcW w:w="1273" w:type="dxa"/>
            <w:tcBorders>
              <w:top w:val="nil"/>
              <w:left w:val="nil"/>
              <w:bottom w:val="nil"/>
              <w:right w:val="nil"/>
            </w:tcBorders>
            <w:shd w:val="clear" w:color="000000" w:fill="D9D9D9"/>
            <w:vAlign w:val="center"/>
            <w:hideMark/>
          </w:tcPr>
          <w:p w14:paraId="0C8A1B3C" w14:textId="3A53F2FA" w:rsidR="00062FBA" w:rsidRPr="00D8483E" w:rsidRDefault="00062FBA" w:rsidP="00062FBA">
            <w:pPr>
              <w:spacing w:before="60" w:after="40" w:line="240" w:lineRule="auto"/>
              <w:jc w:val="right"/>
              <w:rPr>
                <w:rFonts w:ascii="Arial Narrow" w:hAnsi="Arial Narrow" w:cs="Calibri"/>
                <w:color w:val="000000"/>
                <w:sz w:val="18"/>
                <w:szCs w:val="18"/>
              </w:rPr>
            </w:pPr>
            <w:r>
              <w:rPr>
                <w:rFonts w:ascii="Arial Narrow" w:hAnsi="Arial Narrow" w:cs="Calibri"/>
                <w:color w:val="000000"/>
                <w:sz w:val="18"/>
                <w:szCs w:val="18"/>
              </w:rPr>
              <w:t>63,9</w:t>
            </w:r>
          </w:p>
        </w:tc>
        <w:tc>
          <w:tcPr>
            <w:tcW w:w="1384" w:type="dxa"/>
            <w:tcBorders>
              <w:top w:val="nil"/>
              <w:left w:val="nil"/>
              <w:bottom w:val="nil"/>
              <w:right w:val="nil"/>
            </w:tcBorders>
            <w:vAlign w:val="center"/>
            <w:hideMark/>
          </w:tcPr>
          <w:p w14:paraId="29437C9A" w14:textId="1B4D308F" w:rsidR="00062FBA" w:rsidRPr="00D8483E" w:rsidRDefault="00062FBA" w:rsidP="00062FBA">
            <w:pPr>
              <w:spacing w:before="60" w:after="40"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40,1 </w:t>
            </w:r>
          </w:p>
        </w:tc>
      </w:tr>
      <w:tr w:rsidR="00062FBA" w:rsidRPr="002064E2" w14:paraId="1572279E" w14:textId="77777777" w:rsidTr="0008089A">
        <w:trPr>
          <w:trHeight w:val="441"/>
        </w:trPr>
        <w:tc>
          <w:tcPr>
            <w:tcW w:w="1172" w:type="dxa"/>
            <w:tcBorders>
              <w:top w:val="single" w:sz="4" w:space="0" w:color="FFFFFF" w:themeColor="background1"/>
              <w:bottom w:val="single" w:sz="4" w:space="0" w:color="FFFFFF" w:themeColor="background1"/>
            </w:tcBorders>
            <w:shd w:val="clear" w:color="auto" w:fill="D9D9D9" w:themeFill="background1" w:themeFillShade="D9"/>
            <w:vAlign w:val="center"/>
            <w:hideMark/>
          </w:tcPr>
          <w:p w14:paraId="0847AD32" w14:textId="77777777" w:rsidR="00062FBA" w:rsidRPr="005D35E3" w:rsidRDefault="00062FBA" w:rsidP="00062FBA">
            <w:pPr>
              <w:spacing w:before="60" w:after="40" w:line="240" w:lineRule="auto"/>
              <w:rPr>
                <w:rFonts w:ascii="Arial Narrow" w:hAnsi="Arial Narrow" w:cs="Calibri"/>
                <w:b/>
                <w:bCs/>
                <w:color w:val="1F497D"/>
                <w:sz w:val="18"/>
                <w:szCs w:val="18"/>
              </w:rPr>
            </w:pPr>
            <w:r w:rsidRPr="005D35E3">
              <w:rPr>
                <w:rFonts w:ascii="Arial Narrow" w:hAnsi="Arial Narrow" w:cs="Calibri"/>
                <w:b/>
                <w:bCs/>
                <w:color w:val="1F497D"/>
                <w:sz w:val="18"/>
                <w:szCs w:val="18"/>
              </w:rPr>
              <w:t>50-249</w:t>
            </w:r>
          </w:p>
        </w:tc>
        <w:tc>
          <w:tcPr>
            <w:tcW w:w="1172" w:type="dxa"/>
            <w:tcBorders>
              <w:top w:val="nil"/>
              <w:left w:val="nil"/>
              <w:bottom w:val="nil"/>
              <w:right w:val="nil"/>
            </w:tcBorders>
            <w:vAlign w:val="center"/>
            <w:hideMark/>
          </w:tcPr>
          <w:p w14:paraId="40CC1308" w14:textId="2936A07A"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26.527 </w:t>
            </w:r>
          </w:p>
        </w:tc>
        <w:tc>
          <w:tcPr>
            <w:tcW w:w="1172" w:type="dxa"/>
            <w:tcBorders>
              <w:top w:val="nil"/>
              <w:left w:val="nil"/>
              <w:bottom w:val="nil"/>
              <w:right w:val="nil"/>
            </w:tcBorders>
            <w:shd w:val="clear" w:color="000000" w:fill="D9D9D9"/>
            <w:vAlign w:val="center"/>
            <w:hideMark/>
          </w:tcPr>
          <w:p w14:paraId="7002F8C3" w14:textId="34DE50A5"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2.587.701 </w:t>
            </w:r>
          </w:p>
        </w:tc>
        <w:tc>
          <w:tcPr>
            <w:tcW w:w="1172" w:type="dxa"/>
            <w:tcBorders>
              <w:top w:val="nil"/>
              <w:left w:val="nil"/>
              <w:bottom w:val="nil"/>
              <w:right w:val="nil"/>
            </w:tcBorders>
            <w:vAlign w:val="center"/>
            <w:hideMark/>
          </w:tcPr>
          <w:p w14:paraId="3D0E4F65" w14:textId="31181331" w:rsidR="00062FBA" w:rsidRPr="007D1B7A" w:rsidRDefault="00062FBA" w:rsidP="00062FBA">
            <w:pPr>
              <w:spacing w:before="60" w:after="40" w:line="240" w:lineRule="auto"/>
              <w:jc w:val="right"/>
              <w:rPr>
                <w:rFonts w:ascii="Arial Narrow" w:hAnsi="Arial Narrow" w:cs="Arial"/>
                <w:sz w:val="18"/>
                <w:szCs w:val="18"/>
              </w:rPr>
            </w:pPr>
            <w:r>
              <w:rPr>
                <w:rFonts w:ascii="Arial Narrow" w:hAnsi="Arial Narrow" w:cs="Calibri"/>
                <w:color w:val="000000"/>
                <w:sz w:val="18"/>
                <w:szCs w:val="18"/>
              </w:rPr>
              <w:t xml:space="preserve">     2.560.113 </w:t>
            </w:r>
          </w:p>
        </w:tc>
        <w:tc>
          <w:tcPr>
            <w:tcW w:w="1172" w:type="dxa"/>
            <w:tcBorders>
              <w:top w:val="nil"/>
              <w:left w:val="nil"/>
              <w:bottom w:val="nil"/>
              <w:right w:val="nil"/>
            </w:tcBorders>
            <w:shd w:val="clear" w:color="000000" w:fill="D9D9D9"/>
            <w:vAlign w:val="center"/>
            <w:hideMark/>
          </w:tcPr>
          <w:p w14:paraId="6908A796" w14:textId="3DE1BDD6"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854.926 </w:t>
            </w:r>
          </w:p>
        </w:tc>
        <w:tc>
          <w:tcPr>
            <w:tcW w:w="1172" w:type="dxa"/>
            <w:tcBorders>
              <w:top w:val="nil"/>
              <w:left w:val="nil"/>
              <w:bottom w:val="nil"/>
              <w:right w:val="nil"/>
            </w:tcBorders>
            <w:vAlign w:val="center"/>
            <w:hideMark/>
          </w:tcPr>
          <w:p w14:paraId="0C1213CA" w14:textId="05C91220"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199.505 </w:t>
            </w:r>
          </w:p>
        </w:tc>
        <w:tc>
          <w:tcPr>
            <w:tcW w:w="1273" w:type="dxa"/>
            <w:tcBorders>
              <w:top w:val="nil"/>
              <w:left w:val="nil"/>
              <w:bottom w:val="nil"/>
              <w:right w:val="nil"/>
            </w:tcBorders>
            <w:shd w:val="clear" w:color="000000" w:fill="D9D9D9"/>
            <w:vAlign w:val="center"/>
            <w:hideMark/>
          </w:tcPr>
          <w:p w14:paraId="2C8DEE3F" w14:textId="482813D5" w:rsidR="00062FBA" w:rsidRPr="00D8483E" w:rsidRDefault="00062FBA" w:rsidP="00062FBA">
            <w:pPr>
              <w:spacing w:before="60" w:after="40" w:line="240" w:lineRule="auto"/>
              <w:jc w:val="right"/>
              <w:rPr>
                <w:rFonts w:ascii="Arial Narrow" w:hAnsi="Arial Narrow" w:cs="Calibri"/>
                <w:color w:val="000000"/>
                <w:sz w:val="18"/>
                <w:szCs w:val="18"/>
              </w:rPr>
            </w:pPr>
            <w:r>
              <w:rPr>
                <w:rFonts w:ascii="Arial Narrow" w:hAnsi="Arial Narrow" w:cs="Calibri"/>
                <w:color w:val="000000"/>
                <w:sz w:val="18"/>
                <w:szCs w:val="18"/>
              </w:rPr>
              <w:t>77,1</w:t>
            </w:r>
          </w:p>
        </w:tc>
        <w:tc>
          <w:tcPr>
            <w:tcW w:w="1384" w:type="dxa"/>
            <w:tcBorders>
              <w:top w:val="nil"/>
              <w:left w:val="nil"/>
              <w:bottom w:val="nil"/>
              <w:right w:val="nil"/>
            </w:tcBorders>
            <w:vAlign w:val="center"/>
            <w:hideMark/>
          </w:tcPr>
          <w:p w14:paraId="5BF9B3C3" w14:textId="4359F56F" w:rsidR="00062FBA" w:rsidRPr="00D8483E" w:rsidRDefault="00062FBA" w:rsidP="00062FBA">
            <w:pPr>
              <w:spacing w:before="60" w:after="40"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46,3 </w:t>
            </w:r>
          </w:p>
        </w:tc>
      </w:tr>
      <w:tr w:rsidR="00062FBA" w:rsidRPr="002064E2" w14:paraId="0EC0BF11" w14:textId="77777777" w:rsidTr="0008089A">
        <w:trPr>
          <w:trHeight w:val="441"/>
        </w:trPr>
        <w:tc>
          <w:tcPr>
            <w:tcW w:w="1172" w:type="dxa"/>
            <w:tcBorders>
              <w:top w:val="single" w:sz="4" w:space="0" w:color="FFFFFF" w:themeColor="background1"/>
              <w:bottom w:val="single" w:sz="4" w:space="0" w:color="FFFFFF" w:themeColor="background1"/>
            </w:tcBorders>
            <w:shd w:val="clear" w:color="auto" w:fill="D9D9D9" w:themeFill="background1" w:themeFillShade="D9"/>
            <w:vAlign w:val="center"/>
            <w:hideMark/>
          </w:tcPr>
          <w:p w14:paraId="5766A1D4" w14:textId="77777777" w:rsidR="00062FBA" w:rsidRPr="005D35E3" w:rsidRDefault="00062FBA" w:rsidP="00062FBA">
            <w:pPr>
              <w:spacing w:before="60" w:after="40" w:line="240" w:lineRule="auto"/>
              <w:rPr>
                <w:rFonts w:ascii="Arial Narrow" w:hAnsi="Arial Narrow" w:cs="Calibri"/>
                <w:b/>
                <w:bCs/>
                <w:color w:val="1F497D"/>
                <w:sz w:val="18"/>
                <w:szCs w:val="18"/>
              </w:rPr>
            </w:pPr>
            <w:r w:rsidRPr="005D35E3">
              <w:rPr>
                <w:rFonts w:ascii="Arial Narrow" w:hAnsi="Arial Narrow" w:cs="Calibri"/>
                <w:b/>
                <w:bCs/>
                <w:color w:val="1F497D"/>
                <w:sz w:val="18"/>
                <w:szCs w:val="18"/>
              </w:rPr>
              <w:t>250 e oltre</w:t>
            </w:r>
          </w:p>
        </w:tc>
        <w:tc>
          <w:tcPr>
            <w:tcW w:w="1172" w:type="dxa"/>
            <w:tcBorders>
              <w:top w:val="nil"/>
              <w:left w:val="nil"/>
              <w:bottom w:val="nil"/>
              <w:right w:val="nil"/>
            </w:tcBorders>
            <w:vAlign w:val="center"/>
            <w:hideMark/>
          </w:tcPr>
          <w:p w14:paraId="175B1C28" w14:textId="21B49BA0"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4.752 </w:t>
            </w:r>
          </w:p>
        </w:tc>
        <w:tc>
          <w:tcPr>
            <w:tcW w:w="1172" w:type="dxa"/>
            <w:tcBorders>
              <w:top w:val="nil"/>
              <w:left w:val="nil"/>
              <w:bottom w:val="nil"/>
              <w:right w:val="nil"/>
            </w:tcBorders>
            <w:shd w:val="clear" w:color="000000" w:fill="D9D9D9"/>
            <w:vAlign w:val="center"/>
            <w:hideMark/>
          </w:tcPr>
          <w:p w14:paraId="1D53F1B7" w14:textId="5F23429F"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4.585.583 </w:t>
            </w:r>
          </w:p>
        </w:tc>
        <w:tc>
          <w:tcPr>
            <w:tcW w:w="1172" w:type="dxa"/>
            <w:tcBorders>
              <w:top w:val="nil"/>
              <w:left w:val="nil"/>
              <w:bottom w:val="nil"/>
              <w:right w:val="nil"/>
            </w:tcBorders>
            <w:vAlign w:val="center"/>
            <w:hideMark/>
          </w:tcPr>
          <w:p w14:paraId="386CC263" w14:textId="6E1CAF5A"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4.582.407 </w:t>
            </w:r>
          </w:p>
        </w:tc>
        <w:tc>
          <w:tcPr>
            <w:tcW w:w="1172" w:type="dxa"/>
            <w:tcBorders>
              <w:top w:val="nil"/>
              <w:left w:val="nil"/>
              <w:bottom w:val="nil"/>
              <w:right w:val="nil"/>
            </w:tcBorders>
            <w:shd w:val="clear" w:color="000000" w:fill="D9D9D9"/>
            <w:vAlign w:val="center"/>
            <w:hideMark/>
          </w:tcPr>
          <w:p w14:paraId="3F6A1FB0" w14:textId="67846525"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1.498.921 </w:t>
            </w:r>
          </w:p>
        </w:tc>
        <w:tc>
          <w:tcPr>
            <w:tcW w:w="1172" w:type="dxa"/>
            <w:tcBorders>
              <w:top w:val="nil"/>
              <w:left w:val="nil"/>
              <w:bottom w:val="nil"/>
              <w:right w:val="nil"/>
            </w:tcBorders>
            <w:vAlign w:val="center"/>
            <w:hideMark/>
          </w:tcPr>
          <w:p w14:paraId="654E86F7" w14:textId="75AE0DC2"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383.872 </w:t>
            </w:r>
          </w:p>
        </w:tc>
        <w:tc>
          <w:tcPr>
            <w:tcW w:w="1273" w:type="dxa"/>
            <w:tcBorders>
              <w:top w:val="nil"/>
              <w:left w:val="nil"/>
              <w:bottom w:val="nil"/>
              <w:right w:val="nil"/>
            </w:tcBorders>
            <w:shd w:val="clear" w:color="000000" w:fill="D9D9D9"/>
            <w:vAlign w:val="center"/>
            <w:hideMark/>
          </w:tcPr>
          <w:p w14:paraId="109C9E61" w14:textId="0BD23DF9" w:rsidR="00062FBA" w:rsidRPr="00D8483E" w:rsidRDefault="00062FBA" w:rsidP="00062FBA">
            <w:pPr>
              <w:spacing w:before="60" w:after="40" w:line="240" w:lineRule="auto"/>
              <w:jc w:val="right"/>
              <w:rPr>
                <w:rFonts w:ascii="Arial Narrow" w:hAnsi="Arial Narrow" w:cs="Calibri"/>
                <w:color w:val="000000"/>
                <w:sz w:val="18"/>
                <w:szCs w:val="18"/>
              </w:rPr>
            </w:pPr>
            <w:r>
              <w:rPr>
                <w:rFonts w:ascii="Arial Narrow" w:hAnsi="Arial Narrow" w:cs="Calibri"/>
                <w:color w:val="000000"/>
                <w:sz w:val="18"/>
                <w:szCs w:val="18"/>
              </w:rPr>
              <w:t>83,7</w:t>
            </w:r>
          </w:p>
        </w:tc>
        <w:tc>
          <w:tcPr>
            <w:tcW w:w="1384" w:type="dxa"/>
            <w:tcBorders>
              <w:top w:val="nil"/>
              <w:left w:val="nil"/>
              <w:bottom w:val="nil"/>
              <w:right w:val="nil"/>
            </w:tcBorders>
            <w:vAlign w:val="center"/>
            <w:hideMark/>
          </w:tcPr>
          <w:p w14:paraId="6374B140" w14:textId="6B7448C6" w:rsidR="00062FBA" w:rsidRPr="00D8483E" w:rsidRDefault="00062FBA" w:rsidP="00062FBA">
            <w:pPr>
              <w:spacing w:before="60" w:after="40"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48,9 </w:t>
            </w:r>
          </w:p>
        </w:tc>
      </w:tr>
      <w:tr w:rsidR="00062FBA" w:rsidRPr="002064E2" w14:paraId="007F3017" w14:textId="77777777" w:rsidTr="0008089A">
        <w:trPr>
          <w:trHeight w:val="40"/>
        </w:trPr>
        <w:tc>
          <w:tcPr>
            <w:tcW w:w="1172" w:type="dxa"/>
            <w:tcBorders>
              <w:top w:val="single" w:sz="4" w:space="0" w:color="FFFFFF" w:themeColor="background1"/>
              <w:bottom w:val="single" w:sz="4" w:space="0" w:color="FFFFFF" w:themeColor="background1"/>
            </w:tcBorders>
            <w:shd w:val="clear" w:color="auto" w:fill="D9D9D9" w:themeFill="background1" w:themeFillShade="D9"/>
            <w:vAlign w:val="center"/>
            <w:hideMark/>
          </w:tcPr>
          <w:p w14:paraId="136EA859" w14:textId="77777777" w:rsidR="00062FBA" w:rsidRPr="005D35E3" w:rsidRDefault="00062FBA" w:rsidP="00062FBA">
            <w:pPr>
              <w:spacing w:before="60" w:after="40" w:line="240" w:lineRule="auto"/>
              <w:rPr>
                <w:rFonts w:ascii="Arial Narrow" w:hAnsi="Arial Narrow" w:cs="Calibri"/>
                <w:b/>
                <w:bCs/>
                <w:color w:val="1F497D"/>
                <w:sz w:val="18"/>
                <w:szCs w:val="18"/>
              </w:rPr>
            </w:pPr>
            <w:r w:rsidRPr="005D35E3">
              <w:rPr>
                <w:rFonts w:ascii="Arial Narrow" w:hAnsi="Arial Narrow" w:cs="Calibri"/>
                <w:b/>
                <w:bCs/>
                <w:color w:val="1F497D"/>
                <w:sz w:val="18"/>
                <w:szCs w:val="18"/>
              </w:rPr>
              <w:t>Totale</w:t>
            </w:r>
          </w:p>
        </w:tc>
        <w:tc>
          <w:tcPr>
            <w:tcW w:w="1172" w:type="dxa"/>
            <w:tcBorders>
              <w:top w:val="nil"/>
              <w:left w:val="nil"/>
              <w:bottom w:val="nil"/>
              <w:right w:val="nil"/>
            </w:tcBorders>
            <w:vAlign w:val="center"/>
            <w:hideMark/>
          </w:tcPr>
          <w:p w14:paraId="173D2884" w14:textId="5EB89B24"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4.532.053 </w:t>
            </w:r>
          </w:p>
        </w:tc>
        <w:tc>
          <w:tcPr>
            <w:tcW w:w="1172" w:type="dxa"/>
            <w:tcBorders>
              <w:top w:val="nil"/>
              <w:left w:val="nil"/>
              <w:bottom w:val="nil"/>
              <w:right w:val="nil"/>
            </w:tcBorders>
            <w:shd w:val="clear" w:color="000000" w:fill="D9D9D9"/>
            <w:vAlign w:val="center"/>
            <w:hideMark/>
          </w:tcPr>
          <w:p w14:paraId="2047FCB0" w14:textId="61E98C7A"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18.308.268 </w:t>
            </w:r>
          </w:p>
        </w:tc>
        <w:tc>
          <w:tcPr>
            <w:tcW w:w="1172" w:type="dxa"/>
            <w:tcBorders>
              <w:top w:val="nil"/>
              <w:left w:val="nil"/>
              <w:bottom w:val="nil"/>
              <w:right w:val="nil"/>
            </w:tcBorders>
            <w:vAlign w:val="center"/>
            <w:hideMark/>
          </w:tcPr>
          <w:p w14:paraId="04B5B047" w14:textId="1516FA7E"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13.715.764 </w:t>
            </w:r>
          </w:p>
        </w:tc>
        <w:tc>
          <w:tcPr>
            <w:tcW w:w="1172" w:type="dxa"/>
            <w:tcBorders>
              <w:top w:val="nil"/>
              <w:left w:val="nil"/>
              <w:bottom w:val="nil"/>
              <w:right w:val="nil"/>
            </w:tcBorders>
            <w:shd w:val="clear" w:color="000000" w:fill="D9D9D9"/>
            <w:vAlign w:val="center"/>
            <w:hideMark/>
          </w:tcPr>
          <w:p w14:paraId="49383A15" w14:textId="0CFAD1D0"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4.077.812 </w:t>
            </w:r>
          </w:p>
        </w:tc>
        <w:tc>
          <w:tcPr>
            <w:tcW w:w="1172" w:type="dxa"/>
            <w:tcBorders>
              <w:top w:val="nil"/>
              <w:left w:val="nil"/>
              <w:bottom w:val="nil"/>
              <w:right w:val="nil"/>
            </w:tcBorders>
            <w:vAlign w:val="center"/>
            <w:hideMark/>
          </w:tcPr>
          <w:p w14:paraId="0D190A81" w14:textId="50BB7F9D" w:rsidR="00062FBA" w:rsidRPr="00DD4B42" w:rsidRDefault="00062FBA" w:rsidP="00062FBA">
            <w:pPr>
              <w:spacing w:before="60" w:after="40" w:line="240" w:lineRule="auto"/>
              <w:jc w:val="right"/>
              <w:rPr>
                <w:rFonts w:ascii="Arial Narrow" w:hAnsi="Arial Narrow" w:cs="Calibri"/>
                <w:color w:val="000000"/>
                <w:sz w:val="18"/>
                <w:szCs w:val="18"/>
                <w:highlight w:val="yellow"/>
              </w:rPr>
            </w:pPr>
            <w:r>
              <w:rPr>
                <w:rFonts w:ascii="Arial Narrow" w:hAnsi="Arial Narrow" w:cs="Calibri"/>
                <w:color w:val="000000"/>
                <w:sz w:val="18"/>
                <w:szCs w:val="18"/>
              </w:rPr>
              <w:t xml:space="preserve">     1.100.373 </w:t>
            </w:r>
          </w:p>
        </w:tc>
        <w:tc>
          <w:tcPr>
            <w:tcW w:w="1273" w:type="dxa"/>
            <w:tcBorders>
              <w:top w:val="nil"/>
              <w:left w:val="nil"/>
              <w:bottom w:val="nil"/>
              <w:right w:val="nil"/>
            </w:tcBorders>
            <w:shd w:val="clear" w:color="000000" w:fill="D9D9D9"/>
            <w:vAlign w:val="center"/>
            <w:hideMark/>
          </w:tcPr>
          <w:p w14:paraId="14B4A64C" w14:textId="6CD9E81F" w:rsidR="00062FBA" w:rsidRPr="00D8483E" w:rsidRDefault="00062FBA" w:rsidP="00062FBA">
            <w:pPr>
              <w:spacing w:before="60" w:after="40" w:line="240" w:lineRule="auto"/>
              <w:jc w:val="right"/>
              <w:rPr>
                <w:rFonts w:ascii="Arial Narrow" w:hAnsi="Arial Narrow" w:cs="Calibri"/>
                <w:color w:val="000000"/>
                <w:sz w:val="18"/>
                <w:szCs w:val="18"/>
              </w:rPr>
            </w:pPr>
            <w:r>
              <w:rPr>
                <w:rFonts w:ascii="Arial Narrow" w:hAnsi="Arial Narrow" w:cs="Calibri"/>
                <w:color w:val="000000"/>
                <w:sz w:val="18"/>
                <w:szCs w:val="18"/>
              </w:rPr>
              <w:t>60,1</w:t>
            </w:r>
          </w:p>
        </w:tc>
        <w:tc>
          <w:tcPr>
            <w:tcW w:w="1384" w:type="dxa"/>
            <w:tcBorders>
              <w:top w:val="nil"/>
              <w:left w:val="nil"/>
              <w:bottom w:val="nil"/>
              <w:right w:val="nil"/>
            </w:tcBorders>
            <w:vAlign w:val="center"/>
            <w:hideMark/>
          </w:tcPr>
          <w:p w14:paraId="715C6442" w14:textId="3AD49909" w:rsidR="00062FBA" w:rsidRPr="00D8483E" w:rsidRDefault="00062FBA" w:rsidP="00062FBA">
            <w:pPr>
              <w:spacing w:before="60" w:after="40"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40,8 </w:t>
            </w:r>
          </w:p>
        </w:tc>
      </w:tr>
      <w:tr w:rsidR="0008089A" w:rsidRPr="002064E2" w14:paraId="09140600" w14:textId="77777777" w:rsidTr="0008089A">
        <w:trPr>
          <w:trHeight w:val="40"/>
        </w:trPr>
        <w:tc>
          <w:tcPr>
            <w:tcW w:w="1172" w:type="dxa"/>
            <w:tcBorders>
              <w:top w:val="single" w:sz="4" w:space="0" w:color="FFFFFF" w:themeColor="background1"/>
              <w:bottom w:val="single" w:sz="4" w:space="0" w:color="FFFFFF" w:themeColor="background1"/>
            </w:tcBorders>
            <w:shd w:val="clear" w:color="auto" w:fill="D9D9D9" w:themeFill="background1" w:themeFillShade="D9"/>
            <w:vAlign w:val="center"/>
          </w:tcPr>
          <w:p w14:paraId="374F9164" w14:textId="77777777" w:rsidR="0008089A" w:rsidRPr="005D35E3" w:rsidRDefault="0008089A" w:rsidP="00062FBA">
            <w:pPr>
              <w:spacing w:before="60" w:after="40" w:line="240" w:lineRule="auto"/>
              <w:rPr>
                <w:rFonts w:ascii="Arial Narrow" w:hAnsi="Arial Narrow" w:cs="Calibri"/>
                <w:b/>
                <w:bCs/>
                <w:color w:val="1F497D"/>
                <w:sz w:val="18"/>
                <w:szCs w:val="18"/>
              </w:rPr>
            </w:pPr>
          </w:p>
        </w:tc>
        <w:tc>
          <w:tcPr>
            <w:tcW w:w="1172" w:type="dxa"/>
            <w:tcBorders>
              <w:top w:val="nil"/>
              <w:left w:val="nil"/>
              <w:bottom w:val="nil"/>
              <w:right w:val="nil"/>
            </w:tcBorders>
            <w:vAlign w:val="center"/>
          </w:tcPr>
          <w:p w14:paraId="0289777B" w14:textId="77777777" w:rsidR="0008089A" w:rsidRDefault="0008089A" w:rsidP="00062FBA">
            <w:pPr>
              <w:spacing w:before="60" w:after="40" w:line="240" w:lineRule="auto"/>
              <w:jc w:val="right"/>
              <w:rPr>
                <w:rFonts w:ascii="Arial Narrow" w:hAnsi="Arial Narrow" w:cs="Calibri"/>
                <w:color w:val="000000"/>
                <w:sz w:val="18"/>
                <w:szCs w:val="18"/>
              </w:rPr>
            </w:pPr>
          </w:p>
        </w:tc>
        <w:tc>
          <w:tcPr>
            <w:tcW w:w="1172" w:type="dxa"/>
            <w:tcBorders>
              <w:top w:val="nil"/>
              <w:left w:val="nil"/>
              <w:bottom w:val="nil"/>
              <w:right w:val="nil"/>
            </w:tcBorders>
            <w:shd w:val="clear" w:color="000000" w:fill="D9D9D9"/>
            <w:vAlign w:val="center"/>
          </w:tcPr>
          <w:p w14:paraId="6EB96E77" w14:textId="77777777" w:rsidR="0008089A" w:rsidRDefault="0008089A" w:rsidP="00062FBA">
            <w:pPr>
              <w:spacing w:before="60" w:after="40" w:line="240" w:lineRule="auto"/>
              <w:jc w:val="right"/>
              <w:rPr>
                <w:rFonts w:ascii="Arial Narrow" w:hAnsi="Arial Narrow" w:cs="Calibri"/>
                <w:color w:val="000000"/>
                <w:sz w:val="18"/>
                <w:szCs w:val="18"/>
              </w:rPr>
            </w:pPr>
          </w:p>
        </w:tc>
        <w:tc>
          <w:tcPr>
            <w:tcW w:w="1172" w:type="dxa"/>
            <w:tcBorders>
              <w:top w:val="nil"/>
              <w:left w:val="nil"/>
              <w:bottom w:val="nil"/>
              <w:right w:val="nil"/>
            </w:tcBorders>
            <w:vAlign w:val="center"/>
          </w:tcPr>
          <w:p w14:paraId="5ACFC1B1" w14:textId="77777777" w:rsidR="0008089A" w:rsidRDefault="0008089A" w:rsidP="00062FBA">
            <w:pPr>
              <w:spacing w:before="60" w:after="40" w:line="240" w:lineRule="auto"/>
              <w:jc w:val="right"/>
              <w:rPr>
                <w:rFonts w:ascii="Arial Narrow" w:hAnsi="Arial Narrow" w:cs="Calibri"/>
                <w:color w:val="000000"/>
                <w:sz w:val="18"/>
                <w:szCs w:val="18"/>
              </w:rPr>
            </w:pPr>
          </w:p>
        </w:tc>
        <w:tc>
          <w:tcPr>
            <w:tcW w:w="1172" w:type="dxa"/>
            <w:tcBorders>
              <w:top w:val="nil"/>
              <w:left w:val="nil"/>
              <w:bottom w:val="nil"/>
              <w:right w:val="nil"/>
            </w:tcBorders>
            <w:shd w:val="clear" w:color="000000" w:fill="D9D9D9"/>
            <w:vAlign w:val="center"/>
          </w:tcPr>
          <w:p w14:paraId="6F469ACF" w14:textId="77777777" w:rsidR="0008089A" w:rsidRDefault="0008089A" w:rsidP="00062FBA">
            <w:pPr>
              <w:spacing w:before="60" w:after="40" w:line="240" w:lineRule="auto"/>
              <w:jc w:val="right"/>
              <w:rPr>
                <w:rFonts w:ascii="Arial Narrow" w:hAnsi="Arial Narrow" w:cs="Calibri"/>
                <w:color w:val="000000"/>
                <w:sz w:val="18"/>
                <w:szCs w:val="18"/>
              </w:rPr>
            </w:pPr>
          </w:p>
        </w:tc>
        <w:tc>
          <w:tcPr>
            <w:tcW w:w="1172" w:type="dxa"/>
            <w:tcBorders>
              <w:top w:val="nil"/>
              <w:left w:val="nil"/>
              <w:bottom w:val="nil"/>
              <w:right w:val="nil"/>
            </w:tcBorders>
            <w:vAlign w:val="center"/>
          </w:tcPr>
          <w:p w14:paraId="02ADEC8A" w14:textId="77777777" w:rsidR="0008089A" w:rsidRDefault="0008089A" w:rsidP="00062FBA">
            <w:pPr>
              <w:spacing w:before="60" w:after="40" w:line="240" w:lineRule="auto"/>
              <w:jc w:val="right"/>
              <w:rPr>
                <w:rFonts w:ascii="Arial Narrow" w:hAnsi="Arial Narrow" w:cs="Calibri"/>
                <w:color w:val="000000"/>
                <w:sz w:val="18"/>
                <w:szCs w:val="18"/>
              </w:rPr>
            </w:pPr>
          </w:p>
        </w:tc>
        <w:tc>
          <w:tcPr>
            <w:tcW w:w="1273" w:type="dxa"/>
            <w:tcBorders>
              <w:top w:val="nil"/>
              <w:left w:val="nil"/>
              <w:bottom w:val="nil"/>
              <w:right w:val="nil"/>
            </w:tcBorders>
            <w:shd w:val="clear" w:color="000000" w:fill="D9D9D9"/>
            <w:vAlign w:val="center"/>
          </w:tcPr>
          <w:p w14:paraId="65582EFD" w14:textId="77777777" w:rsidR="0008089A" w:rsidRDefault="0008089A" w:rsidP="00062FBA">
            <w:pPr>
              <w:spacing w:before="60" w:after="40" w:line="240" w:lineRule="auto"/>
              <w:jc w:val="right"/>
              <w:rPr>
                <w:rFonts w:ascii="Arial Narrow" w:hAnsi="Arial Narrow" w:cs="Calibri"/>
                <w:color w:val="000000"/>
                <w:sz w:val="18"/>
                <w:szCs w:val="18"/>
              </w:rPr>
            </w:pPr>
          </w:p>
        </w:tc>
        <w:tc>
          <w:tcPr>
            <w:tcW w:w="1384" w:type="dxa"/>
            <w:tcBorders>
              <w:top w:val="nil"/>
              <w:left w:val="nil"/>
              <w:bottom w:val="nil"/>
              <w:right w:val="nil"/>
            </w:tcBorders>
            <w:vAlign w:val="center"/>
          </w:tcPr>
          <w:p w14:paraId="030F9D59" w14:textId="77777777" w:rsidR="0008089A" w:rsidRDefault="0008089A" w:rsidP="00062FBA">
            <w:pPr>
              <w:spacing w:before="60" w:after="40" w:line="240" w:lineRule="auto"/>
              <w:jc w:val="right"/>
              <w:rPr>
                <w:rFonts w:ascii="Arial Narrow" w:hAnsi="Arial Narrow" w:cs="Calibri"/>
                <w:color w:val="000000"/>
                <w:sz w:val="18"/>
                <w:szCs w:val="18"/>
              </w:rPr>
            </w:pPr>
          </w:p>
        </w:tc>
      </w:tr>
    </w:tbl>
    <w:p w14:paraId="3B5C4372" w14:textId="77777777" w:rsidR="0008089A" w:rsidRDefault="0008089A" w:rsidP="00DC3A15">
      <w:pPr>
        <w:autoSpaceDE w:val="0"/>
        <w:autoSpaceDN w:val="0"/>
        <w:adjustRightInd w:val="0"/>
        <w:spacing w:after="120" w:line="240" w:lineRule="auto"/>
        <w:ind w:right="142"/>
        <w:jc w:val="both"/>
        <w:rPr>
          <w:rFonts w:ascii="Arial" w:hAnsi="Arial" w:cs="Arial"/>
          <w:b/>
          <w:color w:val="1F497D" w:themeColor="text2"/>
          <w:sz w:val="26"/>
          <w:szCs w:val="26"/>
        </w:rPr>
      </w:pPr>
    </w:p>
    <w:p w14:paraId="6366940A" w14:textId="091E1A96" w:rsidR="00DC3A15" w:rsidRDefault="00DC3A15" w:rsidP="00DC3A15">
      <w:pPr>
        <w:autoSpaceDE w:val="0"/>
        <w:autoSpaceDN w:val="0"/>
        <w:adjustRightInd w:val="0"/>
        <w:spacing w:after="120" w:line="240" w:lineRule="auto"/>
        <w:ind w:right="142"/>
        <w:jc w:val="both"/>
        <w:rPr>
          <w:rFonts w:ascii="Arial" w:hAnsi="Arial" w:cs="Arial"/>
          <w:b/>
          <w:color w:val="1F497D" w:themeColor="text2"/>
          <w:sz w:val="26"/>
          <w:szCs w:val="26"/>
        </w:rPr>
      </w:pPr>
      <w:r w:rsidRPr="00BF6B82">
        <w:rPr>
          <w:rFonts w:ascii="Arial" w:hAnsi="Arial" w:cs="Arial"/>
          <w:b/>
          <w:color w:val="1F497D" w:themeColor="text2"/>
          <w:sz w:val="26"/>
          <w:szCs w:val="26"/>
        </w:rPr>
        <w:t xml:space="preserve">Valore aggiunto in crescita e </w:t>
      </w:r>
      <w:r w:rsidR="00E3337E">
        <w:rPr>
          <w:rFonts w:ascii="Arial" w:hAnsi="Arial" w:cs="Arial"/>
          <w:b/>
          <w:color w:val="1F497D" w:themeColor="text2"/>
          <w:sz w:val="26"/>
          <w:szCs w:val="26"/>
        </w:rPr>
        <w:t xml:space="preserve">intensità degli investimenti in </w:t>
      </w:r>
      <w:r w:rsidR="005B0AD6">
        <w:rPr>
          <w:rFonts w:ascii="Arial" w:hAnsi="Arial" w:cs="Arial"/>
          <w:b/>
          <w:color w:val="1F497D" w:themeColor="text2"/>
          <w:sz w:val="26"/>
          <w:szCs w:val="26"/>
        </w:rPr>
        <w:t xml:space="preserve">lieve </w:t>
      </w:r>
      <w:r w:rsidR="00E3337E">
        <w:rPr>
          <w:rFonts w:ascii="Arial" w:hAnsi="Arial" w:cs="Arial"/>
          <w:b/>
          <w:color w:val="1F497D" w:themeColor="text2"/>
          <w:sz w:val="26"/>
          <w:szCs w:val="26"/>
        </w:rPr>
        <w:t>calo</w:t>
      </w:r>
    </w:p>
    <w:p w14:paraId="714A3898" w14:textId="40231208" w:rsidR="00DC3A15" w:rsidRPr="00BF6B82" w:rsidRDefault="00DC3A15" w:rsidP="00DC3A15">
      <w:pPr>
        <w:autoSpaceDE w:val="0"/>
        <w:autoSpaceDN w:val="0"/>
        <w:adjustRightInd w:val="0"/>
        <w:spacing w:after="120" w:line="240" w:lineRule="auto"/>
        <w:jc w:val="both"/>
        <w:rPr>
          <w:rFonts w:ascii="Arial" w:hAnsi="Arial" w:cs="Arial"/>
          <w:sz w:val="22"/>
          <w:szCs w:val="22"/>
        </w:rPr>
      </w:pPr>
      <w:r w:rsidRPr="00BF6B82">
        <w:rPr>
          <w:rFonts w:ascii="Arial" w:hAnsi="Arial" w:cs="Arial"/>
          <w:sz w:val="22"/>
          <w:szCs w:val="22"/>
          <w:shd w:val="clear" w:color="auto" w:fill="FFFFFF" w:themeFill="background1"/>
        </w:rPr>
        <w:t>Nel 202</w:t>
      </w:r>
      <w:r w:rsidR="003B36B5" w:rsidRPr="00BF6B82">
        <w:rPr>
          <w:rFonts w:ascii="Arial" w:hAnsi="Arial" w:cs="Arial"/>
          <w:sz w:val="22"/>
          <w:szCs w:val="22"/>
          <w:shd w:val="clear" w:color="auto" w:fill="FFFFFF" w:themeFill="background1"/>
        </w:rPr>
        <w:t>4</w:t>
      </w:r>
      <w:r w:rsidRPr="00BF6B82">
        <w:rPr>
          <w:rFonts w:ascii="Arial" w:hAnsi="Arial" w:cs="Arial"/>
          <w:sz w:val="22"/>
          <w:szCs w:val="22"/>
          <w:shd w:val="clear" w:color="auto" w:fill="FFFFFF" w:themeFill="background1"/>
        </w:rPr>
        <w:t>,</w:t>
      </w:r>
      <w:r w:rsidR="003B36B5" w:rsidRPr="00BF6B82">
        <w:rPr>
          <w:rFonts w:ascii="Arial" w:hAnsi="Arial" w:cs="Arial"/>
          <w:sz w:val="22"/>
          <w:szCs w:val="22"/>
          <w:shd w:val="clear" w:color="auto" w:fill="FFFFFF" w:themeFill="background1"/>
        </w:rPr>
        <w:t xml:space="preserve"> </w:t>
      </w:r>
      <w:r w:rsidR="0052328B">
        <w:rPr>
          <w:rFonts w:ascii="Arial" w:hAnsi="Arial" w:cs="Arial"/>
          <w:sz w:val="22"/>
          <w:szCs w:val="22"/>
          <w:shd w:val="clear" w:color="auto" w:fill="FFFFFF" w:themeFill="background1"/>
        </w:rPr>
        <w:t>la crescita de</w:t>
      </w:r>
      <w:r w:rsidR="003B36B5" w:rsidRPr="00BF6B82">
        <w:rPr>
          <w:rFonts w:ascii="Arial" w:hAnsi="Arial" w:cs="Arial"/>
          <w:sz w:val="22"/>
          <w:szCs w:val="22"/>
          <w:shd w:val="clear" w:color="auto" w:fill="FFFFFF" w:themeFill="background1"/>
        </w:rPr>
        <w:t xml:space="preserve">l </w:t>
      </w:r>
      <w:r w:rsidRPr="00BF6B82">
        <w:rPr>
          <w:rFonts w:ascii="Arial" w:hAnsi="Arial" w:cs="Arial"/>
          <w:sz w:val="22"/>
          <w:szCs w:val="22"/>
          <w:shd w:val="clear" w:color="auto" w:fill="FFFFFF" w:themeFill="background1"/>
        </w:rPr>
        <w:t>valore aggiunto in termini nominali</w:t>
      </w:r>
      <w:r w:rsidRPr="00BF6B82">
        <w:rPr>
          <w:rFonts w:ascii="Arial" w:hAnsi="Arial" w:cs="Arial"/>
          <w:sz w:val="22"/>
          <w:szCs w:val="22"/>
        </w:rPr>
        <w:t xml:space="preserve"> (+</w:t>
      </w:r>
      <w:r w:rsidR="003B36B5" w:rsidRPr="00BF6B82">
        <w:rPr>
          <w:rFonts w:ascii="Arial" w:hAnsi="Arial" w:cs="Arial"/>
          <w:sz w:val="22"/>
          <w:szCs w:val="22"/>
        </w:rPr>
        <w:t>2</w:t>
      </w:r>
      <w:r w:rsidRPr="00BF6B82">
        <w:rPr>
          <w:rFonts w:ascii="Arial" w:hAnsi="Arial" w:cs="Arial"/>
          <w:sz w:val="22"/>
          <w:szCs w:val="22"/>
        </w:rPr>
        <w:t>,</w:t>
      </w:r>
      <w:r w:rsidR="003B36B5" w:rsidRPr="00BF6B82">
        <w:rPr>
          <w:rFonts w:ascii="Arial" w:hAnsi="Arial" w:cs="Arial"/>
          <w:sz w:val="22"/>
          <w:szCs w:val="22"/>
        </w:rPr>
        <w:t>5</w:t>
      </w:r>
      <w:r w:rsidRPr="00BF6B82">
        <w:rPr>
          <w:rFonts w:ascii="Arial" w:hAnsi="Arial" w:cs="Arial"/>
          <w:sz w:val="22"/>
          <w:szCs w:val="22"/>
        </w:rPr>
        <w:t>%)</w:t>
      </w:r>
      <w:r w:rsidR="0052328B">
        <w:rPr>
          <w:rFonts w:ascii="Arial" w:hAnsi="Arial" w:cs="Arial"/>
          <w:sz w:val="22"/>
          <w:szCs w:val="22"/>
        </w:rPr>
        <w:t xml:space="preserve"> è di intensità inferiore rispetto agli anni precedenti</w:t>
      </w:r>
      <w:r w:rsidRPr="00BF6B82">
        <w:rPr>
          <w:rFonts w:ascii="Arial" w:hAnsi="Arial" w:cs="Arial"/>
          <w:sz w:val="22"/>
          <w:szCs w:val="22"/>
        </w:rPr>
        <w:t xml:space="preserve">. </w:t>
      </w:r>
      <w:r w:rsidR="0075162E" w:rsidRPr="00BF6B82">
        <w:rPr>
          <w:rFonts w:ascii="Arial" w:hAnsi="Arial" w:cs="Arial"/>
          <w:sz w:val="22"/>
          <w:szCs w:val="22"/>
        </w:rPr>
        <w:t>Tale</w:t>
      </w:r>
      <w:r w:rsidRPr="00BF6B82">
        <w:rPr>
          <w:rFonts w:ascii="Arial" w:hAnsi="Arial" w:cs="Arial"/>
          <w:sz w:val="22"/>
          <w:szCs w:val="22"/>
        </w:rPr>
        <w:t xml:space="preserve"> </w:t>
      </w:r>
      <w:r w:rsidR="0052328B">
        <w:rPr>
          <w:rFonts w:ascii="Arial" w:hAnsi="Arial" w:cs="Arial"/>
          <w:sz w:val="22"/>
          <w:szCs w:val="22"/>
        </w:rPr>
        <w:t xml:space="preserve">dinamica </w:t>
      </w:r>
      <w:r w:rsidR="0075162E" w:rsidRPr="00BF6B82">
        <w:rPr>
          <w:rFonts w:ascii="Arial" w:hAnsi="Arial" w:cs="Arial"/>
          <w:sz w:val="22"/>
          <w:szCs w:val="22"/>
        </w:rPr>
        <w:t>è determinata da</w:t>
      </w:r>
      <w:r w:rsidRPr="00BF6B82">
        <w:rPr>
          <w:rFonts w:ascii="Arial" w:hAnsi="Arial" w:cs="Arial"/>
          <w:sz w:val="22"/>
          <w:szCs w:val="22"/>
        </w:rPr>
        <w:t xml:space="preserve"> una </w:t>
      </w:r>
      <w:r w:rsidR="0052328B">
        <w:rPr>
          <w:rFonts w:ascii="Arial" w:hAnsi="Arial" w:cs="Arial"/>
          <w:sz w:val="22"/>
          <w:szCs w:val="22"/>
        </w:rPr>
        <w:t xml:space="preserve">contenuta </w:t>
      </w:r>
      <w:r w:rsidRPr="00BF6B82">
        <w:rPr>
          <w:rFonts w:ascii="Arial" w:hAnsi="Arial" w:cs="Arial"/>
          <w:sz w:val="22"/>
          <w:szCs w:val="22"/>
        </w:rPr>
        <w:t>riduzione del fatturato (-</w:t>
      </w:r>
      <w:r w:rsidR="0075162E" w:rsidRPr="00BF6B82">
        <w:rPr>
          <w:rFonts w:ascii="Arial" w:hAnsi="Arial" w:cs="Arial"/>
          <w:sz w:val="22"/>
          <w:szCs w:val="22"/>
        </w:rPr>
        <w:t>0</w:t>
      </w:r>
      <w:r w:rsidRPr="00BF6B82">
        <w:rPr>
          <w:rFonts w:ascii="Arial" w:hAnsi="Arial" w:cs="Arial"/>
          <w:sz w:val="22"/>
          <w:szCs w:val="22"/>
        </w:rPr>
        <w:t>,</w:t>
      </w:r>
      <w:r w:rsidR="0075162E" w:rsidRPr="00BF6B82">
        <w:rPr>
          <w:rFonts w:ascii="Arial" w:hAnsi="Arial" w:cs="Arial"/>
          <w:sz w:val="22"/>
          <w:szCs w:val="22"/>
        </w:rPr>
        <w:t>5</w:t>
      </w:r>
      <w:r w:rsidRPr="00BF6B82">
        <w:rPr>
          <w:rFonts w:ascii="Arial" w:hAnsi="Arial" w:cs="Arial"/>
          <w:sz w:val="22"/>
          <w:szCs w:val="22"/>
        </w:rPr>
        <w:t xml:space="preserve">%) </w:t>
      </w:r>
      <w:r w:rsidR="0075162E" w:rsidRPr="00BF6B82">
        <w:rPr>
          <w:rFonts w:ascii="Arial" w:hAnsi="Arial" w:cs="Arial"/>
          <w:sz w:val="22"/>
          <w:szCs w:val="22"/>
        </w:rPr>
        <w:t>associata</w:t>
      </w:r>
      <w:r w:rsidR="00AA066B" w:rsidRPr="00BF6B82">
        <w:rPr>
          <w:rFonts w:ascii="Arial" w:hAnsi="Arial" w:cs="Arial"/>
          <w:sz w:val="22"/>
          <w:szCs w:val="22"/>
        </w:rPr>
        <w:t xml:space="preserve"> </w:t>
      </w:r>
      <w:r w:rsidRPr="00BF6B82">
        <w:rPr>
          <w:rFonts w:ascii="Arial" w:hAnsi="Arial" w:cs="Arial"/>
          <w:sz w:val="22"/>
          <w:szCs w:val="22"/>
        </w:rPr>
        <w:t xml:space="preserve">a una maggiore contrazione dei costi per </w:t>
      </w:r>
      <w:r w:rsidR="00D31933" w:rsidRPr="00BF6B82">
        <w:rPr>
          <w:rFonts w:ascii="Arial" w:hAnsi="Arial" w:cs="Arial"/>
          <w:sz w:val="22"/>
          <w:szCs w:val="22"/>
        </w:rPr>
        <w:t xml:space="preserve">l’acquisto di </w:t>
      </w:r>
      <w:r w:rsidRPr="00BF6B82">
        <w:rPr>
          <w:rFonts w:ascii="Arial" w:hAnsi="Arial" w:cs="Arial"/>
          <w:sz w:val="22"/>
          <w:szCs w:val="22"/>
        </w:rPr>
        <w:t>beni e servizi (-</w:t>
      </w:r>
      <w:r w:rsidR="0075162E" w:rsidRPr="00BF6B82">
        <w:rPr>
          <w:rFonts w:ascii="Arial" w:hAnsi="Arial" w:cs="Arial"/>
          <w:sz w:val="22"/>
          <w:szCs w:val="22"/>
        </w:rPr>
        <w:t>1</w:t>
      </w:r>
      <w:r w:rsidRPr="00BF6B82">
        <w:rPr>
          <w:rFonts w:ascii="Arial" w:hAnsi="Arial" w:cs="Arial"/>
          <w:sz w:val="22"/>
          <w:szCs w:val="22"/>
        </w:rPr>
        <w:t>,</w:t>
      </w:r>
      <w:r w:rsidR="0075162E" w:rsidRPr="00BF6B82">
        <w:rPr>
          <w:rFonts w:ascii="Arial" w:hAnsi="Arial" w:cs="Arial"/>
          <w:sz w:val="22"/>
          <w:szCs w:val="22"/>
        </w:rPr>
        <w:t>8</w:t>
      </w:r>
      <w:r w:rsidRPr="00BF6B82">
        <w:rPr>
          <w:rFonts w:ascii="Arial" w:hAnsi="Arial" w:cs="Arial"/>
          <w:sz w:val="22"/>
          <w:szCs w:val="22"/>
        </w:rPr>
        <w:t>%). In particolare</w:t>
      </w:r>
      <w:r w:rsidR="000579AE" w:rsidRPr="00BF6B82">
        <w:rPr>
          <w:rFonts w:ascii="Arial" w:hAnsi="Arial" w:cs="Arial"/>
          <w:sz w:val="22"/>
          <w:szCs w:val="22"/>
        </w:rPr>
        <w:t>,</w:t>
      </w:r>
      <w:r w:rsidRPr="00BF6B82">
        <w:rPr>
          <w:rFonts w:ascii="Arial" w:hAnsi="Arial" w:cs="Arial"/>
          <w:sz w:val="22"/>
          <w:szCs w:val="22"/>
        </w:rPr>
        <w:t xml:space="preserve"> si registra una diminuzione </w:t>
      </w:r>
      <w:r w:rsidR="0075162E" w:rsidRPr="00BF6B82">
        <w:rPr>
          <w:rFonts w:ascii="Arial" w:hAnsi="Arial" w:cs="Arial"/>
          <w:sz w:val="22"/>
          <w:szCs w:val="22"/>
        </w:rPr>
        <w:t xml:space="preserve">sia </w:t>
      </w:r>
      <w:r w:rsidRPr="00BF6B82">
        <w:rPr>
          <w:rFonts w:ascii="Arial" w:hAnsi="Arial" w:cs="Arial"/>
          <w:sz w:val="22"/>
          <w:szCs w:val="22"/>
        </w:rPr>
        <w:t>dei costi per</w:t>
      </w:r>
      <w:r w:rsidR="0075162E" w:rsidRPr="00BF6B82">
        <w:rPr>
          <w:rFonts w:ascii="Arial" w:hAnsi="Arial" w:cs="Arial"/>
          <w:sz w:val="22"/>
          <w:szCs w:val="22"/>
        </w:rPr>
        <w:t xml:space="preserve"> acquist</w:t>
      </w:r>
      <w:r w:rsidR="006A4856" w:rsidRPr="00BF6B82">
        <w:rPr>
          <w:rFonts w:ascii="Arial" w:hAnsi="Arial" w:cs="Arial"/>
          <w:sz w:val="22"/>
          <w:szCs w:val="22"/>
        </w:rPr>
        <w:t>i</w:t>
      </w:r>
      <w:r w:rsidR="0075162E" w:rsidRPr="00BF6B82">
        <w:rPr>
          <w:rFonts w:ascii="Arial" w:hAnsi="Arial" w:cs="Arial"/>
          <w:sz w:val="22"/>
          <w:szCs w:val="22"/>
        </w:rPr>
        <w:t xml:space="preserve"> di</w:t>
      </w:r>
      <w:r w:rsidRPr="00BF6B82">
        <w:rPr>
          <w:rFonts w:ascii="Arial" w:hAnsi="Arial" w:cs="Arial"/>
          <w:sz w:val="22"/>
          <w:szCs w:val="22"/>
        </w:rPr>
        <w:t xml:space="preserve"> beni (-</w:t>
      </w:r>
      <w:r w:rsidR="0075162E" w:rsidRPr="00BF6B82">
        <w:rPr>
          <w:rFonts w:ascii="Arial" w:hAnsi="Arial" w:cs="Arial"/>
          <w:sz w:val="22"/>
          <w:szCs w:val="22"/>
        </w:rPr>
        <w:t>2</w:t>
      </w:r>
      <w:r w:rsidRPr="00BF6B82">
        <w:rPr>
          <w:rFonts w:ascii="Arial" w:hAnsi="Arial" w:cs="Arial"/>
          <w:sz w:val="22"/>
          <w:szCs w:val="22"/>
        </w:rPr>
        <w:t>,</w:t>
      </w:r>
      <w:r w:rsidR="0075162E" w:rsidRPr="00BF6B82">
        <w:rPr>
          <w:rFonts w:ascii="Arial" w:hAnsi="Arial" w:cs="Arial"/>
          <w:sz w:val="22"/>
          <w:szCs w:val="22"/>
        </w:rPr>
        <w:t>3</w:t>
      </w:r>
      <w:r w:rsidRPr="00BF6B82">
        <w:rPr>
          <w:rFonts w:ascii="Arial" w:hAnsi="Arial" w:cs="Arial"/>
          <w:sz w:val="22"/>
          <w:szCs w:val="22"/>
        </w:rPr>
        <w:t xml:space="preserve">%) </w:t>
      </w:r>
      <w:r w:rsidR="0075162E" w:rsidRPr="00BF6B82">
        <w:rPr>
          <w:rFonts w:ascii="Arial" w:hAnsi="Arial" w:cs="Arial"/>
          <w:sz w:val="22"/>
          <w:szCs w:val="22"/>
        </w:rPr>
        <w:t>sia</w:t>
      </w:r>
      <w:r w:rsidR="0052328B">
        <w:rPr>
          <w:rFonts w:ascii="Arial" w:hAnsi="Arial" w:cs="Arial"/>
          <w:sz w:val="22"/>
          <w:szCs w:val="22"/>
        </w:rPr>
        <w:t xml:space="preserve">, in misura inferiore, </w:t>
      </w:r>
      <w:r w:rsidR="006A4856" w:rsidRPr="00BF6B82">
        <w:rPr>
          <w:rFonts w:ascii="Arial" w:hAnsi="Arial" w:cs="Arial"/>
          <w:sz w:val="22"/>
          <w:szCs w:val="22"/>
        </w:rPr>
        <w:t xml:space="preserve">di quelli </w:t>
      </w:r>
      <w:r w:rsidRPr="00BF6B82">
        <w:rPr>
          <w:rFonts w:ascii="Arial" w:hAnsi="Arial" w:cs="Arial"/>
          <w:sz w:val="22"/>
          <w:szCs w:val="22"/>
        </w:rPr>
        <w:t>per servizi</w:t>
      </w:r>
      <w:r w:rsidR="00427A4B">
        <w:rPr>
          <w:rFonts w:ascii="Arial" w:hAnsi="Arial" w:cs="Arial"/>
          <w:sz w:val="22"/>
          <w:szCs w:val="22"/>
        </w:rPr>
        <w:br/>
      </w:r>
      <w:r w:rsidRPr="00BF6B82">
        <w:rPr>
          <w:rFonts w:ascii="Arial" w:hAnsi="Arial" w:cs="Arial"/>
          <w:sz w:val="22"/>
          <w:szCs w:val="22"/>
        </w:rPr>
        <w:t>(</w:t>
      </w:r>
      <w:r w:rsidR="0075162E" w:rsidRPr="00BF6B82">
        <w:rPr>
          <w:rFonts w:ascii="Arial" w:hAnsi="Arial" w:cs="Arial"/>
          <w:sz w:val="22"/>
          <w:szCs w:val="22"/>
        </w:rPr>
        <w:t>-0</w:t>
      </w:r>
      <w:r w:rsidRPr="00BF6B82">
        <w:rPr>
          <w:rFonts w:ascii="Arial" w:hAnsi="Arial" w:cs="Arial"/>
          <w:sz w:val="22"/>
          <w:szCs w:val="22"/>
        </w:rPr>
        <w:t>,</w:t>
      </w:r>
      <w:r w:rsidR="0075162E" w:rsidRPr="00BF6B82">
        <w:rPr>
          <w:rFonts w:ascii="Arial" w:hAnsi="Arial" w:cs="Arial"/>
          <w:sz w:val="22"/>
          <w:szCs w:val="22"/>
        </w:rPr>
        <w:t>7</w:t>
      </w:r>
      <w:r w:rsidRPr="00BF6B82">
        <w:rPr>
          <w:rFonts w:ascii="Arial" w:hAnsi="Arial" w:cs="Arial"/>
          <w:sz w:val="22"/>
          <w:szCs w:val="22"/>
        </w:rPr>
        <w:t xml:space="preserve">%). </w:t>
      </w:r>
    </w:p>
    <w:p w14:paraId="44812E72" w14:textId="4F1E4885" w:rsidR="0052328B" w:rsidRDefault="00DC3A15" w:rsidP="000819E9">
      <w:pPr>
        <w:autoSpaceDE w:val="0"/>
        <w:autoSpaceDN w:val="0"/>
        <w:adjustRightInd w:val="0"/>
        <w:spacing w:after="120" w:line="240" w:lineRule="auto"/>
        <w:jc w:val="both"/>
        <w:rPr>
          <w:rFonts w:ascii="Arial" w:hAnsi="Arial" w:cs="Arial"/>
          <w:sz w:val="22"/>
          <w:szCs w:val="22"/>
        </w:rPr>
      </w:pPr>
      <w:r w:rsidRPr="00BF6B82">
        <w:rPr>
          <w:rFonts w:ascii="Arial" w:hAnsi="Arial" w:cs="Arial"/>
          <w:sz w:val="22"/>
          <w:szCs w:val="22"/>
        </w:rPr>
        <w:t>L’aumento del valore aggiunto</w:t>
      </w:r>
      <w:r w:rsidR="0052328B">
        <w:rPr>
          <w:rFonts w:ascii="Arial" w:hAnsi="Arial" w:cs="Arial"/>
          <w:sz w:val="22"/>
          <w:szCs w:val="22"/>
        </w:rPr>
        <w:t xml:space="preserve"> </w:t>
      </w:r>
      <w:r w:rsidRPr="00BF6B82">
        <w:rPr>
          <w:rFonts w:ascii="Arial" w:hAnsi="Arial" w:cs="Arial"/>
          <w:sz w:val="22"/>
          <w:szCs w:val="22"/>
        </w:rPr>
        <w:t xml:space="preserve">è più elevato per </w:t>
      </w:r>
      <w:r w:rsidR="0075162E" w:rsidRPr="00BF6B82">
        <w:rPr>
          <w:rFonts w:ascii="Arial" w:hAnsi="Arial" w:cs="Arial"/>
          <w:sz w:val="22"/>
          <w:szCs w:val="22"/>
        </w:rPr>
        <w:t xml:space="preserve">le grandi imprese (+3,2%) e </w:t>
      </w:r>
      <w:r w:rsidRPr="00BF6B82">
        <w:rPr>
          <w:rFonts w:ascii="Arial" w:hAnsi="Arial" w:cs="Arial"/>
          <w:sz w:val="22"/>
          <w:szCs w:val="22"/>
        </w:rPr>
        <w:t>le</w:t>
      </w:r>
      <w:r w:rsidR="0075162E" w:rsidRPr="00BF6B82">
        <w:rPr>
          <w:rFonts w:ascii="Arial" w:hAnsi="Arial" w:cs="Arial"/>
          <w:sz w:val="22"/>
          <w:szCs w:val="22"/>
        </w:rPr>
        <w:t xml:space="preserve"> microimprese (+3,1%). Leggermente inferiore l’incremento delle medie imprese (+2,8%) mentre</w:t>
      </w:r>
      <w:r w:rsidR="00F55235" w:rsidRPr="00BF6B82">
        <w:rPr>
          <w:rFonts w:ascii="Arial" w:hAnsi="Arial" w:cs="Arial"/>
          <w:sz w:val="22"/>
          <w:szCs w:val="22"/>
        </w:rPr>
        <w:t>,</w:t>
      </w:r>
      <w:r w:rsidRPr="00BF6B82">
        <w:rPr>
          <w:rFonts w:ascii="Arial" w:hAnsi="Arial" w:cs="Arial"/>
          <w:sz w:val="22"/>
          <w:szCs w:val="22"/>
        </w:rPr>
        <w:t xml:space="preserve"> </w:t>
      </w:r>
      <w:r w:rsidR="0075162E" w:rsidRPr="00BF6B82">
        <w:rPr>
          <w:rFonts w:ascii="Arial" w:hAnsi="Arial" w:cs="Arial"/>
          <w:sz w:val="22"/>
          <w:szCs w:val="22"/>
        </w:rPr>
        <w:t>p</w:t>
      </w:r>
      <w:r w:rsidRPr="00BF6B82">
        <w:rPr>
          <w:rFonts w:ascii="Arial" w:hAnsi="Arial" w:cs="Arial"/>
          <w:sz w:val="22"/>
          <w:szCs w:val="22"/>
        </w:rPr>
        <w:t xml:space="preserve">er le </w:t>
      </w:r>
      <w:r w:rsidR="0075162E" w:rsidRPr="00BF6B82">
        <w:rPr>
          <w:rFonts w:ascii="Arial" w:hAnsi="Arial" w:cs="Arial"/>
          <w:sz w:val="22"/>
          <w:szCs w:val="22"/>
        </w:rPr>
        <w:t>piccole</w:t>
      </w:r>
      <w:r w:rsidR="00F55235" w:rsidRPr="00BF6B82">
        <w:rPr>
          <w:rFonts w:ascii="Arial" w:hAnsi="Arial" w:cs="Arial"/>
          <w:sz w:val="22"/>
          <w:szCs w:val="22"/>
        </w:rPr>
        <w:t>,</w:t>
      </w:r>
      <w:r w:rsidRPr="00BF6B82">
        <w:rPr>
          <w:rFonts w:ascii="Arial" w:hAnsi="Arial" w:cs="Arial"/>
          <w:sz w:val="22"/>
          <w:szCs w:val="22"/>
        </w:rPr>
        <w:t xml:space="preserve"> </w:t>
      </w:r>
      <w:r w:rsidR="0075162E" w:rsidRPr="00BF6B82">
        <w:rPr>
          <w:rFonts w:ascii="Arial" w:hAnsi="Arial" w:cs="Arial"/>
          <w:sz w:val="22"/>
          <w:szCs w:val="22"/>
        </w:rPr>
        <w:t>si registra un calo nella classe 10-</w:t>
      </w:r>
      <w:r w:rsidR="00AB2A42">
        <w:rPr>
          <w:rFonts w:ascii="Arial" w:hAnsi="Arial" w:cs="Arial"/>
          <w:sz w:val="22"/>
          <w:szCs w:val="22"/>
        </w:rPr>
        <w:t>1</w:t>
      </w:r>
      <w:r w:rsidR="0075162E" w:rsidRPr="00BF6B82">
        <w:rPr>
          <w:rFonts w:ascii="Arial" w:hAnsi="Arial" w:cs="Arial"/>
          <w:sz w:val="22"/>
          <w:szCs w:val="22"/>
        </w:rPr>
        <w:t>9 addetti (-0</w:t>
      </w:r>
      <w:r w:rsidRPr="00BF6B82">
        <w:rPr>
          <w:rFonts w:ascii="Arial" w:hAnsi="Arial" w:cs="Arial"/>
          <w:sz w:val="22"/>
          <w:szCs w:val="22"/>
        </w:rPr>
        <w:t>,</w:t>
      </w:r>
      <w:r w:rsidR="0075162E" w:rsidRPr="00BF6B82">
        <w:rPr>
          <w:rFonts w:ascii="Arial" w:hAnsi="Arial" w:cs="Arial"/>
          <w:sz w:val="22"/>
          <w:szCs w:val="22"/>
        </w:rPr>
        <w:t>7</w:t>
      </w:r>
      <w:r w:rsidRPr="00BF6B82">
        <w:rPr>
          <w:rFonts w:ascii="Arial" w:hAnsi="Arial" w:cs="Arial"/>
          <w:sz w:val="22"/>
          <w:szCs w:val="22"/>
        </w:rPr>
        <w:t>%</w:t>
      </w:r>
      <w:r w:rsidR="0075162E" w:rsidRPr="00BF6B82">
        <w:rPr>
          <w:rFonts w:ascii="Arial" w:hAnsi="Arial" w:cs="Arial"/>
          <w:sz w:val="22"/>
          <w:szCs w:val="22"/>
        </w:rPr>
        <w:t>)</w:t>
      </w:r>
      <w:r w:rsidRPr="00BF6B82">
        <w:rPr>
          <w:rFonts w:ascii="Arial" w:hAnsi="Arial" w:cs="Arial"/>
          <w:sz w:val="22"/>
          <w:szCs w:val="22"/>
        </w:rPr>
        <w:t xml:space="preserve"> </w:t>
      </w:r>
      <w:r w:rsidR="009C03E0" w:rsidRPr="00BF6B82">
        <w:rPr>
          <w:rFonts w:ascii="Arial" w:hAnsi="Arial" w:cs="Arial"/>
          <w:sz w:val="22"/>
          <w:szCs w:val="22"/>
        </w:rPr>
        <w:t xml:space="preserve">e una crescita </w:t>
      </w:r>
      <w:r w:rsidRPr="00BF6B82">
        <w:rPr>
          <w:rFonts w:ascii="Arial" w:hAnsi="Arial" w:cs="Arial"/>
          <w:sz w:val="22"/>
          <w:szCs w:val="22"/>
        </w:rPr>
        <w:t>nella classe 20-49 addetti (+</w:t>
      </w:r>
      <w:r w:rsidR="009C03E0" w:rsidRPr="00BF6B82">
        <w:rPr>
          <w:rFonts w:ascii="Arial" w:hAnsi="Arial" w:cs="Arial"/>
          <w:sz w:val="22"/>
          <w:szCs w:val="22"/>
        </w:rPr>
        <w:t>1</w:t>
      </w:r>
      <w:r w:rsidRPr="00BF6B82">
        <w:rPr>
          <w:rFonts w:ascii="Arial" w:hAnsi="Arial" w:cs="Arial"/>
          <w:sz w:val="22"/>
          <w:szCs w:val="22"/>
        </w:rPr>
        <w:t>,</w:t>
      </w:r>
      <w:r w:rsidR="009C03E0" w:rsidRPr="00BF6B82">
        <w:rPr>
          <w:rFonts w:ascii="Arial" w:hAnsi="Arial" w:cs="Arial"/>
          <w:sz w:val="22"/>
          <w:szCs w:val="22"/>
        </w:rPr>
        <w:t>3</w:t>
      </w:r>
      <w:r w:rsidRPr="00BF6B82">
        <w:rPr>
          <w:rFonts w:ascii="Arial" w:hAnsi="Arial" w:cs="Arial"/>
          <w:sz w:val="22"/>
          <w:szCs w:val="22"/>
        </w:rPr>
        <w:t xml:space="preserve">%). </w:t>
      </w:r>
    </w:p>
    <w:p w14:paraId="1E12204B" w14:textId="07579C22" w:rsidR="000819E9" w:rsidRPr="00BF6B82" w:rsidRDefault="0052328B" w:rsidP="000819E9">
      <w:pPr>
        <w:autoSpaceDE w:val="0"/>
        <w:autoSpaceDN w:val="0"/>
        <w:adjustRightInd w:val="0"/>
        <w:spacing w:after="120" w:line="240" w:lineRule="auto"/>
        <w:jc w:val="both"/>
        <w:rPr>
          <w:rFonts w:ascii="Arial" w:hAnsi="Arial" w:cs="Arial"/>
          <w:sz w:val="22"/>
          <w:szCs w:val="22"/>
        </w:rPr>
      </w:pPr>
      <w:r>
        <w:rPr>
          <w:rFonts w:ascii="Arial" w:hAnsi="Arial" w:cs="Arial"/>
          <w:sz w:val="22"/>
          <w:szCs w:val="22"/>
        </w:rPr>
        <w:t xml:space="preserve">La </w:t>
      </w:r>
      <w:r w:rsidR="000819E9" w:rsidRPr="00BF6B82">
        <w:rPr>
          <w:rFonts w:ascii="Arial" w:hAnsi="Arial" w:cs="Arial"/>
          <w:sz w:val="22"/>
          <w:szCs w:val="22"/>
        </w:rPr>
        <w:t xml:space="preserve">crescita del valore aggiunto </w:t>
      </w:r>
      <w:r>
        <w:rPr>
          <w:rFonts w:ascii="Arial" w:hAnsi="Arial" w:cs="Arial"/>
          <w:sz w:val="22"/>
          <w:szCs w:val="22"/>
        </w:rPr>
        <w:t xml:space="preserve">è </w:t>
      </w:r>
      <w:r w:rsidR="000156FA" w:rsidRPr="00BF6B82">
        <w:rPr>
          <w:rFonts w:ascii="Arial" w:hAnsi="Arial" w:cs="Arial"/>
          <w:sz w:val="22"/>
          <w:szCs w:val="22"/>
        </w:rPr>
        <w:t xml:space="preserve">trainata dalle </w:t>
      </w:r>
      <w:r w:rsidR="000819E9" w:rsidRPr="00BF6B82">
        <w:rPr>
          <w:rFonts w:ascii="Arial" w:hAnsi="Arial" w:cs="Arial"/>
          <w:sz w:val="22"/>
          <w:szCs w:val="22"/>
        </w:rPr>
        <w:t xml:space="preserve">imprese </w:t>
      </w:r>
      <w:r w:rsidR="000819E9" w:rsidRPr="0031341C">
        <w:rPr>
          <w:rFonts w:ascii="Arial" w:hAnsi="Arial" w:cs="Arial"/>
          <w:sz w:val="22"/>
          <w:szCs w:val="22"/>
        </w:rPr>
        <w:t>appartenenti a gruppi (+</w:t>
      </w:r>
      <w:r w:rsidR="007658E1" w:rsidRPr="0031341C">
        <w:rPr>
          <w:rFonts w:ascii="Arial" w:hAnsi="Arial" w:cs="Arial"/>
          <w:sz w:val="22"/>
          <w:szCs w:val="22"/>
        </w:rPr>
        <w:t>3,9</w:t>
      </w:r>
      <w:r w:rsidR="000819E9" w:rsidRPr="0031341C">
        <w:rPr>
          <w:rFonts w:ascii="Arial" w:hAnsi="Arial" w:cs="Arial"/>
          <w:sz w:val="22"/>
          <w:szCs w:val="22"/>
        </w:rPr>
        <w:t>%)</w:t>
      </w:r>
      <w:r w:rsidR="000156FA" w:rsidRPr="0031341C">
        <w:rPr>
          <w:rFonts w:ascii="Arial" w:hAnsi="Arial" w:cs="Arial"/>
          <w:sz w:val="22"/>
          <w:szCs w:val="22"/>
        </w:rPr>
        <w:t>, mentre</w:t>
      </w:r>
      <w:r w:rsidR="007658E1" w:rsidRPr="0031341C">
        <w:rPr>
          <w:rFonts w:ascii="Arial" w:hAnsi="Arial" w:cs="Arial"/>
          <w:sz w:val="22"/>
          <w:szCs w:val="22"/>
        </w:rPr>
        <w:t xml:space="preserve"> le</w:t>
      </w:r>
      <w:r w:rsidR="000819E9" w:rsidRPr="0031341C">
        <w:rPr>
          <w:rFonts w:ascii="Arial" w:hAnsi="Arial" w:cs="Arial"/>
          <w:sz w:val="22"/>
          <w:szCs w:val="22"/>
        </w:rPr>
        <w:t xml:space="preserve"> </w:t>
      </w:r>
      <w:r w:rsidR="007658E1" w:rsidRPr="0031341C">
        <w:rPr>
          <w:rFonts w:ascii="Arial" w:hAnsi="Arial" w:cs="Arial"/>
          <w:sz w:val="22"/>
          <w:szCs w:val="22"/>
        </w:rPr>
        <w:t>imprese indipendenti</w:t>
      </w:r>
      <w:r w:rsidR="000156FA" w:rsidRPr="0031341C">
        <w:rPr>
          <w:rFonts w:ascii="Arial" w:hAnsi="Arial" w:cs="Arial"/>
          <w:sz w:val="22"/>
          <w:szCs w:val="22"/>
        </w:rPr>
        <w:t xml:space="preserve"> registrano una crescita </w:t>
      </w:r>
      <w:r w:rsidR="004350BA" w:rsidRPr="0031341C">
        <w:rPr>
          <w:rFonts w:ascii="Arial" w:hAnsi="Arial" w:cs="Arial"/>
          <w:sz w:val="22"/>
          <w:szCs w:val="22"/>
        </w:rPr>
        <w:t xml:space="preserve">contenuta </w:t>
      </w:r>
      <w:r w:rsidR="007658E1" w:rsidRPr="0031341C">
        <w:rPr>
          <w:rFonts w:ascii="Arial" w:hAnsi="Arial" w:cs="Arial"/>
          <w:sz w:val="22"/>
          <w:szCs w:val="22"/>
        </w:rPr>
        <w:t>(+</w:t>
      </w:r>
      <w:r w:rsidR="000156FA" w:rsidRPr="0031341C">
        <w:rPr>
          <w:rFonts w:ascii="Arial" w:hAnsi="Arial" w:cs="Arial"/>
          <w:sz w:val="22"/>
          <w:szCs w:val="22"/>
        </w:rPr>
        <w:t>0,6</w:t>
      </w:r>
      <w:r w:rsidR="007658E1" w:rsidRPr="0031341C">
        <w:rPr>
          <w:rFonts w:ascii="Arial" w:hAnsi="Arial" w:cs="Arial"/>
          <w:sz w:val="22"/>
          <w:szCs w:val="22"/>
        </w:rPr>
        <w:t xml:space="preserve">%). </w:t>
      </w:r>
      <w:r>
        <w:rPr>
          <w:rFonts w:ascii="Arial" w:hAnsi="Arial" w:cs="Arial"/>
          <w:sz w:val="22"/>
          <w:szCs w:val="22"/>
        </w:rPr>
        <w:t xml:space="preserve">In </w:t>
      </w:r>
      <w:r w:rsidR="00374546">
        <w:rPr>
          <w:rFonts w:ascii="Arial" w:hAnsi="Arial" w:cs="Arial"/>
          <w:sz w:val="22"/>
          <w:szCs w:val="22"/>
        </w:rPr>
        <w:t>particolare,</w:t>
      </w:r>
      <w:r>
        <w:rPr>
          <w:rFonts w:ascii="Arial" w:hAnsi="Arial" w:cs="Arial"/>
          <w:sz w:val="22"/>
          <w:szCs w:val="22"/>
        </w:rPr>
        <w:t xml:space="preserve"> il valore aggiunto </w:t>
      </w:r>
      <w:r w:rsidR="007658E1" w:rsidRPr="0031341C">
        <w:rPr>
          <w:rFonts w:ascii="Arial" w:hAnsi="Arial" w:cs="Arial"/>
          <w:sz w:val="22"/>
          <w:szCs w:val="22"/>
        </w:rPr>
        <w:t xml:space="preserve">cresce </w:t>
      </w:r>
      <w:r>
        <w:rPr>
          <w:rFonts w:ascii="Arial" w:hAnsi="Arial" w:cs="Arial"/>
          <w:sz w:val="22"/>
          <w:szCs w:val="22"/>
        </w:rPr>
        <w:t xml:space="preserve">sia per </w:t>
      </w:r>
      <w:r w:rsidR="007658E1" w:rsidRPr="0031341C">
        <w:rPr>
          <w:rFonts w:ascii="Arial" w:hAnsi="Arial" w:cs="Arial"/>
          <w:sz w:val="22"/>
          <w:szCs w:val="22"/>
        </w:rPr>
        <w:t>le</w:t>
      </w:r>
      <w:r w:rsidR="000819E9" w:rsidRPr="0031341C">
        <w:rPr>
          <w:rFonts w:ascii="Arial" w:hAnsi="Arial" w:cs="Arial"/>
          <w:sz w:val="22"/>
          <w:szCs w:val="22"/>
        </w:rPr>
        <w:t xml:space="preserve"> imprese dei gruppi domestici </w:t>
      </w:r>
      <w:r w:rsidR="007658E1" w:rsidRPr="0031341C">
        <w:rPr>
          <w:rFonts w:ascii="Arial" w:hAnsi="Arial" w:cs="Arial"/>
          <w:sz w:val="22"/>
          <w:szCs w:val="22"/>
        </w:rPr>
        <w:t>(+3,7%)</w:t>
      </w:r>
      <w:r w:rsidR="000819E9" w:rsidRPr="0031341C">
        <w:rPr>
          <w:rFonts w:ascii="Arial" w:hAnsi="Arial" w:cs="Arial"/>
          <w:sz w:val="22"/>
          <w:szCs w:val="22"/>
        </w:rPr>
        <w:t xml:space="preserve"> </w:t>
      </w:r>
      <w:r w:rsidR="00374546" w:rsidRPr="0031341C">
        <w:rPr>
          <w:rFonts w:ascii="Arial" w:hAnsi="Arial" w:cs="Arial"/>
          <w:sz w:val="22"/>
          <w:szCs w:val="22"/>
        </w:rPr>
        <w:t xml:space="preserve">sia </w:t>
      </w:r>
      <w:r w:rsidR="00374546">
        <w:rPr>
          <w:rFonts w:ascii="Arial" w:hAnsi="Arial" w:cs="Arial"/>
          <w:sz w:val="22"/>
          <w:szCs w:val="22"/>
        </w:rPr>
        <w:t>per</w:t>
      </w:r>
      <w:r>
        <w:rPr>
          <w:rFonts w:ascii="Arial" w:hAnsi="Arial" w:cs="Arial"/>
          <w:sz w:val="22"/>
          <w:szCs w:val="22"/>
        </w:rPr>
        <w:t xml:space="preserve"> </w:t>
      </w:r>
      <w:r w:rsidR="000819E9" w:rsidRPr="0031341C">
        <w:rPr>
          <w:rFonts w:ascii="Arial" w:hAnsi="Arial" w:cs="Arial"/>
          <w:sz w:val="22"/>
          <w:szCs w:val="22"/>
        </w:rPr>
        <w:t xml:space="preserve">quelle appartenenti a gruppi multinazionali </w:t>
      </w:r>
      <w:r w:rsidR="007658E1" w:rsidRPr="0031341C">
        <w:rPr>
          <w:rFonts w:ascii="Arial" w:hAnsi="Arial" w:cs="Arial"/>
          <w:sz w:val="22"/>
          <w:szCs w:val="22"/>
        </w:rPr>
        <w:t>(3,9</w:t>
      </w:r>
      <w:r w:rsidR="000819E9" w:rsidRPr="0031341C">
        <w:rPr>
          <w:rFonts w:ascii="Arial" w:hAnsi="Arial" w:cs="Arial"/>
          <w:sz w:val="22"/>
          <w:szCs w:val="22"/>
        </w:rPr>
        <w:t>%</w:t>
      </w:r>
      <w:r w:rsidR="007658E1" w:rsidRPr="0031341C">
        <w:rPr>
          <w:rFonts w:ascii="Arial" w:hAnsi="Arial" w:cs="Arial"/>
          <w:sz w:val="22"/>
          <w:szCs w:val="22"/>
        </w:rPr>
        <w:t>)</w:t>
      </w:r>
      <w:r>
        <w:rPr>
          <w:rFonts w:ascii="Arial" w:hAnsi="Arial" w:cs="Arial"/>
          <w:sz w:val="22"/>
          <w:szCs w:val="22"/>
        </w:rPr>
        <w:t xml:space="preserve">, in misura più sostenuta per </w:t>
      </w:r>
      <w:r w:rsidR="00A3739D" w:rsidRPr="0031341C">
        <w:rPr>
          <w:rFonts w:ascii="Arial" w:hAnsi="Arial" w:cs="Arial"/>
          <w:sz w:val="22"/>
          <w:szCs w:val="22"/>
        </w:rPr>
        <w:t>multinazionali estere</w:t>
      </w:r>
      <w:r w:rsidR="000156FA" w:rsidRPr="0031341C">
        <w:rPr>
          <w:rFonts w:ascii="Arial" w:hAnsi="Arial" w:cs="Arial"/>
          <w:sz w:val="22"/>
          <w:szCs w:val="22"/>
        </w:rPr>
        <w:t xml:space="preserve"> (+4,3)</w:t>
      </w:r>
      <w:r w:rsidRPr="0052328B">
        <w:rPr>
          <w:rFonts w:ascii="Arial" w:hAnsi="Arial" w:cs="Arial"/>
          <w:sz w:val="22"/>
          <w:szCs w:val="22"/>
        </w:rPr>
        <w:t xml:space="preserve"> (Figura 1</w:t>
      </w:r>
      <w:r>
        <w:rPr>
          <w:rFonts w:ascii="Arial" w:hAnsi="Arial" w:cs="Arial"/>
          <w:sz w:val="22"/>
          <w:szCs w:val="22"/>
        </w:rPr>
        <w:t>).</w:t>
      </w:r>
      <w:r w:rsidR="007506BF" w:rsidRPr="0031341C">
        <w:rPr>
          <w:rFonts w:ascii="Arial" w:hAnsi="Arial" w:cs="Arial"/>
          <w:sz w:val="22"/>
          <w:szCs w:val="22"/>
        </w:rPr>
        <w:t xml:space="preserve"> </w:t>
      </w:r>
    </w:p>
    <w:p w14:paraId="144AC05E" w14:textId="1C7788E3" w:rsidR="00DC3A15" w:rsidRPr="0031341C" w:rsidRDefault="00DC3A15" w:rsidP="00DC3A15">
      <w:pPr>
        <w:autoSpaceDE w:val="0"/>
        <w:autoSpaceDN w:val="0"/>
        <w:adjustRightInd w:val="0"/>
        <w:spacing w:after="120" w:line="240" w:lineRule="auto"/>
        <w:jc w:val="both"/>
        <w:rPr>
          <w:rFonts w:ascii="Arial" w:hAnsi="Arial" w:cs="Arial"/>
          <w:sz w:val="22"/>
          <w:szCs w:val="22"/>
        </w:rPr>
      </w:pPr>
      <w:r w:rsidRPr="00BF6B82">
        <w:rPr>
          <w:rFonts w:ascii="Arial" w:hAnsi="Arial" w:cs="Arial"/>
          <w:sz w:val="22"/>
          <w:szCs w:val="22"/>
        </w:rPr>
        <w:t>Il fatturato</w:t>
      </w:r>
      <w:r w:rsidR="0052328B">
        <w:rPr>
          <w:rFonts w:ascii="Arial" w:hAnsi="Arial" w:cs="Arial"/>
          <w:sz w:val="22"/>
          <w:szCs w:val="22"/>
        </w:rPr>
        <w:t xml:space="preserve"> </w:t>
      </w:r>
      <w:r w:rsidR="00F55235" w:rsidRPr="00BF6B82">
        <w:rPr>
          <w:rFonts w:ascii="Arial" w:hAnsi="Arial" w:cs="Arial"/>
          <w:sz w:val="22"/>
          <w:szCs w:val="22"/>
        </w:rPr>
        <w:t xml:space="preserve">cresce solo per le imprese con oltre 50 addetti: +1,6% per le medie e +1,2% per le grandi. </w:t>
      </w:r>
      <w:r w:rsidR="00427A4B">
        <w:rPr>
          <w:rFonts w:ascii="Arial" w:hAnsi="Arial" w:cs="Arial"/>
          <w:sz w:val="22"/>
          <w:szCs w:val="22"/>
        </w:rPr>
        <w:br/>
      </w:r>
      <w:r w:rsidR="0052328B">
        <w:rPr>
          <w:rFonts w:ascii="Arial" w:hAnsi="Arial" w:cs="Arial"/>
          <w:sz w:val="22"/>
          <w:szCs w:val="22"/>
        </w:rPr>
        <w:t xml:space="preserve">I </w:t>
      </w:r>
      <w:r w:rsidRPr="00BF6B82">
        <w:rPr>
          <w:rFonts w:ascii="Arial" w:hAnsi="Arial" w:cs="Arial"/>
          <w:sz w:val="22"/>
          <w:szCs w:val="22"/>
        </w:rPr>
        <w:t>costi per acquisti di beni sono in calo per tutte le classi dimensionali (-</w:t>
      </w:r>
      <w:r w:rsidR="006A4856" w:rsidRPr="00BF6B82">
        <w:rPr>
          <w:rFonts w:ascii="Arial" w:hAnsi="Arial" w:cs="Arial"/>
          <w:sz w:val="22"/>
          <w:szCs w:val="22"/>
        </w:rPr>
        <w:t>6</w:t>
      </w:r>
      <w:r w:rsidRPr="00BF6B82">
        <w:rPr>
          <w:rFonts w:ascii="Arial" w:hAnsi="Arial" w:cs="Arial"/>
          <w:sz w:val="22"/>
          <w:szCs w:val="22"/>
        </w:rPr>
        <w:t>,</w:t>
      </w:r>
      <w:r w:rsidR="006A4856" w:rsidRPr="00BF6B82">
        <w:rPr>
          <w:rFonts w:ascii="Arial" w:hAnsi="Arial" w:cs="Arial"/>
          <w:sz w:val="22"/>
          <w:szCs w:val="22"/>
        </w:rPr>
        <w:t>4</w:t>
      </w:r>
      <w:r w:rsidRPr="00BF6B82">
        <w:rPr>
          <w:rFonts w:ascii="Arial" w:hAnsi="Arial" w:cs="Arial"/>
          <w:sz w:val="22"/>
          <w:szCs w:val="22"/>
        </w:rPr>
        <w:t xml:space="preserve">% per le </w:t>
      </w:r>
      <w:r w:rsidR="006A4856" w:rsidRPr="0031341C">
        <w:rPr>
          <w:rFonts w:ascii="Arial" w:hAnsi="Arial" w:cs="Arial"/>
          <w:sz w:val="22"/>
          <w:szCs w:val="22"/>
        </w:rPr>
        <w:t>micro</w:t>
      </w:r>
      <w:r w:rsidRPr="0031341C">
        <w:rPr>
          <w:rFonts w:ascii="Arial" w:hAnsi="Arial" w:cs="Arial"/>
          <w:sz w:val="22"/>
          <w:szCs w:val="22"/>
        </w:rPr>
        <w:t xml:space="preserve">imprese </w:t>
      </w:r>
      <w:r w:rsidR="00427A4B">
        <w:rPr>
          <w:rFonts w:ascii="Arial" w:hAnsi="Arial" w:cs="Arial"/>
          <w:sz w:val="22"/>
          <w:szCs w:val="22"/>
        </w:rPr>
        <w:br/>
      </w:r>
      <w:r w:rsidRPr="0031341C">
        <w:rPr>
          <w:rFonts w:ascii="Arial" w:hAnsi="Arial" w:cs="Arial"/>
          <w:sz w:val="22"/>
          <w:szCs w:val="22"/>
        </w:rPr>
        <w:t>e</w:t>
      </w:r>
      <w:r w:rsidR="00475003">
        <w:rPr>
          <w:rFonts w:ascii="Arial" w:hAnsi="Arial" w:cs="Arial"/>
          <w:sz w:val="22"/>
          <w:szCs w:val="22"/>
        </w:rPr>
        <w:t xml:space="preserve"> </w:t>
      </w:r>
      <w:r w:rsidR="006A4856" w:rsidRPr="0031341C">
        <w:rPr>
          <w:rFonts w:ascii="Arial" w:hAnsi="Arial" w:cs="Arial"/>
          <w:sz w:val="22"/>
          <w:szCs w:val="22"/>
        </w:rPr>
        <w:t>-0,6</w:t>
      </w:r>
      <w:r w:rsidRPr="0031341C">
        <w:rPr>
          <w:rFonts w:ascii="Arial" w:hAnsi="Arial" w:cs="Arial"/>
          <w:sz w:val="22"/>
          <w:szCs w:val="22"/>
        </w:rPr>
        <w:t xml:space="preserve">% per </w:t>
      </w:r>
      <w:r w:rsidR="006D560A" w:rsidRPr="0031341C">
        <w:rPr>
          <w:rFonts w:ascii="Arial" w:hAnsi="Arial" w:cs="Arial"/>
          <w:sz w:val="22"/>
          <w:szCs w:val="22"/>
        </w:rPr>
        <w:t>le grandi</w:t>
      </w:r>
      <w:r w:rsidRPr="0031341C">
        <w:rPr>
          <w:rFonts w:ascii="Arial" w:hAnsi="Arial" w:cs="Arial"/>
          <w:sz w:val="22"/>
          <w:szCs w:val="22"/>
        </w:rPr>
        <w:t>)</w:t>
      </w:r>
      <w:r w:rsidR="006A4856" w:rsidRPr="0031341C">
        <w:rPr>
          <w:rFonts w:ascii="Arial" w:hAnsi="Arial" w:cs="Arial"/>
          <w:sz w:val="22"/>
          <w:szCs w:val="22"/>
        </w:rPr>
        <w:t xml:space="preserve"> con l’eccezione delle medie imprese (+1,3%)</w:t>
      </w:r>
      <w:r w:rsidRPr="0031341C">
        <w:rPr>
          <w:rFonts w:ascii="Arial" w:hAnsi="Arial" w:cs="Arial"/>
          <w:sz w:val="22"/>
          <w:szCs w:val="22"/>
        </w:rPr>
        <w:t xml:space="preserve">. </w:t>
      </w:r>
      <w:r w:rsidR="006A4856" w:rsidRPr="0031341C">
        <w:rPr>
          <w:rFonts w:ascii="Arial" w:hAnsi="Arial" w:cs="Arial"/>
          <w:sz w:val="22"/>
          <w:szCs w:val="22"/>
        </w:rPr>
        <w:t xml:space="preserve">In calo anche </w:t>
      </w:r>
      <w:r w:rsidRPr="0031341C">
        <w:rPr>
          <w:rFonts w:ascii="Arial" w:hAnsi="Arial" w:cs="Arial"/>
          <w:sz w:val="22"/>
          <w:szCs w:val="22"/>
        </w:rPr>
        <w:t xml:space="preserve">i costi </w:t>
      </w:r>
      <w:r w:rsidR="006A4856" w:rsidRPr="0031341C">
        <w:rPr>
          <w:rFonts w:ascii="Arial" w:hAnsi="Arial" w:cs="Arial"/>
          <w:sz w:val="22"/>
          <w:szCs w:val="22"/>
        </w:rPr>
        <w:t xml:space="preserve">per </w:t>
      </w:r>
      <w:r w:rsidRPr="0031341C">
        <w:rPr>
          <w:rFonts w:ascii="Arial" w:hAnsi="Arial" w:cs="Arial"/>
          <w:sz w:val="22"/>
          <w:szCs w:val="22"/>
        </w:rPr>
        <w:t>acquist</w:t>
      </w:r>
      <w:r w:rsidR="006A4856" w:rsidRPr="0031341C">
        <w:rPr>
          <w:rFonts w:ascii="Arial" w:hAnsi="Arial" w:cs="Arial"/>
          <w:sz w:val="22"/>
          <w:szCs w:val="22"/>
        </w:rPr>
        <w:t>i di servizi</w:t>
      </w:r>
      <w:r w:rsidRPr="0031341C">
        <w:rPr>
          <w:rFonts w:ascii="Arial" w:hAnsi="Arial" w:cs="Arial"/>
          <w:sz w:val="22"/>
          <w:szCs w:val="22"/>
        </w:rPr>
        <w:t xml:space="preserve"> </w:t>
      </w:r>
      <w:r w:rsidR="006A4856" w:rsidRPr="0031341C">
        <w:rPr>
          <w:rFonts w:ascii="Arial" w:hAnsi="Arial" w:cs="Arial"/>
          <w:sz w:val="22"/>
          <w:szCs w:val="22"/>
        </w:rPr>
        <w:t>(-1,9% per le microimprese e -1,3% per le medie imprese) tranne per le grandi imprese (+1,8%).</w:t>
      </w:r>
      <w:r w:rsidRPr="0031341C">
        <w:rPr>
          <w:rFonts w:ascii="Arial" w:hAnsi="Arial" w:cs="Arial"/>
          <w:sz w:val="22"/>
          <w:szCs w:val="22"/>
        </w:rPr>
        <w:t xml:space="preserve"> </w:t>
      </w:r>
    </w:p>
    <w:p w14:paraId="7BA43068" w14:textId="30CB3DFD" w:rsidR="00EE725A" w:rsidRPr="0031341C" w:rsidRDefault="00F32FA9" w:rsidP="00DC3A15">
      <w:pPr>
        <w:autoSpaceDE w:val="0"/>
        <w:autoSpaceDN w:val="0"/>
        <w:adjustRightInd w:val="0"/>
        <w:spacing w:after="120" w:line="240" w:lineRule="auto"/>
        <w:jc w:val="both"/>
        <w:rPr>
          <w:rFonts w:ascii="Arial" w:hAnsi="Arial" w:cs="Arial"/>
          <w:sz w:val="22"/>
          <w:szCs w:val="22"/>
        </w:rPr>
      </w:pPr>
      <w:r w:rsidRPr="0031341C">
        <w:rPr>
          <w:rFonts w:ascii="Arial" w:hAnsi="Arial" w:cs="Arial"/>
          <w:sz w:val="22"/>
          <w:szCs w:val="22"/>
        </w:rPr>
        <w:t>Nel 2024, i</w:t>
      </w:r>
      <w:r w:rsidR="00EE725A" w:rsidRPr="0031341C">
        <w:rPr>
          <w:rFonts w:ascii="Arial" w:hAnsi="Arial" w:cs="Arial"/>
          <w:sz w:val="22"/>
          <w:szCs w:val="22"/>
        </w:rPr>
        <w:t xml:space="preserve">l costo del lavoro cresce </w:t>
      </w:r>
      <w:r w:rsidR="00C8128A" w:rsidRPr="0031341C">
        <w:rPr>
          <w:rFonts w:ascii="Arial" w:hAnsi="Arial" w:cs="Arial"/>
          <w:sz w:val="22"/>
          <w:szCs w:val="22"/>
        </w:rPr>
        <w:t>in tutte le classi dimensionali: +</w:t>
      </w:r>
      <w:r w:rsidR="00EE725A" w:rsidRPr="0031341C">
        <w:rPr>
          <w:rFonts w:ascii="Arial" w:hAnsi="Arial" w:cs="Arial"/>
          <w:sz w:val="22"/>
          <w:szCs w:val="22"/>
        </w:rPr>
        <w:t>4,0% per le microimprese</w:t>
      </w:r>
      <w:r w:rsidR="00F70024" w:rsidRPr="0031341C">
        <w:rPr>
          <w:rFonts w:ascii="Arial" w:hAnsi="Arial" w:cs="Arial"/>
          <w:sz w:val="22"/>
          <w:szCs w:val="22"/>
        </w:rPr>
        <w:t>,</w:t>
      </w:r>
      <w:r w:rsidR="00EE725A" w:rsidRPr="0031341C">
        <w:rPr>
          <w:rFonts w:ascii="Arial" w:hAnsi="Arial" w:cs="Arial"/>
          <w:sz w:val="22"/>
          <w:szCs w:val="22"/>
        </w:rPr>
        <w:t xml:space="preserve"> +3,5% e</w:t>
      </w:r>
      <w:r w:rsidR="00427A4B">
        <w:rPr>
          <w:rFonts w:ascii="Arial" w:hAnsi="Arial" w:cs="Arial"/>
          <w:sz w:val="22"/>
          <w:szCs w:val="22"/>
        </w:rPr>
        <w:t xml:space="preserve"> </w:t>
      </w:r>
      <w:r w:rsidR="00EE725A" w:rsidRPr="0031341C">
        <w:rPr>
          <w:rFonts w:ascii="Arial" w:hAnsi="Arial" w:cs="Arial"/>
          <w:sz w:val="22"/>
          <w:szCs w:val="22"/>
        </w:rPr>
        <w:t>+5,4% rispettivamente per le classi 10-19 e 20-49 addetti e, superando i valori medi generali, +5,7% per le medie imprese e +6,6% per le grandi.</w:t>
      </w:r>
    </w:p>
    <w:p w14:paraId="3A9ABD97" w14:textId="46407D37" w:rsidR="00717863" w:rsidRPr="00BF6B82" w:rsidRDefault="00717863" w:rsidP="00717863">
      <w:pPr>
        <w:autoSpaceDE w:val="0"/>
        <w:autoSpaceDN w:val="0"/>
        <w:adjustRightInd w:val="0"/>
        <w:spacing w:after="120" w:line="240" w:lineRule="auto"/>
        <w:jc w:val="both"/>
        <w:rPr>
          <w:rFonts w:ascii="Arial" w:hAnsi="Arial" w:cs="Arial"/>
          <w:sz w:val="22"/>
          <w:szCs w:val="22"/>
        </w:rPr>
      </w:pPr>
      <w:r w:rsidRPr="0031341C">
        <w:rPr>
          <w:rFonts w:ascii="Arial" w:hAnsi="Arial" w:cs="Arial"/>
          <w:sz w:val="22"/>
          <w:szCs w:val="22"/>
        </w:rPr>
        <w:t>Il margine operativo</w:t>
      </w:r>
      <w:r w:rsidRPr="00BF6B82">
        <w:rPr>
          <w:rFonts w:ascii="Arial" w:hAnsi="Arial" w:cs="Arial"/>
          <w:sz w:val="22"/>
          <w:szCs w:val="22"/>
        </w:rPr>
        <w:t xml:space="preserve"> lordo diminuisce</w:t>
      </w:r>
      <w:r w:rsidR="002B2036" w:rsidRPr="00BF6B82">
        <w:rPr>
          <w:rFonts w:ascii="Arial" w:hAnsi="Arial" w:cs="Arial"/>
          <w:sz w:val="22"/>
          <w:szCs w:val="22"/>
        </w:rPr>
        <w:t>, rispetto al 2023,</w:t>
      </w:r>
      <w:r w:rsidRPr="00BF6B82">
        <w:rPr>
          <w:rFonts w:ascii="Arial" w:hAnsi="Arial" w:cs="Arial"/>
          <w:sz w:val="22"/>
          <w:szCs w:val="22"/>
        </w:rPr>
        <w:t xml:space="preserve"> dello 0,5%, in calo per tutte le classi </w:t>
      </w:r>
      <w:r w:rsidR="002B2036" w:rsidRPr="00BF6B82">
        <w:rPr>
          <w:rFonts w:ascii="Arial" w:hAnsi="Arial" w:cs="Arial"/>
          <w:sz w:val="22"/>
          <w:szCs w:val="22"/>
        </w:rPr>
        <w:t xml:space="preserve">di addetti </w:t>
      </w:r>
      <w:r w:rsidRPr="00BF6B82">
        <w:rPr>
          <w:rFonts w:ascii="Arial" w:hAnsi="Arial" w:cs="Arial"/>
          <w:sz w:val="22"/>
          <w:szCs w:val="22"/>
        </w:rPr>
        <w:t xml:space="preserve">con l’eccezione delle microimprese (+2,7%). </w:t>
      </w:r>
      <w:r w:rsidR="002B2036" w:rsidRPr="00BF6B82">
        <w:rPr>
          <w:rFonts w:ascii="Arial" w:hAnsi="Arial" w:cs="Arial"/>
          <w:sz w:val="22"/>
          <w:szCs w:val="22"/>
        </w:rPr>
        <w:t xml:space="preserve">Il calo è </w:t>
      </w:r>
      <w:r w:rsidR="00AA61FE" w:rsidRPr="00BF6B82">
        <w:rPr>
          <w:rFonts w:ascii="Arial" w:hAnsi="Arial" w:cs="Arial"/>
          <w:sz w:val="22"/>
          <w:szCs w:val="22"/>
        </w:rPr>
        <w:t>maggiore</w:t>
      </w:r>
      <w:r w:rsidR="002B2036" w:rsidRPr="00BF6B82">
        <w:rPr>
          <w:rFonts w:ascii="Arial" w:hAnsi="Arial" w:cs="Arial"/>
          <w:sz w:val="22"/>
          <w:szCs w:val="22"/>
        </w:rPr>
        <w:t xml:space="preserve"> per le piccole imprese (-6</w:t>
      </w:r>
      <w:r w:rsidRPr="00BF6B82">
        <w:rPr>
          <w:rFonts w:ascii="Arial" w:hAnsi="Arial" w:cs="Arial"/>
          <w:sz w:val="22"/>
          <w:szCs w:val="22"/>
        </w:rPr>
        <w:t>,</w:t>
      </w:r>
      <w:r w:rsidR="002B2036" w:rsidRPr="00BF6B82">
        <w:rPr>
          <w:rFonts w:ascii="Arial" w:hAnsi="Arial" w:cs="Arial"/>
          <w:sz w:val="22"/>
          <w:szCs w:val="22"/>
        </w:rPr>
        <w:t>1</w:t>
      </w:r>
      <w:r w:rsidRPr="00BF6B82">
        <w:rPr>
          <w:rFonts w:ascii="Arial" w:hAnsi="Arial" w:cs="Arial"/>
          <w:sz w:val="22"/>
          <w:szCs w:val="22"/>
        </w:rPr>
        <w:t>% per la classe 10-19</w:t>
      </w:r>
      <w:r w:rsidR="002B2036" w:rsidRPr="00BF6B82">
        <w:rPr>
          <w:rFonts w:ascii="Arial" w:hAnsi="Arial" w:cs="Arial"/>
          <w:sz w:val="22"/>
          <w:szCs w:val="22"/>
        </w:rPr>
        <w:t xml:space="preserve"> addetti</w:t>
      </w:r>
      <w:r w:rsidRPr="00BF6B82">
        <w:rPr>
          <w:rFonts w:ascii="Arial" w:hAnsi="Arial" w:cs="Arial"/>
          <w:sz w:val="22"/>
          <w:szCs w:val="22"/>
        </w:rPr>
        <w:t xml:space="preserve"> e </w:t>
      </w:r>
      <w:r w:rsidR="002B2036" w:rsidRPr="00BF6B82">
        <w:rPr>
          <w:rFonts w:ascii="Arial" w:hAnsi="Arial" w:cs="Arial"/>
          <w:sz w:val="22"/>
          <w:szCs w:val="22"/>
        </w:rPr>
        <w:t>-4</w:t>
      </w:r>
      <w:r w:rsidRPr="00BF6B82">
        <w:rPr>
          <w:rFonts w:ascii="Arial" w:hAnsi="Arial" w:cs="Arial"/>
          <w:sz w:val="22"/>
          <w:szCs w:val="22"/>
        </w:rPr>
        <w:t>,</w:t>
      </w:r>
      <w:r w:rsidR="002B2036" w:rsidRPr="00BF6B82">
        <w:rPr>
          <w:rFonts w:ascii="Arial" w:hAnsi="Arial" w:cs="Arial"/>
          <w:sz w:val="22"/>
          <w:szCs w:val="22"/>
        </w:rPr>
        <w:t>5</w:t>
      </w:r>
      <w:r w:rsidRPr="00BF6B82">
        <w:rPr>
          <w:rFonts w:ascii="Arial" w:hAnsi="Arial" w:cs="Arial"/>
          <w:sz w:val="22"/>
          <w:szCs w:val="22"/>
        </w:rPr>
        <w:t xml:space="preserve">% per </w:t>
      </w:r>
      <w:r w:rsidR="002B2036" w:rsidRPr="00BF6B82">
        <w:rPr>
          <w:rFonts w:ascii="Arial" w:hAnsi="Arial" w:cs="Arial"/>
          <w:sz w:val="22"/>
          <w:szCs w:val="22"/>
        </w:rPr>
        <w:t>quella 20-49 addetti)</w:t>
      </w:r>
      <w:r w:rsidR="00AA61FE" w:rsidRPr="00BF6B82">
        <w:rPr>
          <w:rFonts w:ascii="Arial" w:hAnsi="Arial" w:cs="Arial"/>
          <w:sz w:val="22"/>
          <w:szCs w:val="22"/>
        </w:rPr>
        <w:t xml:space="preserve"> mentre è meno marcato per le medie e grandi imprese (-1,3% per entrambe le classi dimensionali)</w:t>
      </w:r>
      <w:r w:rsidRPr="00BF6B82">
        <w:rPr>
          <w:rFonts w:ascii="Arial" w:hAnsi="Arial" w:cs="Arial"/>
          <w:sz w:val="22"/>
          <w:szCs w:val="22"/>
        </w:rPr>
        <w:t xml:space="preserve">. </w:t>
      </w:r>
    </w:p>
    <w:p w14:paraId="2A6DA280" w14:textId="57E7DA3D" w:rsidR="006A7CF9" w:rsidRDefault="006F62BE" w:rsidP="00DC3A15">
      <w:pPr>
        <w:autoSpaceDE w:val="0"/>
        <w:autoSpaceDN w:val="0"/>
        <w:adjustRightInd w:val="0"/>
        <w:spacing w:after="120" w:line="240" w:lineRule="auto"/>
        <w:jc w:val="both"/>
        <w:rPr>
          <w:rFonts w:ascii="Arial" w:hAnsi="Arial" w:cs="Arial"/>
          <w:sz w:val="22"/>
          <w:szCs w:val="22"/>
        </w:rPr>
      </w:pPr>
      <w:r w:rsidRPr="00BF6B82">
        <w:rPr>
          <w:rFonts w:ascii="Arial" w:hAnsi="Arial" w:cs="Arial"/>
          <w:sz w:val="22"/>
          <w:szCs w:val="22"/>
        </w:rPr>
        <w:t>Nel 2024, g</w:t>
      </w:r>
      <w:r w:rsidR="006A7CF9" w:rsidRPr="00BF6B82">
        <w:rPr>
          <w:rFonts w:ascii="Arial" w:hAnsi="Arial" w:cs="Arial"/>
          <w:sz w:val="22"/>
          <w:szCs w:val="22"/>
        </w:rPr>
        <w:t xml:space="preserve">li investimenti per addetto </w:t>
      </w:r>
      <w:r w:rsidRPr="00BF6B82">
        <w:rPr>
          <w:rFonts w:ascii="Arial" w:hAnsi="Arial" w:cs="Arial"/>
          <w:sz w:val="22"/>
          <w:szCs w:val="22"/>
        </w:rPr>
        <w:t>calano</w:t>
      </w:r>
      <w:r w:rsidR="006A7CF9" w:rsidRPr="00BF6B82">
        <w:rPr>
          <w:rFonts w:ascii="Arial" w:hAnsi="Arial" w:cs="Arial"/>
          <w:sz w:val="22"/>
          <w:szCs w:val="22"/>
        </w:rPr>
        <w:t>, in termini nominali, d</w:t>
      </w:r>
      <w:r w:rsidRPr="00BF6B82">
        <w:rPr>
          <w:rFonts w:ascii="Arial" w:hAnsi="Arial" w:cs="Arial"/>
          <w:sz w:val="22"/>
          <w:szCs w:val="22"/>
        </w:rPr>
        <w:t>el 2,6%,</w:t>
      </w:r>
      <w:r w:rsidR="006A7CF9" w:rsidRPr="00BF6B82">
        <w:rPr>
          <w:rFonts w:ascii="Arial" w:hAnsi="Arial" w:cs="Arial"/>
          <w:sz w:val="22"/>
          <w:szCs w:val="22"/>
        </w:rPr>
        <w:t xml:space="preserve"> passando da </w:t>
      </w:r>
      <w:r w:rsidRPr="00BF6B82">
        <w:rPr>
          <w:rFonts w:ascii="Arial" w:hAnsi="Arial" w:cs="Arial"/>
          <w:sz w:val="22"/>
          <w:szCs w:val="22"/>
        </w:rPr>
        <w:t>8</w:t>
      </w:r>
      <w:r w:rsidR="006A7CF9" w:rsidRPr="00BF6B82">
        <w:rPr>
          <w:rFonts w:ascii="Arial" w:hAnsi="Arial" w:cs="Arial"/>
          <w:sz w:val="22"/>
          <w:szCs w:val="22"/>
        </w:rPr>
        <w:t>,</w:t>
      </w:r>
      <w:r w:rsidRPr="00BF6B82">
        <w:rPr>
          <w:rFonts w:ascii="Arial" w:hAnsi="Arial" w:cs="Arial"/>
          <w:sz w:val="22"/>
          <w:szCs w:val="22"/>
        </w:rPr>
        <w:t>4</w:t>
      </w:r>
      <w:r w:rsidR="006A7CF9" w:rsidRPr="00BF6B82">
        <w:rPr>
          <w:rFonts w:ascii="Arial" w:hAnsi="Arial" w:cs="Arial"/>
          <w:sz w:val="22"/>
          <w:szCs w:val="22"/>
        </w:rPr>
        <w:t xml:space="preserve"> a 8,</w:t>
      </w:r>
      <w:r w:rsidRPr="00BF6B82">
        <w:rPr>
          <w:rFonts w:ascii="Arial" w:hAnsi="Arial" w:cs="Arial"/>
          <w:sz w:val="22"/>
          <w:szCs w:val="22"/>
        </w:rPr>
        <w:t>2</w:t>
      </w:r>
      <w:r w:rsidR="006A7CF9" w:rsidRPr="00BF6B82">
        <w:rPr>
          <w:rFonts w:ascii="Arial" w:hAnsi="Arial" w:cs="Arial"/>
          <w:sz w:val="22"/>
          <w:szCs w:val="22"/>
        </w:rPr>
        <w:t xml:space="preserve">mila euro. </w:t>
      </w:r>
      <w:r w:rsidR="0052328B">
        <w:rPr>
          <w:rFonts w:ascii="Arial" w:hAnsi="Arial" w:cs="Arial"/>
          <w:sz w:val="22"/>
          <w:szCs w:val="22"/>
        </w:rPr>
        <w:t>L’a</w:t>
      </w:r>
      <w:r w:rsidRPr="00BF6B82">
        <w:rPr>
          <w:rFonts w:ascii="Arial" w:hAnsi="Arial" w:cs="Arial"/>
          <w:sz w:val="22"/>
          <w:szCs w:val="22"/>
        </w:rPr>
        <w:t xml:space="preserve">ndamento </w:t>
      </w:r>
      <w:r w:rsidR="0052328B">
        <w:rPr>
          <w:rFonts w:ascii="Arial" w:hAnsi="Arial" w:cs="Arial"/>
          <w:sz w:val="22"/>
          <w:szCs w:val="22"/>
        </w:rPr>
        <w:t xml:space="preserve">è differenziato per </w:t>
      </w:r>
      <w:r w:rsidR="00B80DFE">
        <w:rPr>
          <w:rFonts w:ascii="Arial" w:hAnsi="Arial" w:cs="Arial"/>
          <w:sz w:val="22"/>
          <w:szCs w:val="22"/>
        </w:rPr>
        <w:t>classe di addetti</w:t>
      </w:r>
      <w:r w:rsidR="0052328B">
        <w:rPr>
          <w:rFonts w:ascii="Arial" w:hAnsi="Arial" w:cs="Arial"/>
          <w:sz w:val="22"/>
          <w:szCs w:val="22"/>
        </w:rPr>
        <w:t xml:space="preserve"> delle imprese</w:t>
      </w:r>
      <w:r w:rsidR="00374546">
        <w:rPr>
          <w:rFonts w:ascii="Arial" w:hAnsi="Arial" w:cs="Arial"/>
          <w:sz w:val="22"/>
          <w:szCs w:val="22"/>
        </w:rPr>
        <w:t xml:space="preserve">; </w:t>
      </w:r>
      <w:r w:rsidR="0052328B">
        <w:rPr>
          <w:rFonts w:ascii="Arial" w:hAnsi="Arial" w:cs="Arial"/>
          <w:sz w:val="22"/>
          <w:szCs w:val="22"/>
        </w:rPr>
        <w:t xml:space="preserve">si registra </w:t>
      </w:r>
      <w:r w:rsidRPr="00BF6B82">
        <w:rPr>
          <w:rFonts w:ascii="Arial" w:hAnsi="Arial" w:cs="Arial"/>
          <w:sz w:val="22"/>
          <w:szCs w:val="22"/>
        </w:rPr>
        <w:t xml:space="preserve">un calo </w:t>
      </w:r>
      <w:r w:rsidR="0052328B">
        <w:rPr>
          <w:rFonts w:ascii="Arial" w:hAnsi="Arial" w:cs="Arial"/>
          <w:sz w:val="22"/>
          <w:szCs w:val="22"/>
        </w:rPr>
        <w:t xml:space="preserve">per le piccole e medie e </w:t>
      </w:r>
      <w:r w:rsidRPr="00BF6B82">
        <w:rPr>
          <w:rFonts w:ascii="Arial" w:hAnsi="Arial" w:cs="Arial"/>
          <w:sz w:val="22"/>
          <w:szCs w:val="22"/>
        </w:rPr>
        <w:t>un incremento per le microimprese (+10,1%) e le grandi imprese</w:t>
      </w:r>
      <w:r w:rsidR="0077531A" w:rsidRPr="00BF6B82">
        <w:rPr>
          <w:rFonts w:ascii="Arial" w:hAnsi="Arial" w:cs="Arial"/>
          <w:sz w:val="22"/>
          <w:szCs w:val="22"/>
        </w:rPr>
        <w:t xml:space="preserve"> (</w:t>
      </w:r>
      <w:r w:rsidRPr="00BF6B82">
        <w:rPr>
          <w:rFonts w:ascii="Arial" w:hAnsi="Arial" w:cs="Arial"/>
          <w:sz w:val="22"/>
          <w:szCs w:val="22"/>
        </w:rPr>
        <w:t>+6</w:t>
      </w:r>
      <w:r w:rsidR="0077531A" w:rsidRPr="00BF6B82">
        <w:rPr>
          <w:rFonts w:ascii="Arial" w:hAnsi="Arial" w:cs="Arial"/>
          <w:sz w:val="22"/>
          <w:szCs w:val="22"/>
        </w:rPr>
        <w:t>,</w:t>
      </w:r>
      <w:r w:rsidRPr="00BF6B82">
        <w:rPr>
          <w:rFonts w:ascii="Arial" w:hAnsi="Arial" w:cs="Arial"/>
          <w:sz w:val="22"/>
          <w:szCs w:val="22"/>
        </w:rPr>
        <w:t>5</w:t>
      </w:r>
      <w:r w:rsidR="0077531A" w:rsidRPr="00BF6B82">
        <w:rPr>
          <w:rFonts w:ascii="Arial" w:hAnsi="Arial" w:cs="Arial"/>
          <w:sz w:val="22"/>
          <w:szCs w:val="22"/>
        </w:rPr>
        <w:t>%).</w:t>
      </w:r>
      <w:r w:rsidR="0077531A" w:rsidRPr="009225E0">
        <w:rPr>
          <w:rFonts w:ascii="Arial" w:hAnsi="Arial" w:cs="Arial"/>
          <w:sz w:val="22"/>
          <w:szCs w:val="22"/>
        </w:rPr>
        <w:t xml:space="preserve"> </w:t>
      </w:r>
    </w:p>
    <w:p w14:paraId="2C901465" w14:textId="5B620FEF" w:rsidR="00F97A16" w:rsidRDefault="00F97A16" w:rsidP="00700F89">
      <w:pPr>
        <w:autoSpaceDE w:val="0"/>
        <w:autoSpaceDN w:val="0"/>
        <w:adjustRightInd w:val="0"/>
        <w:spacing w:after="120" w:line="240" w:lineRule="auto"/>
        <w:jc w:val="both"/>
        <w:rPr>
          <w:rFonts w:ascii="Arial" w:hAnsi="Arial" w:cs="Arial"/>
          <w:sz w:val="22"/>
          <w:szCs w:val="22"/>
        </w:rPr>
      </w:pPr>
    </w:p>
    <w:p w14:paraId="2BDB61F4" w14:textId="1A4997BF" w:rsidR="00BC2361" w:rsidRDefault="00BC2361" w:rsidP="00700F89">
      <w:pPr>
        <w:autoSpaceDE w:val="0"/>
        <w:autoSpaceDN w:val="0"/>
        <w:adjustRightInd w:val="0"/>
        <w:spacing w:after="120" w:line="240" w:lineRule="auto"/>
        <w:jc w:val="both"/>
        <w:rPr>
          <w:rFonts w:ascii="Arial" w:hAnsi="Arial" w:cs="Arial"/>
          <w:sz w:val="22"/>
          <w:szCs w:val="22"/>
        </w:rPr>
      </w:pPr>
    </w:p>
    <w:p w14:paraId="144F4684" w14:textId="77777777" w:rsidR="00BC2361" w:rsidRDefault="00BC2361" w:rsidP="001D1831">
      <w:pPr>
        <w:autoSpaceDE w:val="0"/>
        <w:autoSpaceDN w:val="0"/>
        <w:adjustRightInd w:val="0"/>
        <w:spacing w:after="0" w:line="240" w:lineRule="auto"/>
        <w:jc w:val="both"/>
        <w:rPr>
          <w:rFonts w:ascii="Arial" w:hAnsi="Arial" w:cs="Arial"/>
          <w:sz w:val="22"/>
          <w:szCs w:val="22"/>
        </w:rPr>
      </w:pPr>
    </w:p>
    <w:p w14:paraId="4F292EDF" w14:textId="3D6DD3E4" w:rsidR="007506BF" w:rsidRDefault="007506BF" w:rsidP="00427A4B">
      <w:pPr>
        <w:autoSpaceDE w:val="0"/>
        <w:autoSpaceDN w:val="0"/>
        <w:adjustRightInd w:val="0"/>
        <w:spacing w:after="0" w:line="240" w:lineRule="auto"/>
        <w:jc w:val="both"/>
        <w:rPr>
          <w:rFonts w:ascii="Arial" w:hAnsi="Arial" w:cs="Arial"/>
          <w:sz w:val="22"/>
          <w:szCs w:val="22"/>
        </w:rPr>
      </w:pPr>
    </w:p>
    <w:p w14:paraId="3966B64F" w14:textId="77777777" w:rsidR="00427A4B" w:rsidRPr="001D1831" w:rsidRDefault="00427A4B" w:rsidP="001D1831">
      <w:pPr>
        <w:autoSpaceDE w:val="0"/>
        <w:autoSpaceDN w:val="0"/>
        <w:adjustRightInd w:val="0"/>
        <w:spacing w:after="0" w:line="240" w:lineRule="auto"/>
        <w:jc w:val="both"/>
        <w:rPr>
          <w:rFonts w:ascii="Arial" w:hAnsi="Arial" w:cs="Arial"/>
          <w:sz w:val="32"/>
          <w:szCs w:val="32"/>
        </w:rPr>
      </w:pPr>
    </w:p>
    <w:p w14:paraId="0B628577" w14:textId="4545C49E" w:rsidR="00CC319B" w:rsidRDefault="00640794" w:rsidP="00700F89">
      <w:pPr>
        <w:spacing w:after="0" w:line="240" w:lineRule="auto"/>
        <w:rPr>
          <w:rFonts w:ascii="Arial Narrow" w:hAnsi="Arial Narrow" w:cs="Arial"/>
          <w:color w:val="1F497D" w:themeColor="text2"/>
          <w:sz w:val="22"/>
          <w:szCs w:val="22"/>
        </w:rPr>
      </w:pPr>
      <w:r w:rsidRPr="007B0646">
        <w:rPr>
          <w:rFonts w:ascii="Arial Black" w:hAnsi="Arial Black" w:cs="Arial"/>
          <w:iCs/>
          <w:noProof/>
          <w:color w:val="1F497D" w:themeColor="text2"/>
          <w:sz w:val="22"/>
          <w:szCs w:val="22"/>
        </w:rPr>
        <w:t xml:space="preserve">FIGURA 1. </w:t>
      </w:r>
      <w:r w:rsidR="00375333" w:rsidRPr="007B0646">
        <w:rPr>
          <w:rFonts w:ascii="Arial Narrow" w:hAnsi="Arial Narrow" w:cs="Arial"/>
          <w:b/>
          <w:iCs/>
          <w:noProof/>
          <w:color w:val="1F497D" w:themeColor="text2"/>
          <w:sz w:val="22"/>
          <w:szCs w:val="22"/>
        </w:rPr>
        <w:t>VALORE AGG</w:t>
      </w:r>
      <w:r w:rsidR="001E3D1B" w:rsidRPr="007B0646">
        <w:rPr>
          <w:rFonts w:ascii="Arial Narrow" w:hAnsi="Arial Narrow" w:cs="Arial"/>
          <w:b/>
          <w:iCs/>
          <w:noProof/>
          <w:color w:val="1F497D" w:themeColor="text2"/>
          <w:sz w:val="22"/>
          <w:szCs w:val="22"/>
        </w:rPr>
        <w:t>I</w:t>
      </w:r>
      <w:r w:rsidR="00375333" w:rsidRPr="007B0646">
        <w:rPr>
          <w:rFonts w:ascii="Arial Narrow" w:hAnsi="Arial Narrow" w:cs="Arial"/>
          <w:b/>
          <w:iCs/>
          <w:noProof/>
          <w:color w:val="1F497D" w:themeColor="text2"/>
          <w:sz w:val="22"/>
          <w:szCs w:val="22"/>
        </w:rPr>
        <w:t>UNTO</w:t>
      </w:r>
      <w:r w:rsidR="00E06A47" w:rsidRPr="007B0646">
        <w:rPr>
          <w:rFonts w:ascii="Arial Narrow" w:hAnsi="Arial Narrow" w:cs="Arial"/>
          <w:b/>
          <w:iCs/>
          <w:noProof/>
          <w:color w:val="1F497D" w:themeColor="text2"/>
          <w:sz w:val="22"/>
          <w:szCs w:val="22"/>
        </w:rPr>
        <w:t xml:space="preserve"> </w:t>
      </w:r>
      <w:r w:rsidR="00E06A47" w:rsidRPr="00C700A7">
        <w:rPr>
          <w:rFonts w:ascii="Arial Narrow" w:hAnsi="Arial Narrow" w:cs="Arial"/>
          <w:b/>
          <w:iCs/>
          <w:noProof/>
          <w:color w:val="1F497D" w:themeColor="text2"/>
          <w:sz w:val="22"/>
          <w:szCs w:val="22"/>
        </w:rPr>
        <w:t xml:space="preserve">PER </w:t>
      </w:r>
      <w:r w:rsidR="00375333" w:rsidRPr="00C700A7">
        <w:rPr>
          <w:rFonts w:ascii="Arial Narrow" w:hAnsi="Arial Narrow" w:cs="Arial"/>
          <w:b/>
          <w:iCs/>
          <w:noProof/>
          <w:color w:val="1F497D" w:themeColor="text2"/>
          <w:sz w:val="22"/>
          <w:szCs w:val="22"/>
        </w:rPr>
        <w:t>TIPOLOGIA DI  IMPRESA</w:t>
      </w:r>
      <w:r w:rsidR="00E06A47" w:rsidRPr="007B0646">
        <w:rPr>
          <w:rFonts w:ascii="Arial Narrow" w:hAnsi="Arial Narrow" w:cs="Arial"/>
          <w:b/>
          <w:iCs/>
          <w:noProof/>
          <w:color w:val="1F497D" w:themeColor="text2"/>
          <w:sz w:val="22"/>
          <w:szCs w:val="22"/>
        </w:rPr>
        <w:t>.</w:t>
      </w:r>
      <w:r w:rsidR="00E06A47" w:rsidRPr="007B0646">
        <w:rPr>
          <w:rFonts w:ascii="Arial Black" w:hAnsi="Arial Black" w:cs="Arial"/>
          <w:iCs/>
          <w:noProof/>
          <w:color w:val="1F497D" w:themeColor="text2"/>
          <w:sz w:val="22"/>
          <w:szCs w:val="22"/>
        </w:rPr>
        <w:t xml:space="preserve"> </w:t>
      </w:r>
      <w:r w:rsidR="003146DB" w:rsidRPr="007B0646">
        <w:rPr>
          <w:rFonts w:ascii="Arial Narrow" w:hAnsi="Arial Narrow" w:cs="Arial"/>
          <w:color w:val="1F497D" w:themeColor="text2"/>
          <w:sz w:val="22"/>
          <w:szCs w:val="22"/>
        </w:rPr>
        <w:t>Ann</w:t>
      </w:r>
      <w:r w:rsidR="00375333" w:rsidRPr="007B0646">
        <w:rPr>
          <w:rFonts w:ascii="Arial Narrow" w:hAnsi="Arial Narrow" w:cs="Arial"/>
          <w:color w:val="1F497D" w:themeColor="text2"/>
          <w:sz w:val="22"/>
          <w:szCs w:val="22"/>
        </w:rPr>
        <w:t>i</w:t>
      </w:r>
      <w:r w:rsidR="003146DB" w:rsidRPr="007B0646">
        <w:rPr>
          <w:rFonts w:ascii="Arial Narrow" w:hAnsi="Arial Narrow" w:cs="Arial"/>
          <w:color w:val="1F497D" w:themeColor="text2"/>
          <w:sz w:val="22"/>
          <w:szCs w:val="22"/>
        </w:rPr>
        <w:t xml:space="preserve"> </w:t>
      </w:r>
      <w:r w:rsidR="004E3155" w:rsidRPr="007B0646">
        <w:rPr>
          <w:rFonts w:ascii="Arial Narrow" w:hAnsi="Arial Narrow" w:cs="Arial"/>
          <w:color w:val="1F497D" w:themeColor="text2"/>
          <w:sz w:val="22"/>
          <w:szCs w:val="22"/>
        </w:rPr>
        <w:t>202</w:t>
      </w:r>
      <w:r w:rsidR="009D05C8">
        <w:rPr>
          <w:rFonts w:ascii="Arial Narrow" w:hAnsi="Arial Narrow" w:cs="Arial"/>
          <w:color w:val="1F497D" w:themeColor="text2"/>
          <w:sz w:val="22"/>
          <w:szCs w:val="22"/>
        </w:rPr>
        <w:t>1</w:t>
      </w:r>
      <w:r w:rsidR="00E3337E">
        <w:rPr>
          <w:rFonts w:ascii="Arial Narrow" w:hAnsi="Arial Narrow" w:cs="Arial"/>
          <w:color w:val="1F497D" w:themeColor="text2"/>
          <w:sz w:val="22"/>
          <w:szCs w:val="22"/>
        </w:rPr>
        <w:t>-</w:t>
      </w:r>
      <w:r w:rsidR="00E225AC">
        <w:rPr>
          <w:rFonts w:ascii="Arial Narrow" w:hAnsi="Arial Narrow" w:cs="Arial"/>
          <w:color w:val="1F497D" w:themeColor="text2"/>
          <w:sz w:val="22"/>
          <w:szCs w:val="22"/>
        </w:rPr>
        <w:t>2024</w:t>
      </w:r>
      <w:r w:rsidR="006A5B2F" w:rsidRPr="007B0646">
        <w:rPr>
          <w:rFonts w:ascii="Arial Narrow" w:hAnsi="Arial Narrow" w:cs="Arial"/>
          <w:color w:val="1F497D" w:themeColor="text2"/>
          <w:sz w:val="22"/>
          <w:szCs w:val="22"/>
        </w:rPr>
        <w:t xml:space="preserve">, </w:t>
      </w:r>
      <w:r w:rsidR="00E06A47" w:rsidRPr="007B0646">
        <w:rPr>
          <w:rFonts w:ascii="Arial Narrow" w:hAnsi="Arial Narrow" w:cs="Arial"/>
          <w:color w:val="1F497D" w:themeColor="text2"/>
          <w:sz w:val="22"/>
          <w:szCs w:val="22"/>
        </w:rPr>
        <w:t>va</w:t>
      </w:r>
      <w:r w:rsidR="006B52E2" w:rsidRPr="007B0646">
        <w:rPr>
          <w:rFonts w:ascii="Arial Narrow" w:hAnsi="Arial Narrow" w:cs="Arial"/>
          <w:color w:val="1F497D" w:themeColor="text2"/>
          <w:sz w:val="22"/>
          <w:szCs w:val="22"/>
        </w:rPr>
        <w:t>riazioni</w:t>
      </w:r>
      <w:r w:rsidR="002B7418" w:rsidRPr="007B0646">
        <w:rPr>
          <w:rFonts w:ascii="Arial Narrow" w:hAnsi="Arial Narrow" w:cs="Arial"/>
          <w:color w:val="1F497D" w:themeColor="text2"/>
          <w:sz w:val="22"/>
          <w:szCs w:val="22"/>
        </w:rPr>
        <w:t xml:space="preserve"> percentuali rispetto all’anno precedente</w:t>
      </w:r>
    </w:p>
    <w:p w14:paraId="43625DD1" w14:textId="6A10DD76" w:rsidR="00427A4B" w:rsidRDefault="00427A4B" w:rsidP="00700F89">
      <w:pPr>
        <w:spacing w:after="0" w:line="240" w:lineRule="auto"/>
        <w:rPr>
          <w:rFonts w:ascii="Arial Narrow" w:hAnsi="Arial Narrow" w:cs="Arial"/>
          <w:color w:val="1F497D" w:themeColor="text2"/>
          <w:sz w:val="22"/>
          <w:szCs w:val="22"/>
        </w:rPr>
      </w:pPr>
    </w:p>
    <w:p w14:paraId="240CEA23" w14:textId="4C2D995D" w:rsidR="006C40C5" w:rsidRDefault="006C40C5" w:rsidP="00700F89">
      <w:pPr>
        <w:spacing w:after="0" w:line="240" w:lineRule="auto"/>
        <w:rPr>
          <w:rFonts w:ascii="Arial Narrow" w:hAnsi="Arial Narrow" w:cs="Arial"/>
          <w:color w:val="1F497D" w:themeColor="text2"/>
          <w:sz w:val="22"/>
          <w:szCs w:val="22"/>
        </w:rPr>
      </w:pPr>
      <w:r>
        <w:rPr>
          <w:noProof/>
        </w:rPr>
        <w:drawing>
          <wp:inline distT="0" distB="0" distL="0" distR="0" wp14:anchorId="0C6167EB" wp14:editId="0FDC61C4">
            <wp:extent cx="6300000" cy="2160000"/>
            <wp:effectExtent l="0" t="0" r="0" b="0"/>
            <wp:docPr id="1" name="Grafico 1">
              <a:extLst xmlns:a="http://schemas.openxmlformats.org/drawingml/2006/main">
                <a:ext uri="{FF2B5EF4-FFF2-40B4-BE49-F238E27FC236}">
                  <a16:creationId xmlns:a16="http://schemas.microsoft.com/office/drawing/2014/main" id="{8E15B5A2-F76C-44BA-9E28-6EB18202FC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2FD1589" w14:textId="799F8B27" w:rsidR="00CF54A8" w:rsidRPr="00C71943" w:rsidRDefault="00CF54A8" w:rsidP="00700F89">
      <w:pPr>
        <w:spacing w:after="0" w:line="240" w:lineRule="auto"/>
        <w:rPr>
          <w:rFonts w:ascii="Arial Narrow" w:hAnsi="Arial Narrow" w:cs="Arial"/>
          <w:color w:val="1F497D" w:themeColor="text2"/>
          <w:sz w:val="8"/>
          <w:szCs w:val="22"/>
        </w:rPr>
      </w:pPr>
    </w:p>
    <w:p w14:paraId="59619C60" w14:textId="3D5DE0F7" w:rsidR="00DC3A15" w:rsidRPr="00BF6B82" w:rsidRDefault="001A63F6" w:rsidP="00DC3A15">
      <w:pPr>
        <w:spacing w:after="120" w:line="240" w:lineRule="auto"/>
        <w:rPr>
          <w:rFonts w:ascii="Arial" w:hAnsi="Arial" w:cs="Arial"/>
          <w:b/>
          <w:color w:val="1F497D" w:themeColor="text2"/>
          <w:sz w:val="26"/>
          <w:szCs w:val="26"/>
        </w:rPr>
      </w:pPr>
      <w:r>
        <w:rPr>
          <w:rFonts w:ascii="Arial" w:hAnsi="Arial" w:cs="Arial"/>
          <w:b/>
          <w:color w:val="1F497D" w:themeColor="text2"/>
          <w:sz w:val="26"/>
          <w:szCs w:val="26"/>
        </w:rPr>
        <w:br w:type="page"/>
      </w:r>
      <w:r w:rsidR="003C0B74" w:rsidRPr="00BF6B82">
        <w:rPr>
          <w:rFonts w:ascii="Arial" w:hAnsi="Arial" w:cs="Arial"/>
          <w:b/>
          <w:color w:val="1F497D" w:themeColor="text2"/>
          <w:sz w:val="26"/>
          <w:szCs w:val="26"/>
        </w:rPr>
        <w:t xml:space="preserve">Servizi </w:t>
      </w:r>
      <w:r w:rsidR="000C534E">
        <w:rPr>
          <w:rFonts w:ascii="Arial" w:hAnsi="Arial" w:cs="Arial"/>
          <w:b/>
          <w:color w:val="1F497D" w:themeColor="text2"/>
          <w:sz w:val="26"/>
          <w:szCs w:val="26"/>
        </w:rPr>
        <w:t>più dinamici del</w:t>
      </w:r>
      <w:r w:rsidR="003C0B74" w:rsidRPr="00BF6B82">
        <w:rPr>
          <w:rFonts w:ascii="Arial" w:hAnsi="Arial" w:cs="Arial"/>
          <w:b/>
          <w:color w:val="1F497D" w:themeColor="text2"/>
          <w:sz w:val="26"/>
          <w:szCs w:val="26"/>
        </w:rPr>
        <w:t>l’Industria</w:t>
      </w:r>
      <w:r w:rsidR="000C534E">
        <w:rPr>
          <w:rFonts w:ascii="Arial" w:hAnsi="Arial" w:cs="Arial"/>
          <w:b/>
          <w:color w:val="1F497D" w:themeColor="text2"/>
          <w:sz w:val="26"/>
          <w:szCs w:val="26"/>
        </w:rPr>
        <w:t xml:space="preserve"> per valore aggiunto e produttività</w:t>
      </w:r>
      <w:r w:rsidR="003C0B74" w:rsidRPr="00BF6B82">
        <w:rPr>
          <w:rFonts w:ascii="Arial" w:hAnsi="Arial" w:cs="Arial"/>
          <w:b/>
          <w:color w:val="1F497D" w:themeColor="text2"/>
          <w:sz w:val="26"/>
          <w:szCs w:val="26"/>
        </w:rPr>
        <w:t xml:space="preserve"> </w:t>
      </w:r>
    </w:p>
    <w:p w14:paraId="7A2EBF49" w14:textId="299E9343" w:rsidR="003C0B74" w:rsidRPr="00CF626A" w:rsidRDefault="00CF626A" w:rsidP="003C0B74">
      <w:pPr>
        <w:autoSpaceDE w:val="0"/>
        <w:autoSpaceDN w:val="0"/>
        <w:adjustRightInd w:val="0"/>
        <w:spacing w:after="120" w:line="240" w:lineRule="auto"/>
        <w:jc w:val="both"/>
        <w:rPr>
          <w:rFonts w:ascii="Arial" w:hAnsi="Arial" w:cs="Arial"/>
          <w:sz w:val="22"/>
          <w:szCs w:val="22"/>
          <w:highlight w:val="yellow"/>
        </w:rPr>
      </w:pPr>
      <w:r w:rsidRPr="00BF6B82">
        <w:rPr>
          <w:rFonts w:ascii="Arial" w:hAnsi="Arial" w:cs="Arial"/>
          <w:sz w:val="22"/>
          <w:szCs w:val="22"/>
        </w:rPr>
        <w:t>Nel 2024, n</w:t>
      </w:r>
      <w:r w:rsidR="003C0B74" w:rsidRPr="00BF6B82">
        <w:rPr>
          <w:rFonts w:ascii="Arial" w:hAnsi="Arial" w:cs="Arial"/>
          <w:sz w:val="22"/>
          <w:szCs w:val="22"/>
        </w:rPr>
        <w:t>ell’Industria in senso stretto la crescita del valore aggiunto è del</w:t>
      </w:r>
      <w:r w:rsidRPr="00BF6B82">
        <w:rPr>
          <w:rFonts w:ascii="Arial" w:hAnsi="Arial" w:cs="Arial"/>
          <w:sz w:val="22"/>
          <w:szCs w:val="22"/>
        </w:rPr>
        <w:t>lo</w:t>
      </w:r>
      <w:r w:rsidR="003C0B74" w:rsidRPr="00BF6B82">
        <w:rPr>
          <w:rFonts w:ascii="Arial" w:hAnsi="Arial" w:cs="Arial"/>
          <w:sz w:val="22"/>
          <w:szCs w:val="22"/>
        </w:rPr>
        <w:t xml:space="preserve"> </w:t>
      </w:r>
      <w:r w:rsidRPr="00BF6B82">
        <w:rPr>
          <w:rFonts w:ascii="Arial" w:hAnsi="Arial" w:cs="Arial"/>
          <w:sz w:val="22"/>
          <w:szCs w:val="22"/>
        </w:rPr>
        <w:t>0</w:t>
      </w:r>
      <w:r w:rsidR="003C0B74" w:rsidRPr="00BF6B82">
        <w:rPr>
          <w:rFonts w:ascii="Arial" w:hAnsi="Arial" w:cs="Arial"/>
          <w:sz w:val="22"/>
          <w:szCs w:val="22"/>
        </w:rPr>
        <w:t>,6% con risultati migliori per le imprese appartenenti a gruppi (+</w:t>
      </w:r>
      <w:r w:rsidR="00061F11" w:rsidRPr="00BF6B82">
        <w:rPr>
          <w:rFonts w:ascii="Arial" w:hAnsi="Arial" w:cs="Arial"/>
          <w:sz w:val="22"/>
          <w:szCs w:val="22"/>
        </w:rPr>
        <w:t>1</w:t>
      </w:r>
      <w:r w:rsidR="003C0B74" w:rsidRPr="00BF6B82">
        <w:rPr>
          <w:rFonts w:ascii="Arial" w:hAnsi="Arial" w:cs="Arial"/>
          <w:sz w:val="22"/>
          <w:szCs w:val="22"/>
        </w:rPr>
        <w:t>,</w:t>
      </w:r>
      <w:r w:rsidR="00061F11" w:rsidRPr="00BF6B82">
        <w:rPr>
          <w:rFonts w:ascii="Arial" w:hAnsi="Arial" w:cs="Arial"/>
          <w:sz w:val="22"/>
          <w:szCs w:val="22"/>
        </w:rPr>
        <w:t>9</w:t>
      </w:r>
      <w:r w:rsidR="003C0B74" w:rsidRPr="00BF6B82">
        <w:rPr>
          <w:rFonts w:ascii="Arial" w:hAnsi="Arial" w:cs="Arial"/>
          <w:sz w:val="22"/>
          <w:szCs w:val="22"/>
        </w:rPr>
        <w:t>%), ma sempre inferiori alla media generale</w:t>
      </w:r>
      <w:r w:rsidR="00B80DFE">
        <w:rPr>
          <w:rFonts w:ascii="Arial" w:hAnsi="Arial" w:cs="Arial"/>
          <w:sz w:val="22"/>
          <w:szCs w:val="22"/>
        </w:rPr>
        <w:t xml:space="preserve"> (+2,5%)</w:t>
      </w:r>
      <w:r w:rsidR="003C0B74" w:rsidRPr="00BF6B82">
        <w:rPr>
          <w:rFonts w:ascii="Arial" w:hAnsi="Arial" w:cs="Arial"/>
          <w:sz w:val="22"/>
          <w:szCs w:val="22"/>
        </w:rPr>
        <w:t xml:space="preserve">. </w:t>
      </w:r>
      <w:r w:rsidR="00E3337E">
        <w:rPr>
          <w:rFonts w:ascii="Arial" w:hAnsi="Arial" w:cs="Arial"/>
          <w:sz w:val="22"/>
          <w:szCs w:val="22"/>
        </w:rPr>
        <w:t xml:space="preserve">In particolare, </w:t>
      </w:r>
      <w:r w:rsidR="000152B9" w:rsidRPr="00BF6B82">
        <w:rPr>
          <w:rFonts w:ascii="Arial" w:hAnsi="Arial" w:cs="Arial"/>
          <w:sz w:val="22"/>
          <w:szCs w:val="22"/>
        </w:rPr>
        <w:t xml:space="preserve">il valore aggiunto è in crescita per le microimprese (+2,7%) e le grandi imprese (+1,7%). </w:t>
      </w:r>
      <w:r w:rsidRPr="00BF6B82">
        <w:rPr>
          <w:rFonts w:ascii="Arial" w:hAnsi="Arial" w:cs="Arial"/>
          <w:sz w:val="22"/>
          <w:szCs w:val="22"/>
        </w:rPr>
        <w:t>Cala i</w:t>
      </w:r>
      <w:r w:rsidR="003C0B74" w:rsidRPr="00BF6B82">
        <w:rPr>
          <w:rFonts w:ascii="Arial" w:hAnsi="Arial" w:cs="Arial"/>
          <w:sz w:val="22"/>
          <w:szCs w:val="22"/>
        </w:rPr>
        <w:t>l fatturato (-</w:t>
      </w:r>
      <w:r w:rsidRPr="00BF6B82">
        <w:rPr>
          <w:rFonts w:ascii="Arial" w:hAnsi="Arial" w:cs="Arial"/>
          <w:sz w:val="22"/>
          <w:szCs w:val="22"/>
        </w:rPr>
        <w:t>1</w:t>
      </w:r>
      <w:r w:rsidR="003C0B74" w:rsidRPr="00BF6B82">
        <w:rPr>
          <w:rFonts w:ascii="Arial" w:hAnsi="Arial" w:cs="Arial"/>
          <w:sz w:val="22"/>
          <w:szCs w:val="22"/>
        </w:rPr>
        <w:t>,</w:t>
      </w:r>
      <w:r w:rsidRPr="00BF6B82">
        <w:rPr>
          <w:rFonts w:ascii="Arial" w:hAnsi="Arial" w:cs="Arial"/>
          <w:sz w:val="22"/>
          <w:szCs w:val="22"/>
        </w:rPr>
        <w:t>7</w:t>
      </w:r>
      <w:r w:rsidR="003C0B74" w:rsidRPr="00BF6B82">
        <w:rPr>
          <w:rFonts w:ascii="Arial" w:hAnsi="Arial" w:cs="Arial"/>
          <w:sz w:val="22"/>
          <w:szCs w:val="22"/>
        </w:rPr>
        <w:t xml:space="preserve">%) </w:t>
      </w:r>
      <w:r w:rsidRPr="00BF6B82">
        <w:rPr>
          <w:rFonts w:ascii="Arial" w:hAnsi="Arial" w:cs="Arial"/>
          <w:sz w:val="22"/>
          <w:szCs w:val="22"/>
        </w:rPr>
        <w:t xml:space="preserve">così come </w:t>
      </w:r>
      <w:r w:rsidR="003C0B74" w:rsidRPr="00BF6B82">
        <w:rPr>
          <w:rFonts w:ascii="Arial" w:hAnsi="Arial" w:cs="Arial"/>
          <w:sz w:val="22"/>
          <w:szCs w:val="22"/>
        </w:rPr>
        <w:t>la spesa per l’acquisto di beni (-</w:t>
      </w:r>
      <w:r w:rsidRPr="00BF6B82">
        <w:rPr>
          <w:rFonts w:ascii="Arial" w:hAnsi="Arial" w:cs="Arial"/>
          <w:sz w:val="22"/>
          <w:szCs w:val="22"/>
        </w:rPr>
        <w:t>3</w:t>
      </w:r>
      <w:r w:rsidR="003C0B74" w:rsidRPr="00BF6B82">
        <w:rPr>
          <w:rFonts w:ascii="Arial" w:hAnsi="Arial" w:cs="Arial"/>
          <w:sz w:val="22"/>
          <w:szCs w:val="22"/>
        </w:rPr>
        <w:t>,</w:t>
      </w:r>
      <w:r w:rsidRPr="00BF6B82">
        <w:rPr>
          <w:rFonts w:ascii="Arial" w:hAnsi="Arial" w:cs="Arial"/>
          <w:sz w:val="22"/>
          <w:szCs w:val="22"/>
        </w:rPr>
        <w:t>3</w:t>
      </w:r>
      <w:r w:rsidR="003C0B74" w:rsidRPr="00BF6B82">
        <w:rPr>
          <w:rFonts w:ascii="Arial" w:hAnsi="Arial" w:cs="Arial"/>
          <w:sz w:val="22"/>
          <w:szCs w:val="22"/>
        </w:rPr>
        <w:t xml:space="preserve">%) </w:t>
      </w:r>
      <w:r w:rsidRPr="00BF6B82">
        <w:rPr>
          <w:rFonts w:ascii="Arial" w:hAnsi="Arial" w:cs="Arial"/>
          <w:sz w:val="22"/>
          <w:szCs w:val="22"/>
        </w:rPr>
        <w:t xml:space="preserve">mentre </w:t>
      </w:r>
      <w:r w:rsidR="003C0B74" w:rsidRPr="00BF6B82">
        <w:rPr>
          <w:rFonts w:ascii="Arial" w:hAnsi="Arial" w:cs="Arial"/>
          <w:sz w:val="22"/>
          <w:szCs w:val="22"/>
        </w:rPr>
        <w:t xml:space="preserve">si rileva una crescita </w:t>
      </w:r>
      <w:r w:rsidR="003C0B74" w:rsidRPr="009147B4">
        <w:rPr>
          <w:rFonts w:ascii="Arial" w:hAnsi="Arial" w:cs="Arial"/>
          <w:sz w:val="22"/>
          <w:szCs w:val="22"/>
        </w:rPr>
        <w:t>dei costi per servizi (+1,</w:t>
      </w:r>
      <w:r w:rsidRPr="009147B4">
        <w:rPr>
          <w:rFonts w:ascii="Arial" w:hAnsi="Arial" w:cs="Arial"/>
          <w:sz w:val="22"/>
          <w:szCs w:val="22"/>
        </w:rPr>
        <w:t>5</w:t>
      </w:r>
      <w:r w:rsidR="003C0B74" w:rsidRPr="00C31671">
        <w:rPr>
          <w:rFonts w:ascii="Arial" w:hAnsi="Arial" w:cs="Arial"/>
          <w:sz w:val="22"/>
          <w:szCs w:val="22"/>
        </w:rPr>
        <w:t>%). L’incremento del costo del lavoro è del 4,</w:t>
      </w:r>
      <w:r w:rsidRPr="00FF21D8">
        <w:rPr>
          <w:rFonts w:ascii="Arial" w:hAnsi="Arial" w:cs="Arial"/>
          <w:sz w:val="22"/>
          <w:szCs w:val="22"/>
        </w:rPr>
        <w:t>7</w:t>
      </w:r>
      <w:r w:rsidR="003C0B74" w:rsidRPr="00FF21D8">
        <w:rPr>
          <w:rFonts w:ascii="Arial" w:hAnsi="Arial" w:cs="Arial"/>
          <w:sz w:val="22"/>
          <w:szCs w:val="22"/>
        </w:rPr>
        <w:t>% mentre</w:t>
      </w:r>
      <w:r w:rsidR="00E3337E">
        <w:rPr>
          <w:rFonts w:ascii="Arial" w:hAnsi="Arial" w:cs="Arial"/>
          <w:sz w:val="22"/>
          <w:szCs w:val="22"/>
        </w:rPr>
        <w:t xml:space="preserve"> </w:t>
      </w:r>
      <w:r w:rsidRPr="00FF21D8">
        <w:rPr>
          <w:rFonts w:ascii="Arial" w:hAnsi="Arial" w:cs="Arial"/>
          <w:sz w:val="22"/>
          <w:szCs w:val="22"/>
        </w:rPr>
        <w:t xml:space="preserve">è in calo </w:t>
      </w:r>
      <w:r w:rsidR="003C0B74" w:rsidRPr="00FF21D8">
        <w:rPr>
          <w:rFonts w:ascii="Arial" w:hAnsi="Arial" w:cs="Arial"/>
          <w:sz w:val="22"/>
          <w:szCs w:val="22"/>
        </w:rPr>
        <w:t xml:space="preserve">il margine operativo lordo </w:t>
      </w:r>
      <w:r w:rsidRPr="00FF21D8">
        <w:rPr>
          <w:rFonts w:ascii="Arial" w:hAnsi="Arial" w:cs="Arial"/>
          <w:sz w:val="22"/>
          <w:szCs w:val="22"/>
        </w:rPr>
        <w:t>(-3</w:t>
      </w:r>
      <w:r w:rsidR="003C0B74" w:rsidRPr="00FF21D8">
        <w:rPr>
          <w:rFonts w:ascii="Arial" w:hAnsi="Arial" w:cs="Arial"/>
          <w:sz w:val="22"/>
          <w:szCs w:val="22"/>
        </w:rPr>
        <w:t>,</w:t>
      </w:r>
      <w:r w:rsidRPr="00FF21D8">
        <w:rPr>
          <w:rFonts w:ascii="Arial" w:hAnsi="Arial" w:cs="Arial"/>
          <w:sz w:val="22"/>
          <w:szCs w:val="22"/>
        </w:rPr>
        <w:t>5</w:t>
      </w:r>
      <w:r w:rsidR="003C0B74" w:rsidRPr="00FF21D8">
        <w:rPr>
          <w:rFonts w:ascii="Arial" w:hAnsi="Arial" w:cs="Arial"/>
          <w:sz w:val="22"/>
          <w:szCs w:val="22"/>
        </w:rPr>
        <w:t>%</w:t>
      </w:r>
      <w:r w:rsidRPr="00FF21D8">
        <w:rPr>
          <w:rFonts w:ascii="Arial" w:hAnsi="Arial" w:cs="Arial"/>
          <w:sz w:val="22"/>
          <w:szCs w:val="22"/>
        </w:rPr>
        <w:t>)</w:t>
      </w:r>
      <w:r w:rsidR="003C0B74" w:rsidRPr="00FF21D8">
        <w:rPr>
          <w:rFonts w:ascii="Arial" w:hAnsi="Arial" w:cs="Arial"/>
          <w:sz w:val="22"/>
          <w:szCs w:val="22"/>
        </w:rPr>
        <w:t xml:space="preserve">. </w:t>
      </w:r>
      <w:r w:rsidRPr="00FF21D8">
        <w:rPr>
          <w:rFonts w:ascii="Arial" w:hAnsi="Arial" w:cs="Arial"/>
          <w:sz w:val="22"/>
          <w:szCs w:val="22"/>
        </w:rPr>
        <w:t>Si rileva</w:t>
      </w:r>
      <w:r w:rsidR="000152B9" w:rsidRPr="00FF21D8">
        <w:rPr>
          <w:rFonts w:ascii="Arial" w:hAnsi="Arial" w:cs="Arial"/>
          <w:sz w:val="22"/>
          <w:szCs w:val="22"/>
        </w:rPr>
        <w:t xml:space="preserve"> anche</w:t>
      </w:r>
      <w:r w:rsidRPr="00FF21D8">
        <w:rPr>
          <w:rFonts w:ascii="Arial" w:hAnsi="Arial" w:cs="Arial"/>
          <w:sz w:val="22"/>
          <w:szCs w:val="22"/>
        </w:rPr>
        <w:t xml:space="preserve"> un decremento per g</w:t>
      </w:r>
      <w:r w:rsidR="003C0B74" w:rsidRPr="00FF21D8">
        <w:rPr>
          <w:rFonts w:ascii="Arial" w:hAnsi="Arial" w:cs="Arial"/>
          <w:sz w:val="22"/>
          <w:szCs w:val="22"/>
        </w:rPr>
        <w:t xml:space="preserve">li investimenti per addetto </w:t>
      </w:r>
      <w:r w:rsidRPr="00FF21D8">
        <w:rPr>
          <w:rFonts w:ascii="Arial" w:hAnsi="Arial" w:cs="Arial"/>
          <w:sz w:val="22"/>
          <w:szCs w:val="22"/>
        </w:rPr>
        <w:t>(-3</w:t>
      </w:r>
      <w:r w:rsidR="003C0B74" w:rsidRPr="00FF21D8">
        <w:rPr>
          <w:rFonts w:ascii="Arial" w:hAnsi="Arial" w:cs="Arial"/>
          <w:sz w:val="22"/>
          <w:szCs w:val="22"/>
        </w:rPr>
        <w:t>,</w:t>
      </w:r>
      <w:r w:rsidRPr="00FF21D8">
        <w:rPr>
          <w:rFonts w:ascii="Arial" w:hAnsi="Arial" w:cs="Arial"/>
          <w:sz w:val="22"/>
          <w:szCs w:val="22"/>
        </w:rPr>
        <w:t>4</w:t>
      </w:r>
      <w:r w:rsidR="003C0B74" w:rsidRPr="00FF21D8">
        <w:rPr>
          <w:rFonts w:ascii="Arial" w:hAnsi="Arial" w:cs="Arial"/>
          <w:sz w:val="22"/>
          <w:szCs w:val="22"/>
        </w:rPr>
        <w:t>%</w:t>
      </w:r>
      <w:r w:rsidRPr="00FF21D8">
        <w:rPr>
          <w:rFonts w:ascii="Arial" w:hAnsi="Arial" w:cs="Arial"/>
          <w:sz w:val="22"/>
          <w:szCs w:val="22"/>
        </w:rPr>
        <w:t>)</w:t>
      </w:r>
      <w:r w:rsidR="000152B9" w:rsidRPr="00FF21D8">
        <w:rPr>
          <w:rFonts w:ascii="Arial" w:hAnsi="Arial" w:cs="Arial"/>
          <w:sz w:val="22"/>
          <w:szCs w:val="22"/>
        </w:rPr>
        <w:t>.</w:t>
      </w:r>
      <w:r w:rsidR="003C0B74" w:rsidRPr="00FF21D8">
        <w:rPr>
          <w:rFonts w:ascii="Arial" w:hAnsi="Arial" w:cs="Arial"/>
          <w:sz w:val="22"/>
          <w:szCs w:val="22"/>
        </w:rPr>
        <w:t xml:space="preserve"> Il 9,</w:t>
      </w:r>
      <w:r w:rsidR="009147B4" w:rsidRPr="00FF21D8">
        <w:rPr>
          <w:rFonts w:ascii="Arial" w:hAnsi="Arial" w:cs="Arial"/>
          <w:sz w:val="22"/>
          <w:szCs w:val="22"/>
        </w:rPr>
        <w:t>8</w:t>
      </w:r>
      <w:r w:rsidR="003C0B74" w:rsidRPr="00FF21D8">
        <w:rPr>
          <w:rFonts w:ascii="Arial" w:hAnsi="Arial" w:cs="Arial"/>
          <w:sz w:val="22"/>
          <w:szCs w:val="22"/>
        </w:rPr>
        <w:t>% delle imprese nel settore è organizzato in strutture di gruppo</w:t>
      </w:r>
      <w:r w:rsidR="00AF25A1">
        <w:rPr>
          <w:rFonts w:ascii="Arial" w:hAnsi="Arial" w:cs="Arial"/>
          <w:sz w:val="22"/>
          <w:szCs w:val="22"/>
        </w:rPr>
        <w:t xml:space="preserve">. </w:t>
      </w:r>
      <w:r w:rsidR="00AF25A1" w:rsidRPr="00FF21D8">
        <w:rPr>
          <w:rFonts w:ascii="Arial" w:hAnsi="Arial" w:cs="Arial"/>
          <w:sz w:val="22"/>
          <w:szCs w:val="22"/>
        </w:rPr>
        <w:t>Tali imprese realizzano il 74,3% del valore aggiunto dell’Industria in senso stretto</w:t>
      </w:r>
      <w:r w:rsidR="00AF25A1">
        <w:rPr>
          <w:rFonts w:ascii="Arial" w:hAnsi="Arial" w:cs="Arial"/>
          <w:sz w:val="22"/>
          <w:szCs w:val="22"/>
        </w:rPr>
        <w:t xml:space="preserve"> e</w:t>
      </w:r>
      <w:r w:rsidR="003C0B74" w:rsidRPr="00FF21D8">
        <w:rPr>
          <w:rFonts w:ascii="Arial" w:hAnsi="Arial" w:cs="Arial"/>
          <w:sz w:val="22"/>
          <w:szCs w:val="22"/>
        </w:rPr>
        <w:t xml:space="preserve"> </w:t>
      </w:r>
      <w:r w:rsidR="00AF25A1">
        <w:rPr>
          <w:rFonts w:ascii="Arial" w:hAnsi="Arial" w:cs="Arial"/>
          <w:sz w:val="22"/>
          <w:szCs w:val="22"/>
        </w:rPr>
        <w:t>occupano</w:t>
      </w:r>
      <w:r w:rsidR="003C0B74" w:rsidRPr="00FF21D8">
        <w:rPr>
          <w:rFonts w:ascii="Arial" w:hAnsi="Arial" w:cs="Arial"/>
          <w:sz w:val="22"/>
          <w:szCs w:val="22"/>
        </w:rPr>
        <w:t xml:space="preserve"> il </w:t>
      </w:r>
      <w:r w:rsidR="009147B4" w:rsidRPr="00FF21D8">
        <w:rPr>
          <w:rFonts w:ascii="Arial" w:hAnsi="Arial" w:cs="Arial"/>
          <w:sz w:val="22"/>
          <w:szCs w:val="22"/>
        </w:rPr>
        <w:t>57</w:t>
      </w:r>
      <w:r w:rsidR="003C0B74" w:rsidRPr="00FF21D8">
        <w:rPr>
          <w:rFonts w:ascii="Arial" w:hAnsi="Arial" w:cs="Arial"/>
          <w:sz w:val="22"/>
          <w:szCs w:val="22"/>
        </w:rPr>
        <w:t>,</w:t>
      </w:r>
      <w:r w:rsidR="009147B4" w:rsidRPr="00FF21D8">
        <w:rPr>
          <w:rFonts w:ascii="Arial" w:hAnsi="Arial" w:cs="Arial"/>
          <w:sz w:val="22"/>
          <w:szCs w:val="22"/>
        </w:rPr>
        <w:t>4</w:t>
      </w:r>
      <w:r w:rsidR="003C0B74" w:rsidRPr="00FF21D8">
        <w:rPr>
          <w:rFonts w:ascii="Arial" w:hAnsi="Arial" w:cs="Arial"/>
          <w:sz w:val="22"/>
          <w:szCs w:val="22"/>
        </w:rPr>
        <w:t xml:space="preserve">% degli addetti e il </w:t>
      </w:r>
      <w:r w:rsidR="009147B4" w:rsidRPr="00FF21D8">
        <w:rPr>
          <w:rFonts w:ascii="Arial" w:hAnsi="Arial" w:cs="Arial"/>
          <w:sz w:val="22"/>
          <w:szCs w:val="22"/>
        </w:rPr>
        <w:t>62</w:t>
      </w:r>
      <w:r w:rsidR="003C0B74" w:rsidRPr="00FF21D8">
        <w:rPr>
          <w:rFonts w:ascii="Arial" w:hAnsi="Arial" w:cs="Arial"/>
          <w:sz w:val="22"/>
          <w:szCs w:val="22"/>
        </w:rPr>
        <w:t>,</w:t>
      </w:r>
      <w:r w:rsidR="009147B4" w:rsidRPr="00FF21D8">
        <w:rPr>
          <w:rFonts w:ascii="Arial" w:hAnsi="Arial" w:cs="Arial"/>
          <w:sz w:val="22"/>
          <w:szCs w:val="22"/>
        </w:rPr>
        <w:t>8</w:t>
      </w:r>
      <w:r w:rsidR="003C0B74" w:rsidRPr="00FF21D8">
        <w:rPr>
          <w:rFonts w:ascii="Arial" w:hAnsi="Arial" w:cs="Arial"/>
          <w:sz w:val="22"/>
          <w:szCs w:val="22"/>
        </w:rPr>
        <w:t>% dei dipendenti</w:t>
      </w:r>
      <w:r w:rsidR="003C0B74" w:rsidRPr="00AF25A1">
        <w:rPr>
          <w:rFonts w:ascii="Arial" w:hAnsi="Arial" w:cs="Arial"/>
          <w:sz w:val="22"/>
          <w:szCs w:val="22"/>
        </w:rPr>
        <w:t>.</w:t>
      </w:r>
      <w:r w:rsidR="003C0B74" w:rsidRPr="00FF21D8">
        <w:rPr>
          <w:rFonts w:ascii="Arial" w:hAnsi="Arial" w:cs="Arial"/>
          <w:sz w:val="22"/>
          <w:szCs w:val="22"/>
        </w:rPr>
        <w:t xml:space="preserve"> </w:t>
      </w:r>
    </w:p>
    <w:p w14:paraId="247BFB59" w14:textId="0A8DED89" w:rsidR="00DC3A15" w:rsidRPr="00C31671" w:rsidRDefault="00DC3A15" w:rsidP="00A10CC0">
      <w:pPr>
        <w:autoSpaceDE w:val="0"/>
        <w:autoSpaceDN w:val="0"/>
        <w:adjustRightInd w:val="0"/>
        <w:spacing w:after="120" w:line="240" w:lineRule="auto"/>
        <w:jc w:val="both"/>
        <w:rPr>
          <w:rFonts w:ascii="Arial" w:hAnsi="Arial" w:cs="Arial"/>
          <w:sz w:val="22"/>
          <w:szCs w:val="22"/>
        </w:rPr>
      </w:pPr>
      <w:r w:rsidRPr="00BF6B82">
        <w:rPr>
          <w:rFonts w:ascii="Arial" w:hAnsi="Arial" w:cs="Arial"/>
          <w:sz w:val="22"/>
          <w:szCs w:val="22"/>
        </w:rPr>
        <w:t>Nel</w:t>
      </w:r>
      <w:r w:rsidR="00F273C6" w:rsidRPr="00BF6B82">
        <w:rPr>
          <w:rFonts w:ascii="Arial" w:hAnsi="Arial" w:cs="Arial"/>
          <w:sz w:val="22"/>
          <w:szCs w:val="22"/>
        </w:rPr>
        <w:t>le</w:t>
      </w:r>
      <w:r w:rsidRPr="00BF6B82">
        <w:rPr>
          <w:rFonts w:ascii="Arial" w:hAnsi="Arial" w:cs="Arial"/>
          <w:sz w:val="22"/>
          <w:szCs w:val="22"/>
        </w:rPr>
        <w:t xml:space="preserve"> </w:t>
      </w:r>
      <w:r w:rsidR="00F273C6" w:rsidRPr="00BF6B82">
        <w:rPr>
          <w:rFonts w:ascii="Arial" w:hAnsi="Arial" w:cs="Arial"/>
          <w:sz w:val="22"/>
          <w:szCs w:val="22"/>
        </w:rPr>
        <w:t xml:space="preserve">Costruzioni, </w:t>
      </w:r>
      <w:r w:rsidR="00B611D5" w:rsidRPr="00BF6B82">
        <w:rPr>
          <w:rFonts w:ascii="Arial" w:hAnsi="Arial" w:cs="Arial"/>
          <w:sz w:val="22"/>
          <w:szCs w:val="22"/>
        </w:rPr>
        <w:t>i</w:t>
      </w:r>
      <w:r w:rsidR="006D560A" w:rsidRPr="00BF6B82">
        <w:rPr>
          <w:rFonts w:ascii="Arial" w:hAnsi="Arial" w:cs="Arial"/>
          <w:sz w:val="22"/>
          <w:szCs w:val="22"/>
        </w:rPr>
        <w:t xml:space="preserve">l valore aggiunto </w:t>
      </w:r>
      <w:r w:rsidR="00F273C6" w:rsidRPr="00BF6B82">
        <w:rPr>
          <w:rFonts w:ascii="Arial" w:hAnsi="Arial" w:cs="Arial"/>
          <w:sz w:val="22"/>
          <w:szCs w:val="22"/>
        </w:rPr>
        <w:t>è in calo (-0,5%</w:t>
      </w:r>
      <w:r w:rsidRPr="00BF6B82">
        <w:rPr>
          <w:rFonts w:ascii="Arial" w:hAnsi="Arial" w:cs="Arial"/>
          <w:sz w:val="22"/>
          <w:szCs w:val="22"/>
        </w:rPr>
        <w:t xml:space="preserve"> rispetto all’anno precedente</w:t>
      </w:r>
      <w:r w:rsidR="00F273C6" w:rsidRPr="00BF6B82">
        <w:rPr>
          <w:rFonts w:ascii="Arial" w:hAnsi="Arial" w:cs="Arial"/>
          <w:sz w:val="22"/>
          <w:szCs w:val="22"/>
        </w:rPr>
        <w:t>)</w:t>
      </w:r>
      <w:r w:rsidR="004116C9" w:rsidRPr="00BF6B82">
        <w:rPr>
          <w:rFonts w:ascii="Arial" w:hAnsi="Arial" w:cs="Arial"/>
          <w:sz w:val="22"/>
          <w:szCs w:val="22"/>
        </w:rPr>
        <w:t xml:space="preserve"> mentre</w:t>
      </w:r>
      <w:r w:rsidR="00F273C6" w:rsidRPr="00BF6B82">
        <w:rPr>
          <w:rFonts w:ascii="Arial" w:hAnsi="Arial" w:cs="Arial"/>
          <w:sz w:val="22"/>
          <w:szCs w:val="22"/>
        </w:rPr>
        <w:t xml:space="preserve"> </w:t>
      </w:r>
      <w:r w:rsidR="004116C9" w:rsidRPr="00BF6B82">
        <w:rPr>
          <w:rFonts w:ascii="Arial" w:hAnsi="Arial" w:cs="Arial"/>
          <w:sz w:val="22"/>
          <w:szCs w:val="22"/>
        </w:rPr>
        <w:t xml:space="preserve">per le imprese appartenenti a gruppi si registra un </w:t>
      </w:r>
      <w:r w:rsidR="00E225AC" w:rsidRPr="00BF6B82">
        <w:rPr>
          <w:rFonts w:ascii="Arial" w:hAnsi="Arial" w:cs="Arial"/>
          <w:sz w:val="22"/>
          <w:szCs w:val="22"/>
        </w:rPr>
        <w:t xml:space="preserve">aumento </w:t>
      </w:r>
      <w:r w:rsidR="004116C9" w:rsidRPr="00BF6B82">
        <w:rPr>
          <w:rFonts w:ascii="Arial" w:hAnsi="Arial" w:cs="Arial"/>
          <w:sz w:val="22"/>
          <w:szCs w:val="22"/>
        </w:rPr>
        <w:t>pari a</w:t>
      </w:r>
      <w:r w:rsidR="00E3337E">
        <w:rPr>
          <w:rFonts w:ascii="Arial" w:hAnsi="Arial" w:cs="Arial"/>
          <w:sz w:val="22"/>
          <w:szCs w:val="22"/>
        </w:rPr>
        <w:t>l</w:t>
      </w:r>
      <w:r w:rsidR="004116C9" w:rsidRPr="00BF6B82">
        <w:rPr>
          <w:rFonts w:ascii="Arial" w:hAnsi="Arial" w:cs="Arial"/>
          <w:sz w:val="22"/>
          <w:szCs w:val="22"/>
        </w:rPr>
        <w:t xml:space="preserve"> </w:t>
      </w:r>
      <w:r w:rsidR="00E225AC" w:rsidRPr="00BF6B82">
        <w:rPr>
          <w:rFonts w:ascii="Arial" w:hAnsi="Arial" w:cs="Arial"/>
          <w:sz w:val="22"/>
          <w:szCs w:val="22"/>
        </w:rPr>
        <w:t>3,5</w:t>
      </w:r>
      <w:r w:rsidR="00E3337E">
        <w:rPr>
          <w:rFonts w:ascii="Arial" w:hAnsi="Arial" w:cs="Arial"/>
          <w:sz w:val="22"/>
          <w:szCs w:val="22"/>
        </w:rPr>
        <w:t>%</w:t>
      </w:r>
      <w:r w:rsidR="00C8128A">
        <w:rPr>
          <w:rFonts w:ascii="Arial" w:hAnsi="Arial" w:cs="Arial"/>
          <w:sz w:val="22"/>
          <w:szCs w:val="22"/>
        </w:rPr>
        <w:t>.</w:t>
      </w:r>
      <w:r w:rsidR="00E96149" w:rsidRPr="00E96149">
        <w:rPr>
          <w:rFonts w:ascii="Arial" w:hAnsi="Arial" w:cs="Arial"/>
          <w:sz w:val="22"/>
          <w:szCs w:val="22"/>
        </w:rPr>
        <w:t xml:space="preserve"> Nello stesso anno, anche gli altri principali indicatori evidenziano una dinamica negativa: il fatturato diminuisce del 7,3%, il margine operativo lordo del 7,1% e gli investimenti per addetto dell’8,4%.</w:t>
      </w:r>
      <w:r w:rsidRPr="00BF6B82">
        <w:rPr>
          <w:rFonts w:ascii="Arial" w:hAnsi="Arial" w:cs="Arial"/>
          <w:sz w:val="22"/>
          <w:szCs w:val="22"/>
        </w:rPr>
        <w:t xml:space="preserve"> </w:t>
      </w:r>
      <w:r w:rsidR="00B65A41" w:rsidRPr="00BF6B82">
        <w:rPr>
          <w:rFonts w:ascii="Arial" w:hAnsi="Arial" w:cs="Arial"/>
          <w:sz w:val="22"/>
          <w:szCs w:val="22"/>
        </w:rPr>
        <w:t>D</w:t>
      </w:r>
      <w:r w:rsidR="00A10CC0" w:rsidRPr="00BF6B82">
        <w:rPr>
          <w:rFonts w:ascii="Arial" w:hAnsi="Arial" w:cs="Arial"/>
          <w:sz w:val="22"/>
          <w:szCs w:val="22"/>
        </w:rPr>
        <w:t xml:space="preserve">iminuisce </w:t>
      </w:r>
      <w:r w:rsidR="00B65A41" w:rsidRPr="00BF6B82">
        <w:rPr>
          <w:rFonts w:ascii="Arial" w:hAnsi="Arial" w:cs="Arial"/>
          <w:sz w:val="22"/>
          <w:szCs w:val="22"/>
        </w:rPr>
        <w:t xml:space="preserve">anche </w:t>
      </w:r>
      <w:r w:rsidR="00A10CC0" w:rsidRPr="00BF6B82">
        <w:rPr>
          <w:rFonts w:ascii="Arial" w:hAnsi="Arial" w:cs="Arial"/>
          <w:sz w:val="22"/>
          <w:szCs w:val="22"/>
        </w:rPr>
        <w:t>l’incidenza della spesa per l</w:t>
      </w:r>
      <w:r w:rsidRPr="00BF6B82">
        <w:rPr>
          <w:rFonts w:ascii="Arial" w:hAnsi="Arial" w:cs="Arial"/>
          <w:sz w:val="22"/>
          <w:szCs w:val="22"/>
        </w:rPr>
        <w:t xml:space="preserve">’acquisto di beni e servizi </w:t>
      </w:r>
      <w:r w:rsidR="00A10CC0" w:rsidRPr="00BF6B82">
        <w:rPr>
          <w:rFonts w:ascii="Arial" w:hAnsi="Arial" w:cs="Arial"/>
          <w:sz w:val="22"/>
          <w:szCs w:val="22"/>
        </w:rPr>
        <w:t>(</w:t>
      </w:r>
      <w:r w:rsidRPr="00BF6B82">
        <w:rPr>
          <w:rFonts w:ascii="Arial" w:hAnsi="Arial" w:cs="Arial"/>
          <w:sz w:val="22"/>
          <w:szCs w:val="22"/>
        </w:rPr>
        <w:t xml:space="preserve">rispettivamente, </w:t>
      </w:r>
      <w:r w:rsidR="00A10CC0" w:rsidRPr="00BF6B82">
        <w:rPr>
          <w:rFonts w:ascii="Arial" w:hAnsi="Arial" w:cs="Arial"/>
          <w:sz w:val="22"/>
          <w:szCs w:val="22"/>
        </w:rPr>
        <w:t>-7</w:t>
      </w:r>
      <w:r w:rsidRPr="00BF6B82">
        <w:rPr>
          <w:rFonts w:ascii="Arial" w:hAnsi="Arial" w:cs="Arial"/>
          <w:sz w:val="22"/>
          <w:szCs w:val="22"/>
        </w:rPr>
        <w:t>,</w:t>
      </w:r>
      <w:r w:rsidR="00A10CC0" w:rsidRPr="00BF6B82">
        <w:rPr>
          <w:rFonts w:ascii="Arial" w:hAnsi="Arial" w:cs="Arial"/>
          <w:sz w:val="22"/>
          <w:szCs w:val="22"/>
        </w:rPr>
        <w:t>9</w:t>
      </w:r>
      <w:r w:rsidRPr="00BF6B82">
        <w:rPr>
          <w:rFonts w:ascii="Arial" w:hAnsi="Arial" w:cs="Arial"/>
          <w:sz w:val="22"/>
          <w:szCs w:val="22"/>
        </w:rPr>
        <w:t xml:space="preserve">% e </w:t>
      </w:r>
      <w:r w:rsidR="00A10CC0" w:rsidRPr="00BF6B82">
        <w:rPr>
          <w:rFonts w:ascii="Arial" w:hAnsi="Arial" w:cs="Arial"/>
          <w:sz w:val="22"/>
          <w:szCs w:val="22"/>
        </w:rPr>
        <w:t>-9</w:t>
      </w:r>
      <w:r w:rsidRPr="00BF6B82">
        <w:rPr>
          <w:rFonts w:ascii="Arial" w:hAnsi="Arial" w:cs="Arial"/>
          <w:sz w:val="22"/>
          <w:szCs w:val="22"/>
        </w:rPr>
        <w:t>,</w:t>
      </w:r>
      <w:r w:rsidR="00A10CC0" w:rsidRPr="00BF6B82">
        <w:rPr>
          <w:rFonts w:ascii="Arial" w:hAnsi="Arial" w:cs="Arial"/>
          <w:sz w:val="22"/>
          <w:szCs w:val="22"/>
        </w:rPr>
        <w:t>5</w:t>
      </w:r>
      <w:r w:rsidRPr="00BF6B82">
        <w:rPr>
          <w:rFonts w:ascii="Arial" w:hAnsi="Arial" w:cs="Arial"/>
          <w:sz w:val="22"/>
          <w:szCs w:val="22"/>
        </w:rPr>
        <w:t>%</w:t>
      </w:r>
      <w:r w:rsidR="00A10CC0" w:rsidRPr="00BF6B82">
        <w:rPr>
          <w:rFonts w:ascii="Arial" w:hAnsi="Arial" w:cs="Arial"/>
          <w:sz w:val="22"/>
          <w:szCs w:val="22"/>
        </w:rPr>
        <w:t>)</w:t>
      </w:r>
      <w:r w:rsidR="00B65A41" w:rsidRPr="00BF6B82">
        <w:rPr>
          <w:rFonts w:ascii="Arial" w:hAnsi="Arial" w:cs="Arial"/>
          <w:sz w:val="22"/>
          <w:szCs w:val="22"/>
        </w:rPr>
        <w:t xml:space="preserve"> mentre l</w:t>
      </w:r>
      <w:r w:rsidRPr="00BF6B82">
        <w:rPr>
          <w:rFonts w:ascii="Arial" w:hAnsi="Arial" w:cs="Arial"/>
          <w:sz w:val="22"/>
          <w:szCs w:val="22"/>
        </w:rPr>
        <w:t xml:space="preserve">’incremento del </w:t>
      </w:r>
      <w:r w:rsidRPr="00C31671">
        <w:rPr>
          <w:rFonts w:ascii="Arial" w:hAnsi="Arial" w:cs="Arial"/>
          <w:sz w:val="22"/>
          <w:szCs w:val="22"/>
        </w:rPr>
        <w:t>costo del lavoro, rispetto al 202</w:t>
      </w:r>
      <w:r w:rsidR="00B65A41" w:rsidRPr="00C31671">
        <w:rPr>
          <w:rFonts w:ascii="Arial" w:hAnsi="Arial" w:cs="Arial"/>
          <w:sz w:val="22"/>
          <w:szCs w:val="22"/>
        </w:rPr>
        <w:t>3</w:t>
      </w:r>
      <w:r w:rsidRPr="00C31671">
        <w:rPr>
          <w:rFonts w:ascii="Arial" w:hAnsi="Arial" w:cs="Arial"/>
          <w:sz w:val="22"/>
          <w:szCs w:val="22"/>
        </w:rPr>
        <w:t>, è del 7,</w:t>
      </w:r>
      <w:r w:rsidR="00B65A41" w:rsidRPr="00C31671">
        <w:rPr>
          <w:rFonts w:ascii="Arial" w:hAnsi="Arial" w:cs="Arial"/>
          <w:sz w:val="22"/>
          <w:szCs w:val="22"/>
        </w:rPr>
        <w:t>3</w:t>
      </w:r>
      <w:r w:rsidRPr="00C31671">
        <w:rPr>
          <w:rFonts w:ascii="Arial" w:hAnsi="Arial" w:cs="Arial"/>
          <w:sz w:val="22"/>
          <w:szCs w:val="22"/>
        </w:rPr>
        <w:t>%</w:t>
      </w:r>
      <w:r w:rsidR="00B65A41" w:rsidRPr="00C31671">
        <w:rPr>
          <w:rFonts w:ascii="Arial" w:hAnsi="Arial" w:cs="Arial"/>
          <w:sz w:val="22"/>
          <w:szCs w:val="22"/>
        </w:rPr>
        <w:t xml:space="preserve">. In controtendenza le grandi imprese del settore </w:t>
      </w:r>
      <w:r w:rsidR="00265447" w:rsidRPr="00C31671">
        <w:rPr>
          <w:rFonts w:ascii="Arial" w:hAnsi="Arial" w:cs="Arial"/>
          <w:sz w:val="22"/>
          <w:szCs w:val="22"/>
        </w:rPr>
        <w:t>che realizzano un incremento del 16,6% del valore aggiunto</w:t>
      </w:r>
      <w:r w:rsidR="006016AE" w:rsidRPr="00C31671">
        <w:rPr>
          <w:rFonts w:ascii="Arial" w:hAnsi="Arial" w:cs="Arial"/>
          <w:sz w:val="22"/>
          <w:szCs w:val="22"/>
        </w:rPr>
        <w:t>.</w:t>
      </w:r>
      <w:r w:rsidR="00B65A41" w:rsidRPr="00C31671">
        <w:rPr>
          <w:rFonts w:ascii="Arial" w:hAnsi="Arial" w:cs="Arial"/>
          <w:sz w:val="22"/>
          <w:szCs w:val="22"/>
        </w:rPr>
        <w:t xml:space="preserve"> </w:t>
      </w:r>
      <w:r w:rsidRPr="00C31671">
        <w:rPr>
          <w:rFonts w:ascii="Arial" w:hAnsi="Arial" w:cs="Arial"/>
          <w:sz w:val="22"/>
          <w:szCs w:val="22"/>
        </w:rPr>
        <w:t>Nel settore, il 4,</w:t>
      </w:r>
      <w:r w:rsidR="009147B4" w:rsidRPr="00C31671">
        <w:rPr>
          <w:rFonts w:ascii="Arial" w:hAnsi="Arial" w:cs="Arial"/>
          <w:sz w:val="22"/>
          <w:szCs w:val="22"/>
        </w:rPr>
        <w:t>5</w:t>
      </w:r>
      <w:r w:rsidRPr="00C31671">
        <w:rPr>
          <w:rFonts w:ascii="Arial" w:hAnsi="Arial" w:cs="Arial"/>
          <w:sz w:val="22"/>
          <w:szCs w:val="22"/>
        </w:rPr>
        <w:t>% delle imprese è organizzato in strutture di gruppo, occupa il 2</w:t>
      </w:r>
      <w:r w:rsidR="009147B4" w:rsidRPr="00C31671">
        <w:rPr>
          <w:rFonts w:ascii="Arial" w:hAnsi="Arial" w:cs="Arial"/>
          <w:sz w:val="22"/>
          <w:szCs w:val="22"/>
        </w:rPr>
        <w:t>2</w:t>
      </w:r>
      <w:r w:rsidRPr="00C31671">
        <w:rPr>
          <w:rFonts w:ascii="Arial" w:hAnsi="Arial" w:cs="Arial"/>
          <w:sz w:val="22"/>
          <w:szCs w:val="22"/>
        </w:rPr>
        <w:t>,</w:t>
      </w:r>
      <w:r w:rsidR="009147B4" w:rsidRPr="00C31671">
        <w:rPr>
          <w:rFonts w:ascii="Arial" w:hAnsi="Arial" w:cs="Arial"/>
          <w:sz w:val="22"/>
          <w:szCs w:val="22"/>
        </w:rPr>
        <w:t>2</w:t>
      </w:r>
      <w:r w:rsidRPr="00C31671">
        <w:rPr>
          <w:rFonts w:ascii="Arial" w:hAnsi="Arial" w:cs="Arial"/>
          <w:sz w:val="22"/>
          <w:szCs w:val="22"/>
        </w:rPr>
        <w:t xml:space="preserve">% degli addetti e il </w:t>
      </w:r>
      <w:r w:rsidR="009147B4" w:rsidRPr="00C31671">
        <w:rPr>
          <w:rFonts w:ascii="Arial" w:hAnsi="Arial" w:cs="Arial"/>
          <w:sz w:val="22"/>
          <w:szCs w:val="22"/>
        </w:rPr>
        <w:t>31</w:t>
      </w:r>
      <w:r w:rsidRPr="00C31671">
        <w:rPr>
          <w:rFonts w:ascii="Arial" w:hAnsi="Arial" w:cs="Arial"/>
          <w:sz w:val="22"/>
          <w:szCs w:val="22"/>
        </w:rPr>
        <w:t>,</w:t>
      </w:r>
      <w:r w:rsidR="009147B4" w:rsidRPr="00C31671">
        <w:rPr>
          <w:rFonts w:ascii="Arial" w:hAnsi="Arial" w:cs="Arial"/>
          <w:sz w:val="22"/>
          <w:szCs w:val="22"/>
        </w:rPr>
        <w:t>1</w:t>
      </w:r>
      <w:r w:rsidRPr="00C31671">
        <w:rPr>
          <w:rFonts w:ascii="Arial" w:hAnsi="Arial" w:cs="Arial"/>
          <w:sz w:val="22"/>
          <w:szCs w:val="22"/>
        </w:rPr>
        <w:t>% dei dipendenti e realizza il 3</w:t>
      </w:r>
      <w:r w:rsidR="009147B4" w:rsidRPr="00C31671">
        <w:rPr>
          <w:rFonts w:ascii="Arial" w:hAnsi="Arial" w:cs="Arial"/>
          <w:sz w:val="22"/>
          <w:szCs w:val="22"/>
        </w:rPr>
        <w:t>3</w:t>
      </w:r>
      <w:r w:rsidRPr="00C31671">
        <w:rPr>
          <w:rFonts w:ascii="Arial" w:hAnsi="Arial" w:cs="Arial"/>
          <w:sz w:val="22"/>
          <w:szCs w:val="22"/>
        </w:rPr>
        <w:t>,</w:t>
      </w:r>
      <w:r w:rsidR="009147B4" w:rsidRPr="00C31671">
        <w:rPr>
          <w:rFonts w:ascii="Arial" w:hAnsi="Arial" w:cs="Arial"/>
          <w:sz w:val="22"/>
          <w:szCs w:val="22"/>
        </w:rPr>
        <w:t>4</w:t>
      </w:r>
      <w:r w:rsidRPr="00C31671">
        <w:rPr>
          <w:rFonts w:ascii="Arial" w:hAnsi="Arial" w:cs="Arial"/>
          <w:sz w:val="22"/>
          <w:szCs w:val="22"/>
        </w:rPr>
        <w:t>% del valore aggiunto del comparto.</w:t>
      </w:r>
      <w:r w:rsidR="0077531A" w:rsidRPr="00C31671">
        <w:rPr>
          <w:rFonts w:ascii="Arial" w:hAnsi="Arial" w:cs="Arial"/>
          <w:sz w:val="22"/>
          <w:szCs w:val="22"/>
        </w:rPr>
        <w:t xml:space="preserve"> </w:t>
      </w:r>
    </w:p>
    <w:p w14:paraId="581B1145" w14:textId="4AAE9CD8" w:rsidR="00CD46DA" w:rsidRPr="009225E0" w:rsidRDefault="00CD46DA" w:rsidP="00CD46DA">
      <w:pPr>
        <w:shd w:val="clear" w:color="auto" w:fill="FFFFFF" w:themeFill="background1"/>
        <w:autoSpaceDE w:val="0"/>
        <w:autoSpaceDN w:val="0"/>
        <w:adjustRightInd w:val="0"/>
        <w:spacing w:after="120" w:line="240" w:lineRule="auto"/>
        <w:jc w:val="both"/>
        <w:rPr>
          <w:rFonts w:ascii="Arial" w:hAnsi="Arial" w:cs="Arial"/>
          <w:sz w:val="22"/>
          <w:szCs w:val="22"/>
        </w:rPr>
      </w:pPr>
      <w:r w:rsidRPr="00BF6B82">
        <w:rPr>
          <w:rFonts w:ascii="Arial" w:hAnsi="Arial" w:cs="Arial"/>
          <w:sz w:val="22"/>
          <w:szCs w:val="22"/>
        </w:rPr>
        <w:t xml:space="preserve">Nei Servizi la crescita del valore aggiunto </w:t>
      </w:r>
      <w:r w:rsidR="00E3337E">
        <w:rPr>
          <w:rFonts w:ascii="Arial" w:hAnsi="Arial" w:cs="Arial"/>
          <w:sz w:val="22"/>
          <w:szCs w:val="22"/>
        </w:rPr>
        <w:t>risulta più dinamica (+</w:t>
      </w:r>
      <w:r w:rsidR="006016AE" w:rsidRPr="00BF6B82">
        <w:rPr>
          <w:rFonts w:ascii="Arial" w:hAnsi="Arial" w:cs="Arial"/>
          <w:sz w:val="22"/>
          <w:szCs w:val="22"/>
        </w:rPr>
        <w:t>4</w:t>
      </w:r>
      <w:r w:rsidRPr="00BF6B82">
        <w:rPr>
          <w:rFonts w:ascii="Arial" w:hAnsi="Arial" w:cs="Arial"/>
          <w:sz w:val="22"/>
          <w:szCs w:val="22"/>
        </w:rPr>
        <w:t xml:space="preserve">,2% </w:t>
      </w:r>
      <w:r w:rsidR="00E3337E">
        <w:rPr>
          <w:rFonts w:ascii="Arial" w:hAnsi="Arial" w:cs="Arial"/>
          <w:sz w:val="22"/>
          <w:szCs w:val="22"/>
        </w:rPr>
        <w:t>nel complesso e +</w:t>
      </w:r>
      <w:r w:rsidR="00E225AC" w:rsidRPr="00BF6B82">
        <w:rPr>
          <w:rFonts w:ascii="Arial" w:hAnsi="Arial" w:cs="Arial"/>
          <w:sz w:val="22"/>
          <w:szCs w:val="22"/>
        </w:rPr>
        <w:t>5</w:t>
      </w:r>
      <w:r w:rsidRPr="00BF6B82">
        <w:rPr>
          <w:rFonts w:ascii="Arial" w:hAnsi="Arial" w:cs="Arial"/>
          <w:sz w:val="22"/>
          <w:szCs w:val="22"/>
        </w:rPr>
        <w:t>,</w:t>
      </w:r>
      <w:r w:rsidR="00E225AC" w:rsidRPr="00BF6B82">
        <w:rPr>
          <w:rFonts w:ascii="Arial" w:hAnsi="Arial" w:cs="Arial"/>
          <w:sz w:val="22"/>
          <w:szCs w:val="22"/>
        </w:rPr>
        <w:t>7</w:t>
      </w:r>
      <w:r w:rsidRPr="00BF6B82">
        <w:rPr>
          <w:rFonts w:ascii="Arial" w:hAnsi="Arial" w:cs="Arial"/>
          <w:sz w:val="22"/>
          <w:szCs w:val="22"/>
        </w:rPr>
        <w:t>% per le imprese appartenenti a gruppi</w:t>
      </w:r>
      <w:r w:rsidR="00E3337E">
        <w:rPr>
          <w:rFonts w:ascii="Arial" w:hAnsi="Arial" w:cs="Arial"/>
          <w:sz w:val="22"/>
          <w:szCs w:val="22"/>
        </w:rPr>
        <w:t>)</w:t>
      </w:r>
      <w:r w:rsidRPr="00BF6B82">
        <w:rPr>
          <w:rFonts w:ascii="Arial" w:hAnsi="Arial" w:cs="Arial"/>
          <w:sz w:val="22"/>
          <w:szCs w:val="22"/>
        </w:rPr>
        <w:t>. Il fatturato cresce del</w:t>
      </w:r>
      <w:r w:rsidR="006016AE" w:rsidRPr="00BF6B82">
        <w:rPr>
          <w:rFonts w:ascii="Arial" w:hAnsi="Arial" w:cs="Arial"/>
          <w:sz w:val="22"/>
          <w:szCs w:val="22"/>
        </w:rPr>
        <w:t>l’1</w:t>
      </w:r>
      <w:r w:rsidRPr="00BF6B82">
        <w:rPr>
          <w:rFonts w:ascii="Arial" w:hAnsi="Arial" w:cs="Arial"/>
          <w:sz w:val="22"/>
          <w:szCs w:val="22"/>
        </w:rPr>
        <w:t>,</w:t>
      </w:r>
      <w:r w:rsidR="006016AE" w:rsidRPr="00BF6B82">
        <w:rPr>
          <w:rFonts w:ascii="Arial" w:hAnsi="Arial" w:cs="Arial"/>
          <w:sz w:val="22"/>
          <w:szCs w:val="22"/>
        </w:rPr>
        <w:t>4</w:t>
      </w:r>
      <w:r w:rsidRPr="00BF6B82">
        <w:rPr>
          <w:rFonts w:ascii="Arial" w:hAnsi="Arial" w:cs="Arial"/>
          <w:sz w:val="22"/>
          <w:szCs w:val="22"/>
        </w:rPr>
        <w:t xml:space="preserve">% con costi per beni e servizi in </w:t>
      </w:r>
      <w:r w:rsidR="006016AE" w:rsidRPr="00BF6B82">
        <w:rPr>
          <w:rFonts w:ascii="Arial" w:hAnsi="Arial" w:cs="Arial"/>
          <w:sz w:val="22"/>
          <w:szCs w:val="22"/>
        </w:rPr>
        <w:t>lieve diminuzione</w:t>
      </w:r>
      <w:r w:rsidR="00E3337E">
        <w:rPr>
          <w:rFonts w:ascii="Arial" w:hAnsi="Arial" w:cs="Arial"/>
          <w:sz w:val="22"/>
          <w:szCs w:val="22"/>
        </w:rPr>
        <w:t>,</w:t>
      </w:r>
      <w:r w:rsidRPr="00BF6B82">
        <w:rPr>
          <w:rFonts w:ascii="Arial" w:hAnsi="Arial" w:cs="Arial"/>
          <w:sz w:val="22"/>
          <w:szCs w:val="22"/>
        </w:rPr>
        <w:t xml:space="preserve"> rispettivamente del </w:t>
      </w:r>
      <w:r w:rsidR="006016AE" w:rsidRPr="00BF6B82">
        <w:rPr>
          <w:rFonts w:ascii="Arial" w:hAnsi="Arial" w:cs="Arial"/>
          <w:sz w:val="22"/>
          <w:szCs w:val="22"/>
        </w:rPr>
        <w:t>-1</w:t>
      </w:r>
      <w:r w:rsidRPr="00BF6B82">
        <w:rPr>
          <w:rFonts w:ascii="Arial" w:hAnsi="Arial" w:cs="Arial"/>
          <w:sz w:val="22"/>
          <w:szCs w:val="22"/>
        </w:rPr>
        <w:t>,</w:t>
      </w:r>
      <w:r w:rsidR="006016AE" w:rsidRPr="00BF6B82">
        <w:rPr>
          <w:rFonts w:ascii="Arial" w:hAnsi="Arial" w:cs="Arial"/>
          <w:sz w:val="22"/>
          <w:szCs w:val="22"/>
        </w:rPr>
        <w:t>0</w:t>
      </w:r>
      <w:r w:rsidRPr="00BF6B82">
        <w:rPr>
          <w:rFonts w:ascii="Arial" w:hAnsi="Arial" w:cs="Arial"/>
          <w:sz w:val="22"/>
          <w:szCs w:val="22"/>
        </w:rPr>
        <w:t xml:space="preserve">% e del </w:t>
      </w:r>
      <w:r w:rsidR="006016AE" w:rsidRPr="00BF6B82">
        <w:rPr>
          <w:rFonts w:ascii="Arial" w:hAnsi="Arial" w:cs="Arial"/>
          <w:sz w:val="22"/>
          <w:szCs w:val="22"/>
        </w:rPr>
        <w:t>-0</w:t>
      </w:r>
      <w:r w:rsidRPr="00BF6B82">
        <w:rPr>
          <w:rFonts w:ascii="Arial" w:hAnsi="Arial" w:cs="Arial"/>
          <w:sz w:val="22"/>
          <w:szCs w:val="22"/>
        </w:rPr>
        <w:t>,</w:t>
      </w:r>
      <w:r w:rsidR="006016AE" w:rsidRPr="00BF6B82">
        <w:rPr>
          <w:rFonts w:ascii="Arial" w:hAnsi="Arial" w:cs="Arial"/>
          <w:sz w:val="22"/>
          <w:szCs w:val="22"/>
        </w:rPr>
        <w:t>1</w:t>
      </w:r>
      <w:r w:rsidRPr="00BF6B82">
        <w:rPr>
          <w:rFonts w:ascii="Arial" w:hAnsi="Arial" w:cs="Arial"/>
          <w:sz w:val="22"/>
          <w:szCs w:val="22"/>
        </w:rPr>
        <w:t xml:space="preserve">%. </w:t>
      </w:r>
      <w:r w:rsidR="000152B9" w:rsidRPr="00BF6B82">
        <w:rPr>
          <w:rFonts w:ascii="Arial" w:hAnsi="Arial" w:cs="Arial"/>
          <w:sz w:val="22"/>
          <w:szCs w:val="22"/>
        </w:rPr>
        <w:t>In calo anche gli investimenti per addetto (-1,1%) mentre, nel settore, s</w:t>
      </w:r>
      <w:r w:rsidR="006016AE" w:rsidRPr="00BF6B82">
        <w:rPr>
          <w:rFonts w:ascii="Arial" w:hAnsi="Arial" w:cs="Arial"/>
          <w:sz w:val="22"/>
          <w:szCs w:val="22"/>
        </w:rPr>
        <w:t xml:space="preserve">i registrano incrementi rispetto all’anno precedente </w:t>
      </w:r>
      <w:r w:rsidRPr="00BF6B82">
        <w:rPr>
          <w:rFonts w:ascii="Arial" w:hAnsi="Arial" w:cs="Arial"/>
          <w:sz w:val="22"/>
          <w:szCs w:val="22"/>
        </w:rPr>
        <w:t xml:space="preserve">per costo del lavoro </w:t>
      </w:r>
      <w:r w:rsidR="006016AE" w:rsidRPr="00BF6B82">
        <w:rPr>
          <w:rFonts w:ascii="Arial" w:hAnsi="Arial" w:cs="Arial"/>
          <w:sz w:val="22"/>
          <w:szCs w:val="22"/>
        </w:rPr>
        <w:t xml:space="preserve">(+5,8%) </w:t>
      </w:r>
      <w:r w:rsidRPr="00BF6B82">
        <w:rPr>
          <w:rFonts w:ascii="Arial" w:hAnsi="Arial" w:cs="Arial"/>
          <w:sz w:val="22"/>
          <w:szCs w:val="22"/>
        </w:rPr>
        <w:t>e margine operativo lordo (+</w:t>
      </w:r>
      <w:r w:rsidR="006016AE" w:rsidRPr="00BF6B82">
        <w:rPr>
          <w:rFonts w:ascii="Arial" w:hAnsi="Arial" w:cs="Arial"/>
          <w:sz w:val="22"/>
          <w:szCs w:val="22"/>
        </w:rPr>
        <w:t>2</w:t>
      </w:r>
      <w:r w:rsidRPr="00BF6B82">
        <w:rPr>
          <w:rFonts w:ascii="Arial" w:hAnsi="Arial" w:cs="Arial"/>
          <w:sz w:val="22"/>
          <w:szCs w:val="22"/>
        </w:rPr>
        <w:t>,</w:t>
      </w:r>
      <w:r w:rsidR="006016AE" w:rsidRPr="00BF6B82">
        <w:rPr>
          <w:rFonts w:ascii="Arial" w:hAnsi="Arial" w:cs="Arial"/>
          <w:sz w:val="22"/>
          <w:szCs w:val="22"/>
        </w:rPr>
        <w:t>6</w:t>
      </w:r>
      <w:r w:rsidRPr="00BF6B82">
        <w:rPr>
          <w:rFonts w:ascii="Arial" w:hAnsi="Arial" w:cs="Arial"/>
          <w:sz w:val="22"/>
          <w:szCs w:val="22"/>
        </w:rPr>
        <w:t xml:space="preserve">%). </w:t>
      </w:r>
      <w:r w:rsidR="004D2EB6" w:rsidRPr="00BF6B82">
        <w:rPr>
          <w:rFonts w:ascii="Arial" w:hAnsi="Arial" w:cs="Arial"/>
          <w:sz w:val="22"/>
          <w:szCs w:val="22"/>
        </w:rPr>
        <w:t>Il v</w:t>
      </w:r>
      <w:r w:rsidR="000152B9" w:rsidRPr="00BF6B82">
        <w:rPr>
          <w:rFonts w:ascii="Arial" w:hAnsi="Arial" w:cs="Arial"/>
          <w:sz w:val="22"/>
          <w:szCs w:val="22"/>
        </w:rPr>
        <w:t>alore aggiunto</w:t>
      </w:r>
      <w:r w:rsidR="004D2EB6" w:rsidRPr="00BF6B82">
        <w:rPr>
          <w:rFonts w:ascii="Arial" w:hAnsi="Arial" w:cs="Arial"/>
          <w:sz w:val="22"/>
          <w:szCs w:val="22"/>
        </w:rPr>
        <w:t xml:space="preserve"> è</w:t>
      </w:r>
      <w:r w:rsidR="000152B9" w:rsidRPr="00BF6B82">
        <w:rPr>
          <w:rFonts w:ascii="Arial" w:hAnsi="Arial" w:cs="Arial"/>
          <w:sz w:val="22"/>
          <w:szCs w:val="22"/>
        </w:rPr>
        <w:t xml:space="preserve"> in crescita per </w:t>
      </w:r>
      <w:r w:rsidR="004D2EB6" w:rsidRPr="00BF6B82">
        <w:rPr>
          <w:rFonts w:ascii="Arial" w:hAnsi="Arial" w:cs="Arial"/>
          <w:sz w:val="22"/>
          <w:szCs w:val="22"/>
        </w:rPr>
        <w:t xml:space="preserve">tutte le classi </w:t>
      </w:r>
      <w:r w:rsidR="00080758" w:rsidRPr="00BF6B82">
        <w:rPr>
          <w:rFonts w:ascii="Arial" w:hAnsi="Arial" w:cs="Arial"/>
          <w:sz w:val="22"/>
          <w:szCs w:val="22"/>
        </w:rPr>
        <w:t xml:space="preserve">dimensionali </w:t>
      </w:r>
      <w:r w:rsidR="004D2EB6" w:rsidRPr="00BF6B82">
        <w:rPr>
          <w:rFonts w:ascii="Arial" w:hAnsi="Arial" w:cs="Arial"/>
          <w:sz w:val="22"/>
          <w:szCs w:val="22"/>
        </w:rPr>
        <w:t xml:space="preserve">con particolare rilievo </w:t>
      </w:r>
      <w:r w:rsidR="00080758" w:rsidRPr="00BF6B82">
        <w:rPr>
          <w:rFonts w:ascii="Arial" w:hAnsi="Arial" w:cs="Arial"/>
          <w:sz w:val="22"/>
          <w:szCs w:val="22"/>
        </w:rPr>
        <w:t xml:space="preserve">per </w:t>
      </w:r>
      <w:r w:rsidR="000152B9" w:rsidRPr="00BF6B82">
        <w:rPr>
          <w:rFonts w:ascii="Arial" w:hAnsi="Arial" w:cs="Arial"/>
          <w:sz w:val="22"/>
          <w:szCs w:val="22"/>
        </w:rPr>
        <w:t>le medie imprese (+7,3%)</w:t>
      </w:r>
      <w:r w:rsidR="00080758" w:rsidRPr="00BF6B82">
        <w:rPr>
          <w:rFonts w:ascii="Arial" w:hAnsi="Arial" w:cs="Arial"/>
          <w:sz w:val="22"/>
          <w:szCs w:val="22"/>
        </w:rPr>
        <w:t xml:space="preserve"> e</w:t>
      </w:r>
      <w:r w:rsidR="000152B9" w:rsidRPr="00BF6B82">
        <w:rPr>
          <w:rFonts w:ascii="Arial" w:hAnsi="Arial" w:cs="Arial"/>
          <w:sz w:val="22"/>
          <w:szCs w:val="22"/>
        </w:rPr>
        <w:t xml:space="preserve"> le piccole della classe 20-49 addetti (+4,3</w:t>
      </w:r>
      <w:r w:rsidR="000152B9" w:rsidRPr="00FF21D8">
        <w:rPr>
          <w:rFonts w:ascii="Arial" w:hAnsi="Arial" w:cs="Arial"/>
          <w:sz w:val="22"/>
          <w:szCs w:val="22"/>
        </w:rPr>
        <w:t>%)</w:t>
      </w:r>
      <w:r w:rsidR="00504714" w:rsidRPr="00FF21D8">
        <w:rPr>
          <w:rFonts w:ascii="Arial" w:hAnsi="Arial" w:cs="Arial"/>
          <w:sz w:val="22"/>
          <w:szCs w:val="22"/>
        </w:rPr>
        <w:t xml:space="preserve">. </w:t>
      </w:r>
      <w:r w:rsidRPr="00FF21D8">
        <w:rPr>
          <w:rFonts w:ascii="Arial" w:hAnsi="Arial" w:cs="Arial"/>
          <w:sz w:val="22"/>
          <w:szCs w:val="22"/>
        </w:rPr>
        <w:t>Nei Servizi, il 3,</w:t>
      </w:r>
      <w:r w:rsidR="00C31671" w:rsidRPr="00FF21D8">
        <w:rPr>
          <w:rFonts w:ascii="Arial" w:hAnsi="Arial" w:cs="Arial"/>
          <w:sz w:val="22"/>
          <w:szCs w:val="22"/>
        </w:rPr>
        <w:t>9</w:t>
      </w:r>
      <w:r w:rsidRPr="00FF21D8">
        <w:rPr>
          <w:rFonts w:ascii="Arial" w:hAnsi="Arial" w:cs="Arial"/>
          <w:sz w:val="22"/>
          <w:szCs w:val="22"/>
        </w:rPr>
        <w:t>% delle imprese fa parte di un gruppo, occupa il 3</w:t>
      </w:r>
      <w:r w:rsidR="00C31671" w:rsidRPr="00FF21D8">
        <w:rPr>
          <w:rFonts w:ascii="Arial" w:hAnsi="Arial" w:cs="Arial"/>
          <w:sz w:val="22"/>
          <w:szCs w:val="22"/>
        </w:rPr>
        <w:t>5</w:t>
      </w:r>
      <w:r w:rsidRPr="00FF21D8">
        <w:rPr>
          <w:rFonts w:ascii="Arial" w:hAnsi="Arial" w:cs="Arial"/>
          <w:sz w:val="22"/>
          <w:szCs w:val="22"/>
        </w:rPr>
        <w:t>,</w:t>
      </w:r>
      <w:r w:rsidR="00C31671" w:rsidRPr="00FF21D8">
        <w:rPr>
          <w:rFonts w:ascii="Arial" w:hAnsi="Arial" w:cs="Arial"/>
          <w:sz w:val="22"/>
          <w:szCs w:val="22"/>
        </w:rPr>
        <w:t>9</w:t>
      </w:r>
      <w:r w:rsidRPr="00FF21D8">
        <w:rPr>
          <w:rFonts w:ascii="Arial" w:hAnsi="Arial" w:cs="Arial"/>
          <w:sz w:val="22"/>
          <w:szCs w:val="22"/>
        </w:rPr>
        <w:t xml:space="preserve">% degli addetti del settore e il </w:t>
      </w:r>
      <w:r w:rsidR="00C31671" w:rsidRPr="00FF21D8">
        <w:rPr>
          <w:rFonts w:ascii="Arial" w:hAnsi="Arial" w:cs="Arial"/>
          <w:sz w:val="22"/>
          <w:szCs w:val="22"/>
        </w:rPr>
        <w:t>50</w:t>
      </w:r>
      <w:r w:rsidRPr="00FF21D8">
        <w:rPr>
          <w:rFonts w:ascii="Arial" w:hAnsi="Arial" w:cs="Arial"/>
          <w:sz w:val="22"/>
          <w:szCs w:val="22"/>
        </w:rPr>
        <w:t>,</w:t>
      </w:r>
      <w:r w:rsidR="00C31671" w:rsidRPr="00FF21D8">
        <w:rPr>
          <w:rFonts w:ascii="Arial" w:hAnsi="Arial" w:cs="Arial"/>
          <w:sz w:val="22"/>
          <w:szCs w:val="22"/>
        </w:rPr>
        <w:t>3</w:t>
      </w:r>
      <w:r w:rsidRPr="00FF21D8">
        <w:rPr>
          <w:rFonts w:ascii="Arial" w:hAnsi="Arial" w:cs="Arial"/>
          <w:sz w:val="22"/>
          <w:szCs w:val="22"/>
        </w:rPr>
        <w:t>% dei dipendenti e realizza il 5</w:t>
      </w:r>
      <w:r w:rsidR="00C31671" w:rsidRPr="00FF21D8">
        <w:rPr>
          <w:rFonts w:ascii="Arial" w:hAnsi="Arial" w:cs="Arial"/>
          <w:sz w:val="22"/>
          <w:szCs w:val="22"/>
        </w:rPr>
        <w:t>3</w:t>
      </w:r>
      <w:r w:rsidRPr="00FF21D8">
        <w:rPr>
          <w:rFonts w:ascii="Arial" w:hAnsi="Arial" w:cs="Arial"/>
          <w:sz w:val="22"/>
          <w:szCs w:val="22"/>
        </w:rPr>
        <w:t>,</w:t>
      </w:r>
      <w:r w:rsidR="00C31671" w:rsidRPr="00FF21D8">
        <w:rPr>
          <w:rFonts w:ascii="Arial" w:hAnsi="Arial" w:cs="Arial"/>
          <w:sz w:val="22"/>
          <w:szCs w:val="22"/>
        </w:rPr>
        <w:t>0</w:t>
      </w:r>
      <w:r w:rsidRPr="00FF21D8">
        <w:rPr>
          <w:rFonts w:ascii="Arial" w:hAnsi="Arial" w:cs="Arial"/>
          <w:sz w:val="22"/>
          <w:szCs w:val="22"/>
        </w:rPr>
        <w:t>% del valore aggiunto del settore.</w:t>
      </w:r>
      <w:r w:rsidRPr="00CF626A">
        <w:rPr>
          <w:rFonts w:ascii="Arial" w:hAnsi="Arial" w:cs="Arial"/>
          <w:sz w:val="22"/>
          <w:szCs w:val="22"/>
          <w:highlight w:val="yellow"/>
        </w:rPr>
        <w:t xml:space="preserve"> </w:t>
      </w:r>
    </w:p>
    <w:p w14:paraId="5942643D" w14:textId="4590AE3E" w:rsidR="00DC3A15" w:rsidRDefault="00DC3A15" w:rsidP="00DC3A15">
      <w:pPr>
        <w:shd w:val="clear" w:color="auto" w:fill="FFFFFF" w:themeFill="background1"/>
        <w:autoSpaceDE w:val="0"/>
        <w:autoSpaceDN w:val="0"/>
        <w:adjustRightInd w:val="0"/>
        <w:spacing w:after="120" w:line="240" w:lineRule="auto"/>
        <w:jc w:val="both"/>
        <w:rPr>
          <w:rFonts w:ascii="Arial" w:hAnsi="Arial" w:cs="Arial"/>
          <w:sz w:val="22"/>
          <w:szCs w:val="22"/>
        </w:rPr>
      </w:pPr>
      <w:r w:rsidRPr="00C8411F">
        <w:rPr>
          <w:rFonts w:ascii="Arial" w:hAnsi="Arial" w:cs="Arial"/>
          <w:sz w:val="22"/>
          <w:szCs w:val="22"/>
        </w:rPr>
        <w:t xml:space="preserve">La produttività nominale del lavoro cresce </w:t>
      </w:r>
      <w:r w:rsidR="00FB3435" w:rsidRPr="00C8411F">
        <w:rPr>
          <w:rFonts w:ascii="Arial" w:hAnsi="Arial" w:cs="Arial"/>
          <w:sz w:val="22"/>
          <w:szCs w:val="22"/>
        </w:rPr>
        <w:t xml:space="preserve">del 4,2% nei Servizi </w:t>
      </w:r>
      <w:r w:rsidR="005C4DA6" w:rsidRPr="00C8411F">
        <w:rPr>
          <w:rFonts w:ascii="Arial" w:hAnsi="Arial" w:cs="Arial"/>
          <w:sz w:val="22"/>
          <w:szCs w:val="22"/>
        </w:rPr>
        <w:t>e</w:t>
      </w:r>
      <w:r w:rsidR="00E3337E">
        <w:rPr>
          <w:rFonts w:ascii="Arial" w:hAnsi="Arial" w:cs="Arial"/>
          <w:sz w:val="22"/>
          <w:szCs w:val="22"/>
        </w:rPr>
        <w:t xml:space="preserve">, in misura molto più contenuta, </w:t>
      </w:r>
      <w:r w:rsidR="00FB3435" w:rsidRPr="00C8411F">
        <w:rPr>
          <w:rFonts w:ascii="Arial" w:hAnsi="Arial" w:cs="Arial"/>
          <w:sz w:val="22"/>
          <w:szCs w:val="22"/>
        </w:rPr>
        <w:t>negli altri settori (+</w:t>
      </w:r>
      <w:r w:rsidR="00FF21D8" w:rsidRPr="00C8411F">
        <w:rPr>
          <w:rFonts w:ascii="Arial" w:hAnsi="Arial" w:cs="Arial"/>
          <w:sz w:val="22"/>
          <w:szCs w:val="22"/>
        </w:rPr>
        <w:t>0</w:t>
      </w:r>
      <w:r w:rsidRPr="00C8411F">
        <w:rPr>
          <w:rFonts w:ascii="Arial" w:hAnsi="Arial" w:cs="Arial"/>
          <w:sz w:val="22"/>
          <w:szCs w:val="22"/>
        </w:rPr>
        <w:t>,</w:t>
      </w:r>
      <w:r w:rsidR="00FF21D8" w:rsidRPr="00C8411F">
        <w:rPr>
          <w:rFonts w:ascii="Arial" w:hAnsi="Arial" w:cs="Arial"/>
          <w:sz w:val="22"/>
          <w:szCs w:val="22"/>
        </w:rPr>
        <w:t>5</w:t>
      </w:r>
      <w:r w:rsidRPr="00C8411F">
        <w:rPr>
          <w:rFonts w:ascii="Arial" w:hAnsi="Arial" w:cs="Arial"/>
          <w:sz w:val="22"/>
          <w:szCs w:val="22"/>
        </w:rPr>
        <w:t>% per le Costruzioni</w:t>
      </w:r>
      <w:r w:rsidR="00FB3435" w:rsidRPr="00C8411F">
        <w:rPr>
          <w:rFonts w:ascii="Arial" w:hAnsi="Arial" w:cs="Arial"/>
          <w:sz w:val="22"/>
          <w:szCs w:val="22"/>
        </w:rPr>
        <w:t xml:space="preserve"> e +</w:t>
      </w:r>
      <w:r w:rsidR="00FF21D8" w:rsidRPr="00C8411F">
        <w:rPr>
          <w:rFonts w:ascii="Arial" w:hAnsi="Arial" w:cs="Arial"/>
          <w:sz w:val="22"/>
          <w:szCs w:val="22"/>
        </w:rPr>
        <w:t>0,6</w:t>
      </w:r>
      <w:r w:rsidRPr="00C8411F">
        <w:rPr>
          <w:rFonts w:ascii="Arial" w:hAnsi="Arial" w:cs="Arial"/>
          <w:sz w:val="22"/>
          <w:szCs w:val="22"/>
        </w:rPr>
        <w:t>% per l’Industria in senso stretto</w:t>
      </w:r>
      <w:r w:rsidR="00FB3435" w:rsidRPr="00C8411F">
        <w:rPr>
          <w:rFonts w:ascii="Arial" w:hAnsi="Arial" w:cs="Arial"/>
          <w:sz w:val="22"/>
          <w:szCs w:val="22"/>
        </w:rPr>
        <w:t>)</w:t>
      </w:r>
      <w:r w:rsidRPr="00C8411F">
        <w:rPr>
          <w:rFonts w:ascii="Arial" w:hAnsi="Arial" w:cs="Arial"/>
          <w:sz w:val="22"/>
          <w:szCs w:val="22"/>
        </w:rPr>
        <w:t xml:space="preserve">. </w:t>
      </w:r>
      <w:r w:rsidR="00E3337E">
        <w:rPr>
          <w:rFonts w:ascii="Arial" w:hAnsi="Arial" w:cs="Arial"/>
          <w:sz w:val="22"/>
          <w:szCs w:val="22"/>
        </w:rPr>
        <w:t xml:space="preserve">I livelli di </w:t>
      </w:r>
      <w:r w:rsidRPr="00BF6B82">
        <w:rPr>
          <w:rFonts w:ascii="Arial" w:hAnsi="Arial" w:cs="Arial"/>
          <w:sz w:val="22"/>
          <w:szCs w:val="22"/>
        </w:rPr>
        <w:t xml:space="preserve">produttività, in generale, </w:t>
      </w:r>
      <w:r w:rsidR="00E3337E">
        <w:rPr>
          <w:rFonts w:ascii="Arial" w:hAnsi="Arial" w:cs="Arial"/>
          <w:sz w:val="22"/>
          <w:szCs w:val="22"/>
        </w:rPr>
        <w:t xml:space="preserve">sono più elevati </w:t>
      </w:r>
      <w:r w:rsidRPr="00BF6B82">
        <w:rPr>
          <w:rFonts w:ascii="Arial" w:hAnsi="Arial" w:cs="Arial"/>
          <w:sz w:val="22"/>
          <w:szCs w:val="22"/>
        </w:rPr>
        <w:t xml:space="preserve">per le imprese appartenenti a gruppi (quasi </w:t>
      </w:r>
      <w:r w:rsidR="00A327BC" w:rsidRPr="00BF6B82">
        <w:rPr>
          <w:rFonts w:ascii="Arial" w:hAnsi="Arial" w:cs="Arial"/>
          <w:sz w:val="22"/>
          <w:szCs w:val="22"/>
        </w:rPr>
        <w:t xml:space="preserve">89mila </w:t>
      </w:r>
      <w:r w:rsidRPr="00BF6B82">
        <w:rPr>
          <w:rFonts w:ascii="Arial" w:hAnsi="Arial" w:cs="Arial"/>
          <w:sz w:val="22"/>
          <w:szCs w:val="22"/>
        </w:rPr>
        <w:t xml:space="preserve">euro </w:t>
      </w:r>
      <w:r w:rsidR="009C5003" w:rsidRPr="00BF6B82">
        <w:rPr>
          <w:rFonts w:ascii="Arial" w:hAnsi="Arial" w:cs="Arial"/>
          <w:sz w:val="22"/>
          <w:szCs w:val="22"/>
        </w:rPr>
        <w:t xml:space="preserve">per addetto </w:t>
      </w:r>
      <w:r w:rsidRPr="00BF6B82">
        <w:rPr>
          <w:rFonts w:ascii="Arial" w:hAnsi="Arial" w:cs="Arial"/>
          <w:sz w:val="22"/>
          <w:szCs w:val="22"/>
        </w:rPr>
        <w:t>contro i 4</w:t>
      </w:r>
      <w:r w:rsidR="00C072E8" w:rsidRPr="00BF6B82">
        <w:rPr>
          <w:rFonts w:ascii="Arial" w:hAnsi="Arial" w:cs="Arial"/>
          <w:sz w:val="22"/>
          <w:szCs w:val="22"/>
        </w:rPr>
        <w:t>1</w:t>
      </w:r>
      <w:r w:rsidRPr="00BF6B82">
        <w:rPr>
          <w:rFonts w:ascii="Arial" w:hAnsi="Arial" w:cs="Arial"/>
          <w:sz w:val="22"/>
          <w:szCs w:val="22"/>
        </w:rPr>
        <w:t xml:space="preserve">mila e </w:t>
      </w:r>
      <w:r w:rsidR="00C072E8" w:rsidRPr="00BF6B82">
        <w:rPr>
          <w:rFonts w:ascii="Arial" w:hAnsi="Arial" w:cs="Arial"/>
          <w:sz w:val="22"/>
          <w:szCs w:val="22"/>
        </w:rPr>
        <w:t xml:space="preserve">200 </w:t>
      </w:r>
      <w:r w:rsidRPr="00BF6B82">
        <w:rPr>
          <w:rFonts w:ascii="Arial" w:hAnsi="Arial" w:cs="Arial"/>
          <w:sz w:val="22"/>
          <w:szCs w:val="22"/>
        </w:rPr>
        <w:t>delle imprese indipendenti) anche</w:t>
      </w:r>
      <w:r w:rsidR="00C62889">
        <w:rPr>
          <w:rFonts w:ascii="Arial" w:hAnsi="Arial" w:cs="Arial"/>
          <w:sz w:val="22"/>
          <w:szCs w:val="22"/>
        </w:rPr>
        <w:t xml:space="preserve"> se</w:t>
      </w:r>
      <w:r w:rsidR="00C8411F">
        <w:rPr>
          <w:rFonts w:ascii="Arial" w:hAnsi="Arial" w:cs="Arial"/>
          <w:sz w:val="22"/>
          <w:szCs w:val="22"/>
        </w:rPr>
        <w:t>,</w:t>
      </w:r>
      <w:r w:rsidRPr="00BF6B82">
        <w:rPr>
          <w:rFonts w:ascii="Arial" w:hAnsi="Arial" w:cs="Arial"/>
          <w:sz w:val="22"/>
          <w:szCs w:val="22"/>
        </w:rPr>
        <w:t xml:space="preserve"> </w:t>
      </w:r>
      <w:r w:rsidR="00C62889">
        <w:rPr>
          <w:rFonts w:ascii="Arial" w:hAnsi="Arial" w:cs="Arial"/>
          <w:sz w:val="22"/>
          <w:szCs w:val="22"/>
        </w:rPr>
        <w:t>rispetto al 2023</w:t>
      </w:r>
      <w:r w:rsidR="00C8411F">
        <w:rPr>
          <w:rFonts w:ascii="Arial" w:hAnsi="Arial" w:cs="Arial"/>
          <w:sz w:val="22"/>
          <w:szCs w:val="22"/>
        </w:rPr>
        <w:t>,</w:t>
      </w:r>
      <w:r w:rsidR="00C62889">
        <w:rPr>
          <w:rFonts w:ascii="Arial" w:hAnsi="Arial" w:cs="Arial"/>
          <w:sz w:val="22"/>
          <w:szCs w:val="22"/>
        </w:rPr>
        <w:t xml:space="preserve"> si registra un decremento dell’1,2%</w:t>
      </w:r>
      <w:r w:rsidRPr="00BF6B82">
        <w:rPr>
          <w:rFonts w:ascii="Arial" w:hAnsi="Arial" w:cs="Arial"/>
          <w:sz w:val="22"/>
          <w:szCs w:val="22"/>
        </w:rPr>
        <w:t>. L</w:t>
      </w:r>
      <w:r w:rsidR="00E3337E">
        <w:rPr>
          <w:rFonts w:ascii="Arial" w:hAnsi="Arial" w:cs="Arial"/>
          <w:sz w:val="22"/>
          <w:szCs w:val="22"/>
        </w:rPr>
        <w:t xml:space="preserve">a differenza più ampia </w:t>
      </w:r>
      <w:r w:rsidRPr="00BF6B82">
        <w:rPr>
          <w:rFonts w:ascii="Arial" w:hAnsi="Arial" w:cs="Arial"/>
          <w:sz w:val="22"/>
          <w:szCs w:val="22"/>
        </w:rPr>
        <w:t>continua a essere rilevat</w:t>
      </w:r>
      <w:r w:rsidR="00E3337E">
        <w:rPr>
          <w:rFonts w:ascii="Arial" w:hAnsi="Arial" w:cs="Arial"/>
          <w:sz w:val="22"/>
          <w:szCs w:val="22"/>
        </w:rPr>
        <w:t>a</w:t>
      </w:r>
      <w:r w:rsidRPr="00BF6B82">
        <w:rPr>
          <w:rFonts w:ascii="Arial" w:hAnsi="Arial" w:cs="Arial"/>
          <w:sz w:val="22"/>
          <w:szCs w:val="22"/>
        </w:rPr>
        <w:t xml:space="preserve"> per le microimprese dove l’indicatore di produttività passa da </w:t>
      </w:r>
      <w:r w:rsidR="008C6F2B">
        <w:rPr>
          <w:rFonts w:ascii="Arial" w:hAnsi="Arial" w:cs="Arial"/>
          <w:sz w:val="22"/>
          <w:szCs w:val="22"/>
        </w:rPr>
        <w:t>circa</w:t>
      </w:r>
      <w:r w:rsidRPr="00BF6B82">
        <w:rPr>
          <w:rFonts w:ascii="Arial" w:hAnsi="Arial" w:cs="Arial"/>
          <w:sz w:val="22"/>
          <w:szCs w:val="22"/>
        </w:rPr>
        <w:t xml:space="preserve"> </w:t>
      </w:r>
      <w:r w:rsidR="00C072E8" w:rsidRPr="00BF6B82">
        <w:rPr>
          <w:rFonts w:ascii="Arial" w:hAnsi="Arial" w:cs="Arial"/>
          <w:sz w:val="22"/>
          <w:szCs w:val="22"/>
        </w:rPr>
        <w:t>11</w:t>
      </w:r>
      <w:r w:rsidR="008C6F2B">
        <w:rPr>
          <w:rFonts w:ascii="Arial" w:hAnsi="Arial" w:cs="Arial"/>
          <w:sz w:val="22"/>
          <w:szCs w:val="22"/>
        </w:rPr>
        <w:t>7</w:t>
      </w:r>
      <w:r w:rsidR="00C072E8" w:rsidRPr="00BF6B82">
        <w:rPr>
          <w:rFonts w:ascii="Arial" w:hAnsi="Arial" w:cs="Arial"/>
          <w:sz w:val="22"/>
          <w:szCs w:val="22"/>
        </w:rPr>
        <w:t xml:space="preserve">mila </w:t>
      </w:r>
      <w:r w:rsidRPr="00BF6B82">
        <w:rPr>
          <w:rFonts w:ascii="Arial" w:hAnsi="Arial" w:cs="Arial"/>
          <w:sz w:val="22"/>
          <w:szCs w:val="22"/>
        </w:rPr>
        <w:t xml:space="preserve">euro per le imprese </w:t>
      </w:r>
      <w:r w:rsidR="005C4DA6">
        <w:rPr>
          <w:rFonts w:ascii="Arial" w:hAnsi="Arial" w:cs="Arial"/>
          <w:sz w:val="22"/>
          <w:szCs w:val="22"/>
        </w:rPr>
        <w:t>appartenenti a</w:t>
      </w:r>
      <w:r w:rsidRPr="00BF6B82">
        <w:rPr>
          <w:rFonts w:ascii="Arial" w:hAnsi="Arial" w:cs="Arial"/>
          <w:sz w:val="22"/>
          <w:szCs w:val="22"/>
        </w:rPr>
        <w:t xml:space="preserve"> gruppi a </w:t>
      </w:r>
      <w:r w:rsidR="008C6F2B">
        <w:rPr>
          <w:rFonts w:ascii="Arial" w:hAnsi="Arial" w:cs="Arial"/>
          <w:sz w:val="22"/>
          <w:szCs w:val="22"/>
        </w:rPr>
        <w:t xml:space="preserve">circa </w:t>
      </w:r>
      <w:r w:rsidR="00C072E8" w:rsidRPr="00BF6B82">
        <w:rPr>
          <w:rFonts w:ascii="Arial" w:hAnsi="Arial" w:cs="Arial"/>
          <w:sz w:val="22"/>
          <w:szCs w:val="22"/>
        </w:rPr>
        <w:t>3</w:t>
      </w:r>
      <w:r w:rsidR="008C6F2B">
        <w:rPr>
          <w:rFonts w:ascii="Arial" w:hAnsi="Arial" w:cs="Arial"/>
          <w:sz w:val="22"/>
          <w:szCs w:val="22"/>
        </w:rPr>
        <w:t>7</w:t>
      </w:r>
      <w:r w:rsidR="00C072E8" w:rsidRPr="00BF6B82">
        <w:rPr>
          <w:rFonts w:ascii="Arial" w:hAnsi="Arial" w:cs="Arial"/>
          <w:sz w:val="22"/>
          <w:szCs w:val="22"/>
        </w:rPr>
        <w:t xml:space="preserve">mila </w:t>
      </w:r>
      <w:r w:rsidRPr="00BF6B82">
        <w:rPr>
          <w:rFonts w:ascii="Arial" w:hAnsi="Arial" w:cs="Arial"/>
          <w:sz w:val="22"/>
          <w:szCs w:val="22"/>
        </w:rPr>
        <w:t>per le imprese indipendenti</w:t>
      </w:r>
      <w:r w:rsidR="00225BE8">
        <w:rPr>
          <w:rFonts w:ascii="Arial" w:hAnsi="Arial" w:cs="Arial"/>
          <w:sz w:val="22"/>
          <w:szCs w:val="22"/>
        </w:rPr>
        <w:t xml:space="preserve"> (Figura 2)</w:t>
      </w:r>
      <w:r w:rsidRPr="00225BE8">
        <w:rPr>
          <w:rFonts w:ascii="Arial" w:hAnsi="Arial" w:cs="Arial"/>
          <w:sz w:val="22"/>
          <w:szCs w:val="22"/>
        </w:rPr>
        <w:t>.</w:t>
      </w:r>
      <w:r w:rsidRPr="006B0916">
        <w:rPr>
          <w:rFonts w:ascii="Arial" w:hAnsi="Arial" w:cs="Arial"/>
          <w:sz w:val="22"/>
          <w:szCs w:val="22"/>
        </w:rPr>
        <w:t xml:space="preserve"> </w:t>
      </w:r>
    </w:p>
    <w:p w14:paraId="1E37C652" w14:textId="5F87A98B" w:rsidR="00080758" w:rsidRDefault="00080758" w:rsidP="00DC3A15">
      <w:pPr>
        <w:shd w:val="clear" w:color="auto" w:fill="FFFFFF" w:themeFill="background1"/>
        <w:autoSpaceDE w:val="0"/>
        <w:autoSpaceDN w:val="0"/>
        <w:adjustRightInd w:val="0"/>
        <w:spacing w:after="120" w:line="240" w:lineRule="auto"/>
        <w:jc w:val="both"/>
        <w:rPr>
          <w:rFonts w:ascii="Arial" w:hAnsi="Arial" w:cs="Arial"/>
          <w:sz w:val="22"/>
          <w:szCs w:val="22"/>
        </w:rPr>
      </w:pPr>
    </w:p>
    <w:p w14:paraId="7280332D" w14:textId="1168B9CD" w:rsidR="00BF6B82" w:rsidRDefault="00BF6B82" w:rsidP="00DC3A15">
      <w:pPr>
        <w:shd w:val="clear" w:color="auto" w:fill="FFFFFF" w:themeFill="background1"/>
        <w:autoSpaceDE w:val="0"/>
        <w:autoSpaceDN w:val="0"/>
        <w:adjustRightInd w:val="0"/>
        <w:spacing w:after="120" w:line="240" w:lineRule="auto"/>
        <w:jc w:val="both"/>
        <w:rPr>
          <w:rFonts w:ascii="Arial" w:hAnsi="Arial" w:cs="Arial"/>
          <w:sz w:val="22"/>
          <w:szCs w:val="22"/>
        </w:rPr>
      </w:pPr>
    </w:p>
    <w:p w14:paraId="79ACA1C5" w14:textId="77777777" w:rsidR="00F85741" w:rsidRDefault="00F85741" w:rsidP="00DC3A15">
      <w:pPr>
        <w:shd w:val="clear" w:color="auto" w:fill="FFFFFF" w:themeFill="background1"/>
        <w:autoSpaceDE w:val="0"/>
        <w:autoSpaceDN w:val="0"/>
        <w:adjustRightInd w:val="0"/>
        <w:spacing w:after="120" w:line="240" w:lineRule="auto"/>
        <w:jc w:val="both"/>
        <w:rPr>
          <w:rFonts w:ascii="Arial" w:hAnsi="Arial" w:cs="Arial"/>
          <w:sz w:val="22"/>
          <w:szCs w:val="22"/>
        </w:rPr>
      </w:pPr>
    </w:p>
    <w:p w14:paraId="752AB050" w14:textId="68024EC0" w:rsidR="00881A5A" w:rsidRDefault="00881A5A" w:rsidP="00F71E76">
      <w:pPr>
        <w:spacing w:after="0" w:line="240" w:lineRule="auto"/>
        <w:rPr>
          <w:rFonts w:ascii="Arial Narrow" w:hAnsi="Arial Narrow" w:cs="Arial"/>
          <w:color w:val="1F497D" w:themeColor="text2"/>
          <w:sz w:val="22"/>
          <w:szCs w:val="22"/>
        </w:rPr>
      </w:pPr>
      <w:r w:rsidRPr="00082889">
        <w:rPr>
          <w:rFonts w:ascii="Arial Black" w:hAnsi="Arial Black" w:cs="Arial"/>
          <w:iCs/>
          <w:noProof/>
          <w:color w:val="1F497D" w:themeColor="text2"/>
          <w:sz w:val="22"/>
          <w:szCs w:val="22"/>
        </w:rPr>
        <w:t xml:space="preserve">FIGURA 2. </w:t>
      </w:r>
      <w:r w:rsidRPr="00082889">
        <w:rPr>
          <w:rFonts w:ascii="Arial Narrow" w:hAnsi="Arial Narrow" w:cs="Arial"/>
          <w:b/>
          <w:iCs/>
          <w:noProof/>
          <w:color w:val="1F497D" w:themeColor="text2"/>
          <w:sz w:val="22"/>
          <w:szCs w:val="22"/>
        </w:rPr>
        <w:t xml:space="preserve">PRODUTTIVITÀ NOMINALE DEL LAVORO PER </w:t>
      </w:r>
      <w:r w:rsidR="00B80DFE">
        <w:rPr>
          <w:rFonts w:ascii="Arial Narrow" w:hAnsi="Arial Narrow" w:cs="Arial"/>
          <w:b/>
          <w:iCs/>
          <w:noProof/>
          <w:color w:val="1F497D" w:themeColor="text2"/>
          <w:sz w:val="22"/>
          <w:szCs w:val="22"/>
        </w:rPr>
        <w:t>CLASSE DI ADDETTI</w:t>
      </w:r>
      <w:r w:rsidR="000C534E">
        <w:rPr>
          <w:rFonts w:ascii="Arial Narrow" w:hAnsi="Arial Narrow" w:cs="Arial"/>
          <w:b/>
          <w:iCs/>
          <w:noProof/>
          <w:color w:val="1F497D" w:themeColor="text2"/>
          <w:sz w:val="22"/>
          <w:szCs w:val="22"/>
        </w:rPr>
        <w:t xml:space="preserve"> </w:t>
      </w:r>
      <w:r w:rsidR="0066099B" w:rsidRPr="00082889">
        <w:rPr>
          <w:rFonts w:ascii="Arial Narrow" w:hAnsi="Arial Narrow" w:cs="Arial"/>
          <w:b/>
          <w:iCs/>
          <w:noProof/>
          <w:color w:val="1F497D" w:themeColor="text2"/>
          <w:sz w:val="22"/>
          <w:szCs w:val="22"/>
        </w:rPr>
        <w:t>E APPARTENENZA A</w:t>
      </w:r>
      <w:r w:rsidRPr="00082889">
        <w:rPr>
          <w:rFonts w:ascii="Arial Narrow" w:hAnsi="Arial Narrow" w:cs="Arial"/>
          <w:b/>
          <w:iCs/>
          <w:noProof/>
          <w:color w:val="1F497D" w:themeColor="text2"/>
          <w:sz w:val="22"/>
          <w:szCs w:val="22"/>
        </w:rPr>
        <w:t xml:space="preserve"> GRUPPI.</w:t>
      </w:r>
      <w:r w:rsidRPr="00082889">
        <w:rPr>
          <w:rFonts w:ascii="Arial Black" w:hAnsi="Arial Black" w:cs="Arial"/>
          <w:iCs/>
          <w:noProof/>
          <w:color w:val="1F497D" w:themeColor="text2"/>
          <w:sz w:val="22"/>
          <w:szCs w:val="22"/>
        </w:rPr>
        <w:t xml:space="preserve"> </w:t>
      </w:r>
      <w:r w:rsidRPr="00082889">
        <w:rPr>
          <w:rFonts w:ascii="Arial Narrow" w:hAnsi="Arial Narrow" w:cs="Arial"/>
          <w:color w:val="1F497D" w:themeColor="text2"/>
          <w:sz w:val="22"/>
          <w:szCs w:val="22"/>
        </w:rPr>
        <w:t>Anno 202</w:t>
      </w:r>
      <w:r w:rsidR="007709E1">
        <w:rPr>
          <w:rFonts w:ascii="Arial Narrow" w:hAnsi="Arial Narrow" w:cs="Arial"/>
          <w:color w:val="1F497D" w:themeColor="text2"/>
          <w:sz w:val="22"/>
          <w:szCs w:val="22"/>
        </w:rPr>
        <w:t>4</w:t>
      </w:r>
      <w:r w:rsidRPr="00082889">
        <w:rPr>
          <w:rFonts w:ascii="Arial Narrow" w:hAnsi="Arial Narrow" w:cs="Arial"/>
          <w:color w:val="1F497D" w:themeColor="text2"/>
          <w:sz w:val="22"/>
          <w:szCs w:val="22"/>
        </w:rPr>
        <w:t>, migliaia di euro</w:t>
      </w:r>
    </w:p>
    <w:p w14:paraId="53F70B3B" w14:textId="4B041BCF" w:rsidR="00EB24B0" w:rsidRDefault="00EB24B0" w:rsidP="00F71E76">
      <w:pPr>
        <w:spacing w:after="0" w:line="240" w:lineRule="auto"/>
        <w:rPr>
          <w:rFonts w:ascii="Arial Narrow" w:hAnsi="Arial Narrow" w:cs="Arial"/>
          <w:color w:val="1F497D" w:themeColor="text2"/>
          <w:sz w:val="22"/>
          <w:szCs w:val="22"/>
        </w:rPr>
      </w:pPr>
    </w:p>
    <w:p w14:paraId="77ABA74B" w14:textId="4FF889A7" w:rsidR="007F5AA9" w:rsidRDefault="007F5AA9" w:rsidP="00F71E76">
      <w:pPr>
        <w:spacing w:after="0" w:line="240" w:lineRule="auto"/>
        <w:rPr>
          <w:rFonts w:ascii="Arial Narrow" w:hAnsi="Arial Narrow" w:cs="Arial"/>
          <w:color w:val="1F497D" w:themeColor="text2"/>
          <w:sz w:val="22"/>
          <w:szCs w:val="22"/>
        </w:rPr>
      </w:pPr>
      <w:r>
        <w:rPr>
          <w:noProof/>
        </w:rPr>
        <w:drawing>
          <wp:inline distT="0" distB="0" distL="0" distR="0" wp14:anchorId="0CC5B339" wp14:editId="1779463C">
            <wp:extent cx="6300000" cy="2160000"/>
            <wp:effectExtent l="0" t="0" r="0" b="0"/>
            <wp:docPr id="2" name="Grafico 2">
              <a:extLst xmlns:a="http://schemas.openxmlformats.org/drawingml/2006/main">
                <a:ext uri="{FF2B5EF4-FFF2-40B4-BE49-F238E27FC236}">
                  <a16:creationId xmlns:a16="http://schemas.microsoft.com/office/drawing/2014/main" id="{BFF5F68B-706C-47AC-A24D-590F585864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6E59951" w14:textId="77777777" w:rsidR="007F5AA9" w:rsidRDefault="007F5AA9" w:rsidP="00F71E76">
      <w:pPr>
        <w:spacing w:after="0" w:line="240" w:lineRule="auto"/>
        <w:rPr>
          <w:rFonts w:ascii="Arial Narrow" w:hAnsi="Arial Narrow" w:cs="Arial"/>
          <w:color w:val="1F497D" w:themeColor="text2"/>
          <w:sz w:val="22"/>
          <w:szCs w:val="22"/>
        </w:rPr>
      </w:pPr>
    </w:p>
    <w:p w14:paraId="2B8D833D" w14:textId="1DDD6129" w:rsidR="00E06A47" w:rsidRPr="0089468C" w:rsidRDefault="00E06A47" w:rsidP="00F71E76">
      <w:pPr>
        <w:spacing w:after="120"/>
        <w:rPr>
          <w:rFonts w:ascii="Georgia" w:hAnsi="Georgia" w:cs="Arial"/>
          <w:sz w:val="22"/>
          <w:szCs w:val="48"/>
        </w:rPr>
        <w:sectPr w:rsidR="00E06A47" w:rsidRPr="0089468C" w:rsidSect="00D503B8">
          <w:headerReference w:type="default" r:id="rId17"/>
          <w:footerReference w:type="default" r:id="rId18"/>
          <w:type w:val="continuous"/>
          <w:pgSz w:w="11906" w:h="16838" w:code="9"/>
          <w:pgMar w:top="567" w:right="992" w:bottom="714" w:left="992" w:header="0" w:footer="0" w:gutter="0"/>
          <w:cols w:space="430"/>
          <w:docGrid w:linePitch="360"/>
        </w:sectPr>
      </w:pPr>
    </w:p>
    <w:p w14:paraId="6E24E4BD" w14:textId="77777777" w:rsidR="00DC3A15" w:rsidRDefault="00DC3A15" w:rsidP="00DC3A15">
      <w:pPr>
        <w:pStyle w:val="Titolo3"/>
        <w:spacing w:before="0" w:after="120"/>
        <w:rPr>
          <w:rFonts w:ascii="Georgia" w:hAnsi="Georgia" w:cs="Arial"/>
          <w:color w:val="1F497D" w:themeColor="text2"/>
          <w:sz w:val="48"/>
          <w:szCs w:val="48"/>
        </w:rPr>
      </w:pPr>
      <w:r w:rsidRPr="00F85EE9">
        <w:rPr>
          <w:rFonts w:ascii="Georgia" w:hAnsi="Georgia" w:cs="Arial"/>
          <w:color w:val="1F497D" w:themeColor="text2"/>
          <w:sz w:val="48"/>
          <w:szCs w:val="48"/>
        </w:rPr>
        <w:t>Glossario</w:t>
      </w:r>
    </w:p>
    <w:p w14:paraId="186817F4"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 xml:space="preserve">Addetto: </w:t>
      </w:r>
      <w:r w:rsidRPr="00364D90">
        <w:rPr>
          <w:rFonts w:ascii="Arial" w:hAnsi="Arial" w:cs="Arial"/>
          <w:bCs/>
          <w:sz w:val="20"/>
          <w:szCs w:val="20"/>
        </w:rPr>
        <w:t xml:space="preserve">persona occupata in un’unità giuridica, come lavoratore indipendente o dipendente (a tempo pieno, a tempo parziale o con contratto di formazione lavoro), anche se temporaneamente assente (per servizio, ferie, malattia, sospensione dal lavoro, Cassa integrazione guadagni ecc.). Comprende il titolare/i dell’impresa partecipante/i direttamente alla gestione, i cooperatori (soci di cooperative che, come corrispettivo della loro prestazione, percepiscono un compenso proporzionato all’opera resa e una quota degli utili dell’impresa), i coadiuvanti familiari (parenti o affini del titolare che prestano lavoro manuale senza una prefissata retribuzione contrattuale), i dirigenti, quadri, impiegati, operai e apprendisti. </w:t>
      </w:r>
    </w:p>
    <w:p w14:paraId="6C6BB7B1" w14:textId="4CA1D59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2207C7">
        <w:rPr>
          <w:rFonts w:ascii="Arial" w:hAnsi="Arial" w:cs="Arial"/>
          <w:b/>
          <w:bCs/>
          <w:color w:val="1F497D" w:themeColor="text2"/>
          <w:sz w:val="20"/>
          <w:szCs w:val="20"/>
        </w:rPr>
        <w:t xml:space="preserve">Asia (Registro </w:t>
      </w:r>
      <w:r w:rsidRPr="00D665CA">
        <w:rPr>
          <w:rFonts w:ascii="Arial" w:hAnsi="Arial" w:cs="Arial"/>
          <w:b/>
          <w:bCs/>
          <w:color w:val="1F497D" w:themeColor="text2"/>
          <w:sz w:val="20"/>
          <w:szCs w:val="20"/>
        </w:rPr>
        <w:t>statistico delle imprese attive):</w:t>
      </w:r>
      <w:r w:rsidRPr="002207C7">
        <w:rPr>
          <w:rFonts w:ascii="Arial" w:hAnsi="Arial" w:cs="Arial"/>
          <w:b/>
          <w:bCs/>
          <w:color w:val="1F497D" w:themeColor="text2"/>
          <w:sz w:val="20"/>
          <w:szCs w:val="20"/>
        </w:rPr>
        <w:t xml:space="preserve"> </w:t>
      </w:r>
      <w:r w:rsidR="00F85ADA" w:rsidRPr="00F85ADA">
        <w:rPr>
          <w:rFonts w:ascii="Arial" w:hAnsi="Arial" w:cs="Arial"/>
          <w:bCs/>
          <w:sz w:val="20"/>
          <w:szCs w:val="20"/>
        </w:rPr>
        <w:t>Il Registro statistico delle Imprese attive (Asia-Imprese) è costituito dalle unità economiche che esercitano arti e professioni nelle attività industriali, commerciali e dei servizi alle imprese e alle famiglie e fornisce informazioni identificative (denominazione e localizzazione) e di struttura (attività economica, addetti dipendenti e indipendenti, forma giuridica, data di inizio e fine attività, classe di fatturato) di tali unità. Oltre a costituire una fonte ufficiale di dati, armonizzati a livello europeo, per le analisi sull’evoluzione della struttura delle imprese italiane e sulla loro demografia, il registro Asia rappresenta la base informativa di tutte le indagini Istat sulle imprese, viene utilizzato per le stime di Contabilità nazionale e individua la popolazione di riferimento per i piani di campionamento e per il loro riporto all’universo</w:t>
      </w:r>
      <w:r w:rsidR="00D665CA">
        <w:rPr>
          <w:rFonts w:ascii="Arial" w:hAnsi="Arial" w:cs="Arial"/>
          <w:bCs/>
          <w:sz w:val="20"/>
          <w:szCs w:val="20"/>
        </w:rPr>
        <w:t>. Il Registro Asia è co</w:t>
      </w:r>
      <w:r w:rsidR="00D665CA" w:rsidRPr="002207C7">
        <w:rPr>
          <w:rFonts w:ascii="Arial" w:hAnsi="Arial" w:cs="Arial"/>
          <w:bCs/>
          <w:sz w:val="20"/>
          <w:szCs w:val="20"/>
        </w:rPr>
        <w:t>stituito</w:t>
      </w:r>
      <w:r w:rsidRPr="002207C7">
        <w:rPr>
          <w:rFonts w:ascii="Arial" w:hAnsi="Arial" w:cs="Arial"/>
          <w:bCs/>
          <w:sz w:val="20"/>
          <w:szCs w:val="20"/>
        </w:rPr>
        <w:t xml:space="preserve"> in ottemperanza delle disposizioni dei Regolamenti europei n.</w:t>
      </w:r>
      <w:r>
        <w:rPr>
          <w:rFonts w:ascii="Arial" w:hAnsi="Arial" w:cs="Arial"/>
          <w:bCs/>
          <w:sz w:val="20"/>
          <w:szCs w:val="20"/>
        </w:rPr>
        <w:t xml:space="preserve"> </w:t>
      </w:r>
      <w:r w:rsidRPr="002207C7">
        <w:rPr>
          <w:rFonts w:ascii="Arial" w:hAnsi="Arial" w:cs="Arial"/>
          <w:bCs/>
          <w:sz w:val="20"/>
          <w:szCs w:val="20"/>
        </w:rPr>
        <w:t>2152/2019 e n.</w:t>
      </w:r>
      <w:r>
        <w:rPr>
          <w:rFonts w:ascii="Arial" w:hAnsi="Arial" w:cs="Arial"/>
          <w:bCs/>
          <w:sz w:val="20"/>
          <w:szCs w:val="20"/>
        </w:rPr>
        <w:t xml:space="preserve"> </w:t>
      </w:r>
      <w:r w:rsidRPr="002207C7">
        <w:rPr>
          <w:rFonts w:ascii="Arial" w:hAnsi="Arial" w:cs="Arial"/>
          <w:bCs/>
          <w:sz w:val="20"/>
          <w:szCs w:val="20"/>
        </w:rPr>
        <w:t>696/1993</w:t>
      </w:r>
      <w:r w:rsidR="00D665CA">
        <w:rPr>
          <w:rFonts w:ascii="Arial" w:hAnsi="Arial" w:cs="Arial"/>
          <w:bCs/>
          <w:sz w:val="20"/>
          <w:szCs w:val="20"/>
        </w:rPr>
        <w:t>.</w:t>
      </w:r>
      <w:r w:rsidRPr="002207C7">
        <w:rPr>
          <w:rFonts w:ascii="Arial" w:hAnsi="Arial" w:cs="Arial"/>
          <w:bCs/>
          <w:sz w:val="20"/>
          <w:szCs w:val="20"/>
        </w:rPr>
        <w:t xml:space="preserve"> </w:t>
      </w:r>
      <w:r w:rsidRPr="00364D90">
        <w:rPr>
          <w:rFonts w:ascii="Arial" w:hAnsi="Arial" w:cs="Arial"/>
          <w:bCs/>
          <w:sz w:val="20"/>
          <w:szCs w:val="20"/>
        </w:rPr>
        <w:t xml:space="preserve"> </w:t>
      </w:r>
    </w:p>
    <w:p w14:paraId="7B72E926" w14:textId="77777777" w:rsidR="00DC3A15" w:rsidRPr="001A4023" w:rsidRDefault="00DC3A15" w:rsidP="00DC3A15">
      <w:pPr>
        <w:autoSpaceDE w:val="0"/>
        <w:autoSpaceDN w:val="0"/>
        <w:adjustRightInd w:val="0"/>
        <w:spacing w:after="120" w:line="240" w:lineRule="auto"/>
        <w:jc w:val="both"/>
        <w:rPr>
          <w:rFonts w:ascii="Arial" w:hAnsi="Arial" w:cs="Arial"/>
          <w:bCs/>
          <w:sz w:val="20"/>
          <w:szCs w:val="20"/>
        </w:rPr>
      </w:pPr>
      <w:r w:rsidRPr="00CE1815">
        <w:rPr>
          <w:rFonts w:ascii="Arial" w:hAnsi="Arial" w:cs="Arial"/>
          <w:b/>
          <w:bCs/>
          <w:color w:val="1F497D" w:themeColor="text2"/>
          <w:sz w:val="20"/>
          <w:szCs w:val="20"/>
        </w:rPr>
        <w:t xml:space="preserve">Ateco2007: </w:t>
      </w:r>
      <w:r w:rsidRPr="001A4023">
        <w:rPr>
          <w:rFonts w:ascii="Arial" w:hAnsi="Arial" w:cs="Arial"/>
          <w:bCs/>
          <w:sz w:val="20"/>
          <w:szCs w:val="20"/>
        </w:rPr>
        <w:t xml:space="preserve">è la classificazione delle attività economiche in vigore dal 1° gennaio 2008 e costituisce la versione nazionale della classificazione europea delle attività economiche Nace Rev. 2, che a sua volta corrisponde alla versione europea della Isic Rev. 4, definita e adottata in ambito Onu. La versione nazionale della classificazione ha in comune con la Nace le prime quattro cifre e con la Isic Rev. 4 le prime due, così da garantire la comparabilità a livello internazionale. I livelli di “categoria” (cinque cifre) e di “sotto-categoria” (sei cifre) sono propri della versione italiana. Attualmente, le informazioni statistiche diffuse dall’Istat e dagli altri enti del Sistan fanno riferimento solo al livello di categoria, mentre per fini amministrativi e fiscali viene utilizzata anche la sottocategoria. Informazioni specifiche sulla struttura e sulle tavole di raccordo con le classificazioni precedenti sono disponibili sul sito dell’Istat all’indirizzo </w:t>
      </w:r>
      <w:hyperlink r:id="rId19" w:history="1">
        <w:r w:rsidRPr="00CE5670">
          <w:rPr>
            <w:rFonts w:ascii="Arial" w:hAnsi="Arial" w:cs="Arial"/>
            <w:bCs/>
            <w:sz w:val="20"/>
            <w:szCs w:val="20"/>
          </w:rPr>
          <w:t>https://www.istat.it/classificazione/documenti-ateco/</w:t>
        </w:r>
      </w:hyperlink>
      <w:r w:rsidRPr="001A4023">
        <w:rPr>
          <w:rFonts w:ascii="Arial" w:hAnsi="Arial" w:cs="Arial"/>
          <w:bCs/>
          <w:sz w:val="20"/>
          <w:szCs w:val="20"/>
        </w:rPr>
        <w:t>.</w:t>
      </w:r>
    </w:p>
    <w:p w14:paraId="02674DB8" w14:textId="0976C706" w:rsidR="00DC3A15" w:rsidRDefault="00DC3A15" w:rsidP="00DC3A15">
      <w:pPr>
        <w:autoSpaceDE w:val="0"/>
        <w:autoSpaceDN w:val="0"/>
        <w:adjustRightInd w:val="0"/>
        <w:spacing w:after="120" w:line="240" w:lineRule="auto"/>
        <w:jc w:val="both"/>
        <w:rPr>
          <w:rFonts w:ascii="Arial" w:hAnsi="Arial" w:cs="Arial"/>
          <w:b/>
          <w:bCs/>
          <w:color w:val="1F497D" w:themeColor="text2"/>
          <w:sz w:val="20"/>
          <w:szCs w:val="20"/>
        </w:rPr>
      </w:pPr>
      <w:r w:rsidRPr="00CE1815">
        <w:rPr>
          <w:rFonts w:ascii="Arial" w:hAnsi="Arial" w:cs="Arial"/>
          <w:b/>
          <w:bCs/>
          <w:color w:val="1F497D" w:themeColor="text2"/>
          <w:sz w:val="20"/>
          <w:szCs w:val="20"/>
        </w:rPr>
        <w:t xml:space="preserve">Ateco2007 - Aggiornamento 2022: </w:t>
      </w:r>
      <w:r w:rsidR="00733154">
        <w:rPr>
          <w:rFonts w:ascii="Arial" w:hAnsi="Arial" w:cs="Arial"/>
          <w:bCs/>
          <w:sz w:val="20"/>
          <w:szCs w:val="20"/>
        </w:rPr>
        <w:t>n</w:t>
      </w:r>
      <w:r w:rsidRPr="001A4023">
        <w:rPr>
          <w:rFonts w:ascii="Arial" w:hAnsi="Arial" w:cs="Arial"/>
          <w:bCs/>
          <w:sz w:val="20"/>
          <w:szCs w:val="20"/>
        </w:rPr>
        <w:t xml:space="preserve">el 2020 l’Istat ha avviato un progetto per l’aggiornamento periodico delle categorie (V cifra) e sottocategorie (VI cifra) della classificazione; il primo aggiornamento della struttura della classificazione delle attività economiche (Ateco2007, aggiornamento 2021) è stato adottato a partire dal 1° gennaio 2021 e il successivo (Ateco2007, aggiornamento 2022) a partire dal 1° aprile 2022; tale classificazione è utilizzata per la produzione di dati statistici relativi agli anni di riferimento 2022-2024. A partire dal 1° gennaio 2025 è entrata in vigore la nuova classificazione Ateco </w:t>
      </w:r>
      <w:r w:rsidR="001D1831" w:rsidRPr="001A4023">
        <w:rPr>
          <w:rFonts w:ascii="Arial" w:hAnsi="Arial" w:cs="Arial"/>
          <w:bCs/>
          <w:sz w:val="20"/>
          <w:szCs w:val="20"/>
        </w:rPr>
        <w:t>2025</w:t>
      </w:r>
      <w:r w:rsidR="001D1831">
        <w:rPr>
          <w:rFonts w:ascii="Arial" w:hAnsi="Arial" w:cs="Arial"/>
          <w:bCs/>
          <w:sz w:val="20"/>
          <w:szCs w:val="20"/>
        </w:rPr>
        <w:t xml:space="preserve"> </w:t>
      </w:r>
      <w:r w:rsidR="001D1831" w:rsidRPr="001A4023">
        <w:rPr>
          <w:rFonts w:ascii="Arial" w:hAnsi="Arial" w:cs="Arial"/>
          <w:bCs/>
          <w:sz w:val="20"/>
          <w:szCs w:val="20"/>
        </w:rPr>
        <w:t>https://www.istat.it/classificazione/classificazionedelle-attivita-economiche-</w:t>
      </w:r>
      <w:r w:rsidR="001D1831" w:rsidRPr="001D1831">
        <w:rPr>
          <w:rFonts w:ascii="Arial" w:hAnsi="Arial" w:cs="Arial"/>
          <w:bCs/>
          <w:sz w:val="20"/>
          <w:szCs w:val="20"/>
        </w:rPr>
        <w:t>ateco</w:t>
      </w:r>
      <w:r w:rsidRPr="001D1831">
        <w:rPr>
          <w:rFonts w:ascii="Arial" w:hAnsi="Arial" w:cs="Arial"/>
          <w:bCs/>
          <w:sz w:val="20"/>
          <w:szCs w:val="20"/>
        </w:rPr>
        <w:t>/. Allineata con la Nace Rev. 2.1 risultato di una complessa operazione di revisione avviata a livello internazionale</w:t>
      </w:r>
      <w:r w:rsidRPr="001A4023">
        <w:rPr>
          <w:rFonts w:ascii="Arial" w:hAnsi="Arial" w:cs="Arial"/>
          <w:bCs/>
          <w:sz w:val="20"/>
          <w:szCs w:val="20"/>
        </w:rPr>
        <w:t xml:space="preserve"> dal 2018.</w:t>
      </w:r>
      <w:r w:rsidRPr="00CE1815">
        <w:rPr>
          <w:rFonts w:ascii="Arial" w:hAnsi="Arial" w:cs="Arial"/>
          <w:b/>
          <w:bCs/>
          <w:color w:val="1F497D" w:themeColor="text2"/>
          <w:sz w:val="20"/>
          <w:szCs w:val="20"/>
        </w:rPr>
        <w:t xml:space="preserve">  </w:t>
      </w:r>
    </w:p>
    <w:p w14:paraId="501D4982" w14:textId="77777777" w:rsidR="00DC3A15" w:rsidRDefault="00DC3A15" w:rsidP="00DC3A15">
      <w:pPr>
        <w:autoSpaceDE w:val="0"/>
        <w:autoSpaceDN w:val="0"/>
        <w:adjustRightInd w:val="0"/>
        <w:spacing w:after="120" w:line="240" w:lineRule="auto"/>
        <w:jc w:val="both"/>
        <w:rPr>
          <w:rFonts w:ascii="Arial" w:hAnsi="Arial" w:cs="Arial"/>
          <w:b/>
          <w:bCs/>
          <w:color w:val="1F497D" w:themeColor="text2"/>
          <w:sz w:val="20"/>
          <w:szCs w:val="20"/>
        </w:rPr>
      </w:pPr>
      <w:r w:rsidRPr="00CE1815">
        <w:rPr>
          <w:rFonts w:ascii="Arial" w:hAnsi="Arial" w:cs="Arial"/>
          <w:b/>
          <w:bCs/>
          <w:color w:val="1F497D" w:themeColor="text2"/>
          <w:sz w:val="20"/>
          <w:szCs w:val="20"/>
        </w:rPr>
        <w:t xml:space="preserve">Attività economica: </w:t>
      </w:r>
      <w:r w:rsidRPr="001A4023">
        <w:rPr>
          <w:rFonts w:ascii="Arial" w:hAnsi="Arial" w:cs="Arial"/>
          <w:bCs/>
          <w:sz w:val="20"/>
          <w:szCs w:val="20"/>
        </w:rPr>
        <w:t>è la combinazione di risorse - quali attrezzature, manodopera, tecniche di fabbricazione, reti di informazione o di prodotti - che porta alla creazione di specifici beni o servizi. Ai fini della produzione di informazione statistica, le imprese sono classificate per attività economica esclusiva o principale, secondo il criterio della prevalenza, in base ad un livello specifico della nomenclatura Ateco in vigore, che costituisce la versione nazionale della classificazione europea delle attività economiche Nace. Quando, nell’ambito di una stessa unità, sono esercitate più attività economiche, la prevalenza è individuata sulla base della quota prevalente di valore aggiunto creata o, in mancanza di tale dato, sulla base del fatturato, del numero medio annuo di addetti, delle spese per il personale o delle retribuzioni lorde.</w:t>
      </w:r>
      <w:r w:rsidRPr="00CE1815">
        <w:rPr>
          <w:rFonts w:ascii="Arial" w:hAnsi="Arial" w:cs="Arial"/>
          <w:b/>
          <w:bCs/>
          <w:color w:val="1F497D" w:themeColor="text2"/>
          <w:sz w:val="20"/>
          <w:szCs w:val="20"/>
        </w:rPr>
        <w:t xml:space="preserve">  </w:t>
      </w:r>
    </w:p>
    <w:p w14:paraId="0E99ECE1" w14:textId="77777777" w:rsidR="00DC3A15" w:rsidRPr="0096462D" w:rsidRDefault="00DC3A15" w:rsidP="00DC3A15">
      <w:pPr>
        <w:autoSpaceDE w:val="0"/>
        <w:autoSpaceDN w:val="0"/>
        <w:adjustRightInd w:val="0"/>
        <w:spacing w:after="120" w:line="240" w:lineRule="auto"/>
        <w:jc w:val="both"/>
        <w:rPr>
          <w:rFonts w:ascii="Arial" w:hAnsi="Arial" w:cs="Arial"/>
          <w:bCs/>
          <w:sz w:val="20"/>
          <w:szCs w:val="20"/>
        </w:rPr>
      </w:pPr>
      <w:r w:rsidRPr="0096462D">
        <w:rPr>
          <w:rFonts w:ascii="Arial" w:hAnsi="Arial" w:cs="Arial"/>
          <w:b/>
          <w:bCs/>
          <w:color w:val="1F497D" w:themeColor="text2"/>
          <w:sz w:val="20"/>
          <w:szCs w:val="20"/>
        </w:rPr>
        <w:t>Attività economica ancillare:</w:t>
      </w:r>
      <w:r w:rsidRPr="0096462D">
        <w:rPr>
          <w:rFonts w:ascii="Arial" w:hAnsi="Arial" w:cs="Arial"/>
          <w:bCs/>
          <w:sz w:val="20"/>
          <w:szCs w:val="20"/>
        </w:rPr>
        <w:t xml:space="preserve"> attività di una unità giuridica di un gruppo a supporto esclusivo e indispensabile per lo svolgimento del processo produttivo. Sono ancillari quelle attività svolte dall’unità giuridica al fine di consentire e facilitare la produzione di beni e servizi; le attività ancillari producono beni e servizi che non sono oggetto di transazione sul mercato al di fuori del gruppo; le unità ancillari mancano di autonomia gestionale, contabile e operativa nel senso che sono prive di un’organizzazione unitaria nello svolgimento del processo produttivo.</w:t>
      </w:r>
    </w:p>
    <w:p w14:paraId="42212664"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96462D">
        <w:rPr>
          <w:rFonts w:ascii="Arial" w:hAnsi="Arial" w:cs="Arial"/>
          <w:b/>
          <w:bCs/>
          <w:color w:val="1F497D" w:themeColor="text2"/>
          <w:sz w:val="20"/>
          <w:szCs w:val="20"/>
        </w:rPr>
        <w:t>Attività economica integrata:</w:t>
      </w:r>
      <w:r w:rsidRPr="0096462D">
        <w:rPr>
          <w:rFonts w:ascii="Arial" w:hAnsi="Arial" w:cs="Arial"/>
          <w:bCs/>
          <w:sz w:val="20"/>
          <w:szCs w:val="20"/>
        </w:rPr>
        <w:t xml:space="preserve"> attività di una unità giuridica di un gruppo per la quale l’output finale del processo produttivo viene consumato o sfruttato da un’altra unità.</w:t>
      </w:r>
    </w:p>
    <w:p w14:paraId="0CCA9C14" w14:textId="49134BD4" w:rsidR="00DC3A15" w:rsidRDefault="00DC3A15" w:rsidP="00DC3A15">
      <w:pPr>
        <w:autoSpaceDE w:val="0"/>
        <w:autoSpaceDN w:val="0"/>
        <w:adjustRightInd w:val="0"/>
        <w:spacing w:after="120" w:line="240" w:lineRule="auto"/>
        <w:jc w:val="both"/>
        <w:rPr>
          <w:rFonts w:ascii="Arial" w:hAnsi="Arial" w:cs="Arial"/>
          <w:bCs/>
          <w:sz w:val="20"/>
          <w:szCs w:val="20"/>
        </w:rPr>
      </w:pPr>
      <w:r w:rsidRPr="008F7ED5">
        <w:rPr>
          <w:rFonts w:ascii="Arial" w:hAnsi="Arial" w:cs="Arial"/>
          <w:b/>
          <w:bCs/>
          <w:i/>
          <w:color w:val="1F497D" w:themeColor="text2"/>
          <w:sz w:val="20"/>
          <w:szCs w:val="20"/>
        </w:rPr>
        <w:t>Branch</w:t>
      </w:r>
      <w:r w:rsidRPr="00364D90">
        <w:rPr>
          <w:rFonts w:ascii="Arial" w:hAnsi="Arial" w:cs="Arial"/>
          <w:b/>
          <w:bCs/>
          <w:color w:val="1F497D" w:themeColor="text2"/>
          <w:sz w:val="20"/>
          <w:szCs w:val="20"/>
        </w:rPr>
        <w:t>:</w:t>
      </w:r>
      <w:r w:rsidRPr="00364D90">
        <w:rPr>
          <w:rFonts w:ascii="Arial" w:hAnsi="Arial" w:cs="Arial"/>
          <w:bCs/>
          <w:sz w:val="20"/>
          <w:szCs w:val="20"/>
        </w:rPr>
        <w:t xml:space="preserve"> unità locale di impresa estera residente in territorio nazionale.</w:t>
      </w:r>
    </w:p>
    <w:p w14:paraId="2D3C4DA8" w14:textId="77777777" w:rsidR="00B80DFE" w:rsidRPr="009225E0" w:rsidRDefault="00B80DFE" w:rsidP="00B80DFE">
      <w:pPr>
        <w:autoSpaceDE w:val="0"/>
        <w:autoSpaceDN w:val="0"/>
        <w:adjustRightInd w:val="0"/>
        <w:spacing w:after="120" w:line="240" w:lineRule="auto"/>
        <w:jc w:val="both"/>
        <w:rPr>
          <w:rFonts w:ascii="Arial" w:hAnsi="Arial" w:cs="Arial"/>
          <w:bCs/>
          <w:sz w:val="20"/>
          <w:szCs w:val="20"/>
        </w:rPr>
      </w:pPr>
      <w:r w:rsidRPr="009225E0">
        <w:rPr>
          <w:rFonts w:ascii="Arial" w:hAnsi="Arial" w:cs="Arial"/>
          <w:b/>
          <w:bCs/>
          <w:iCs/>
          <w:color w:val="1F497D" w:themeColor="text2"/>
          <w:sz w:val="20"/>
          <w:szCs w:val="20"/>
        </w:rPr>
        <w:t xml:space="preserve">Classe di addetti: </w:t>
      </w:r>
      <w:r w:rsidRPr="009225E0">
        <w:rPr>
          <w:rFonts w:ascii="Arial" w:hAnsi="Arial" w:cs="Arial"/>
          <w:bCs/>
          <w:sz w:val="20"/>
          <w:szCs w:val="20"/>
        </w:rPr>
        <w:t>le imprese sono raggruppate per numero medio di addetti annuo nelle seguenti classi:</w:t>
      </w:r>
    </w:p>
    <w:p w14:paraId="7D7BE006" w14:textId="77777777" w:rsidR="00B80DFE" w:rsidRPr="009225E0" w:rsidRDefault="00B80DFE" w:rsidP="00B80DFE">
      <w:pPr>
        <w:pStyle w:val="Paragrafoelenco"/>
        <w:numPr>
          <w:ilvl w:val="0"/>
          <w:numId w:val="5"/>
        </w:numPr>
        <w:autoSpaceDE w:val="0"/>
        <w:autoSpaceDN w:val="0"/>
        <w:adjustRightInd w:val="0"/>
        <w:spacing w:after="120" w:line="240" w:lineRule="auto"/>
        <w:jc w:val="both"/>
        <w:rPr>
          <w:rFonts w:ascii="Arial" w:hAnsi="Arial" w:cs="Arial"/>
          <w:bCs/>
          <w:sz w:val="20"/>
          <w:szCs w:val="20"/>
        </w:rPr>
      </w:pPr>
      <w:r w:rsidRPr="009225E0">
        <w:rPr>
          <w:rFonts w:ascii="Arial" w:hAnsi="Arial" w:cs="Arial"/>
          <w:bCs/>
          <w:sz w:val="20"/>
          <w:szCs w:val="20"/>
        </w:rPr>
        <w:t>Microimprese: da 0 a 9 addetti</w:t>
      </w:r>
    </w:p>
    <w:p w14:paraId="144E36A6" w14:textId="77777777" w:rsidR="00B80DFE" w:rsidRPr="009225E0" w:rsidRDefault="00B80DFE" w:rsidP="00B80DFE">
      <w:pPr>
        <w:pStyle w:val="Paragrafoelenco"/>
        <w:numPr>
          <w:ilvl w:val="0"/>
          <w:numId w:val="5"/>
        </w:numPr>
        <w:autoSpaceDE w:val="0"/>
        <w:autoSpaceDN w:val="0"/>
        <w:adjustRightInd w:val="0"/>
        <w:spacing w:after="120" w:line="240" w:lineRule="auto"/>
        <w:jc w:val="both"/>
        <w:rPr>
          <w:rFonts w:ascii="Arial" w:hAnsi="Arial" w:cs="Arial"/>
          <w:bCs/>
          <w:sz w:val="20"/>
          <w:szCs w:val="20"/>
        </w:rPr>
      </w:pPr>
      <w:r w:rsidRPr="009225E0">
        <w:rPr>
          <w:rFonts w:ascii="Arial" w:hAnsi="Arial" w:cs="Arial"/>
          <w:bCs/>
          <w:sz w:val="20"/>
          <w:szCs w:val="20"/>
        </w:rPr>
        <w:t>Piccole imprese: da 10 a 49 addetti; sottoclassi da 10 a 19 addetti e da 20 a 49 addetti</w:t>
      </w:r>
    </w:p>
    <w:p w14:paraId="17934A82" w14:textId="77777777" w:rsidR="00B80DFE" w:rsidRPr="009225E0" w:rsidRDefault="00B80DFE" w:rsidP="00B80DFE">
      <w:pPr>
        <w:pStyle w:val="Paragrafoelenco"/>
        <w:numPr>
          <w:ilvl w:val="0"/>
          <w:numId w:val="5"/>
        </w:numPr>
        <w:autoSpaceDE w:val="0"/>
        <w:autoSpaceDN w:val="0"/>
        <w:adjustRightInd w:val="0"/>
        <w:spacing w:after="120" w:line="240" w:lineRule="auto"/>
        <w:jc w:val="both"/>
        <w:rPr>
          <w:rFonts w:ascii="Arial" w:hAnsi="Arial" w:cs="Arial"/>
          <w:bCs/>
          <w:sz w:val="20"/>
          <w:szCs w:val="20"/>
        </w:rPr>
      </w:pPr>
      <w:r w:rsidRPr="009225E0">
        <w:rPr>
          <w:rFonts w:ascii="Arial" w:hAnsi="Arial" w:cs="Arial"/>
          <w:bCs/>
          <w:sz w:val="20"/>
          <w:szCs w:val="20"/>
        </w:rPr>
        <w:t>Medie imprese: da 50 a 249 addetti</w:t>
      </w:r>
    </w:p>
    <w:p w14:paraId="089E2CA7" w14:textId="77777777" w:rsidR="00B80DFE" w:rsidRPr="009225E0" w:rsidRDefault="00B80DFE" w:rsidP="00B80DFE">
      <w:pPr>
        <w:pStyle w:val="Paragrafoelenco"/>
        <w:numPr>
          <w:ilvl w:val="0"/>
          <w:numId w:val="5"/>
        </w:numPr>
        <w:autoSpaceDE w:val="0"/>
        <w:autoSpaceDN w:val="0"/>
        <w:adjustRightInd w:val="0"/>
        <w:spacing w:after="120" w:line="240" w:lineRule="auto"/>
        <w:jc w:val="both"/>
        <w:rPr>
          <w:rFonts w:ascii="Arial" w:hAnsi="Arial" w:cs="Arial"/>
          <w:bCs/>
          <w:sz w:val="20"/>
          <w:szCs w:val="20"/>
        </w:rPr>
      </w:pPr>
      <w:r w:rsidRPr="009225E0">
        <w:rPr>
          <w:rFonts w:ascii="Arial" w:hAnsi="Arial" w:cs="Arial"/>
          <w:bCs/>
          <w:sz w:val="20"/>
          <w:szCs w:val="20"/>
        </w:rPr>
        <w:t>Grandi imprese: 250 addetti e oltre</w:t>
      </w:r>
    </w:p>
    <w:p w14:paraId="53D26542"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Pr>
          <w:rFonts w:ascii="Arial" w:hAnsi="Arial" w:cs="Arial"/>
          <w:b/>
          <w:bCs/>
          <w:color w:val="1F497D" w:themeColor="text2"/>
          <w:sz w:val="20"/>
          <w:szCs w:val="20"/>
        </w:rPr>
        <w:t>Co</w:t>
      </w:r>
      <w:r w:rsidRPr="00364D90">
        <w:rPr>
          <w:rFonts w:ascii="Arial" w:hAnsi="Arial" w:cs="Arial"/>
          <w:b/>
          <w:bCs/>
          <w:color w:val="1F497D" w:themeColor="text2"/>
          <w:sz w:val="20"/>
          <w:szCs w:val="20"/>
        </w:rPr>
        <w:t>ntrollante:</w:t>
      </w:r>
      <w:r w:rsidRPr="00364D90">
        <w:rPr>
          <w:rFonts w:ascii="Arial" w:hAnsi="Arial" w:cs="Arial"/>
          <w:bCs/>
          <w:sz w:val="20"/>
          <w:szCs w:val="20"/>
        </w:rPr>
        <w:t xml:space="preserve"> l’unità istituzionale (persona fisica o giuridica) che esercita il controllo ai sensi dell’articolo 2359 del </w:t>
      </w:r>
      <w:r>
        <w:rPr>
          <w:rFonts w:ascii="Arial" w:hAnsi="Arial" w:cs="Arial"/>
          <w:bCs/>
          <w:sz w:val="20"/>
          <w:szCs w:val="20"/>
        </w:rPr>
        <w:t>C</w:t>
      </w:r>
      <w:r w:rsidRPr="00364D90">
        <w:rPr>
          <w:rFonts w:ascii="Arial" w:hAnsi="Arial" w:cs="Arial"/>
          <w:bCs/>
          <w:sz w:val="20"/>
          <w:szCs w:val="20"/>
        </w:rPr>
        <w:t>odice civile.</w:t>
      </w:r>
    </w:p>
    <w:p w14:paraId="49838572"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Pr>
          <w:rFonts w:ascii="Arial" w:hAnsi="Arial" w:cs="Arial"/>
          <w:b/>
          <w:bCs/>
          <w:color w:val="1F497D" w:themeColor="text2"/>
          <w:sz w:val="20"/>
          <w:szCs w:val="20"/>
        </w:rPr>
        <w:t>Controllata</w:t>
      </w:r>
      <w:r w:rsidRPr="00364D90">
        <w:rPr>
          <w:rFonts w:ascii="Arial" w:hAnsi="Arial" w:cs="Arial"/>
          <w:b/>
          <w:bCs/>
          <w:color w:val="1F497D" w:themeColor="text2"/>
          <w:sz w:val="20"/>
          <w:szCs w:val="20"/>
        </w:rPr>
        <w:t>:</w:t>
      </w:r>
      <w:r w:rsidRPr="00364D90">
        <w:rPr>
          <w:rFonts w:ascii="Arial" w:hAnsi="Arial" w:cs="Arial"/>
          <w:bCs/>
          <w:sz w:val="20"/>
          <w:szCs w:val="20"/>
        </w:rPr>
        <w:t xml:space="preserve"> l’unità giuridica controllata direttamente o indirettamente dal vertice.</w:t>
      </w:r>
    </w:p>
    <w:p w14:paraId="55A3328A" w14:textId="77777777" w:rsidR="00DC3A15"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Costo del lavoro:</w:t>
      </w:r>
      <w:r w:rsidRPr="00364D90">
        <w:rPr>
          <w:rFonts w:ascii="Arial" w:hAnsi="Arial" w:cs="Arial"/>
          <w:bCs/>
          <w:sz w:val="20"/>
          <w:szCs w:val="20"/>
        </w:rPr>
        <w:t xml:space="preserve"> comprende tutte le voci che costituiscono la retribuzione lorda del personale dipendente (dirigenti, quadri, impiegati, operai, commessi, apprendisti e lavoranti a domicilio): paga base, indennità di contingenza e altre indennità similari per la parte non conglobata, interessenze, lavoro straordinario, compensi per ferie e festività, gratifiche natalizie, mensilità oltre la dodicesima e altre analoghe erogazioni e corresponsioni in natura. Sono inoltre incluse le spese per contributi sociali al netto di eventuali fiscalizzazioni, le provvidenze varie, le quote accantonate nell’esercizio per provvedere alla successiva corresponsione delle indennità di fine rapporto lavoro e le spese sociali varie (nidi di infanzia, colonie marine e montane, ecc</w:t>
      </w:r>
      <w:r>
        <w:rPr>
          <w:rFonts w:ascii="Arial" w:hAnsi="Arial" w:cs="Arial"/>
          <w:bCs/>
          <w:sz w:val="20"/>
          <w:szCs w:val="20"/>
        </w:rPr>
        <w:t>.</w:t>
      </w:r>
      <w:r w:rsidRPr="00364D90">
        <w:rPr>
          <w:rFonts w:ascii="Arial" w:hAnsi="Arial" w:cs="Arial"/>
          <w:bCs/>
          <w:sz w:val="20"/>
          <w:szCs w:val="20"/>
        </w:rPr>
        <w:t>).</w:t>
      </w:r>
    </w:p>
    <w:p w14:paraId="70D6C6F3" w14:textId="2DA08C3F" w:rsidR="00DC3A15" w:rsidRPr="00671F69" w:rsidRDefault="00DC3A15" w:rsidP="00DC3A15">
      <w:pPr>
        <w:autoSpaceDE w:val="0"/>
        <w:autoSpaceDN w:val="0"/>
        <w:adjustRightInd w:val="0"/>
        <w:spacing w:after="120" w:line="240" w:lineRule="auto"/>
        <w:jc w:val="both"/>
        <w:rPr>
          <w:rFonts w:ascii="Arial" w:hAnsi="Arial" w:cs="Arial"/>
          <w:bCs/>
          <w:color w:val="1F497D" w:themeColor="text2"/>
          <w:sz w:val="20"/>
          <w:szCs w:val="20"/>
        </w:rPr>
      </w:pPr>
      <w:r w:rsidRPr="00875EF4">
        <w:rPr>
          <w:rFonts w:ascii="Arial" w:hAnsi="Arial" w:cs="Arial"/>
          <w:b/>
          <w:bCs/>
          <w:color w:val="1F497D" w:themeColor="text2"/>
          <w:sz w:val="20"/>
          <w:szCs w:val="20"/>
        </w:rPr>
        <w:t xml:space="preserve">Costi per acquisto di beni e servizi: </w:t>
      </w:r>
      <w:r w:rsidRPr="00875EF4">
        <w:rPr>
          <w:rFonts w:ascii="Arial" w:hAnsi="Arial" w:cs="Arial"/>
          <w:bCs/>
          <w:sz w:val="20"/>
          <w:szCs w:val="20"/>
        </w:rPr>
        <w:t>i costi per acquisto di beni comprendono: costi per l’acquisto di materie prime, sussidiarie e di consumo</w:t>
      </w:r>
      <w:r w:rsidR="00CE5670" w:rsidRPr="00875EF4">
        <w:rPr>
          <w:rFonts w:ascii="Arial" w:hAnsi="Arial" w:cs="Arial"/>
          <w:bCs/>
          <w:sz w:val="20"/>
          <w:szCs w:val="20"/>
        </w:rPr>
        <w:t>;</w:t>
      </w:r>
      <w:r w:rsidRPr="00875EF4">
        <w:rPr>
          <w:rFonts w:ascii="Arial" w:hAnsi="Arial" w:cs="Arial"/>
          <w:bCs/>
          <w:sz w:val="20"/>
          <w:szCs w:val="20"/>
        </w:rPr>
        <w:t xml:space="preserve"> costi per acquisti di prodotti energetici utilizzati nel processo produttivo come combustibili</w:t>
      </w:r>
      <w:r w:rsidR="006A5C5F" w:rsidRPr="00875EF4">
        <w:rPr>
          <w:rFonts w:ascii="Arial" w:hAnsi="Arial" w:cs="Arial"/>
          <w:bCs/>
          <w:sz w:val="20"/>
          <w:szCs w:val="20"/>
        </w:rPr>
        <w:t>;</w:t>
      </w:r>
      <w:r w:rsidRPr="00875EF4">
        <w:rPr>
          <w:rFonts w:ascii="Arial" w:hAnsi="Arial" w:cs="Arial"/>
          <w:bCs/>
          <w:sz w:val="20"/>
          <w:szCs w:val="20"/>
        </w:rPr>
        <w:t xml:space="preserve"> costi per acquisti di prodotti (merci) da rivendere senza trasformazione</w:t>
      </w:r>
      <w:r w:rsidR="00CE5670" w:rsidRPr="00875EF4">
        <w:rPr>
          <w:rFonts w:ascii="Arial" w:hAnsi="Arial" w:cs="Arial"/>
          <w:bCs/>
          <w:sz w:val="20"/>
          <w:szCs w:val="20"/>
        </w:rPr>
        <w:t>.</w:t>
      </w:r>
      <w:r w:rsidR="006A5C5F" w:rsidRPr="00875EF4">
        <w:rPr>
          <w:rFonts w:ascii="Arial" w:hAnsi="Arial" w:cs="Arial"/>
          <w:bCs/>
          <w:sz w:val="20"/>
          <w:szCs w:val="20"/>
        </w:rPr>
        <w:t xml:space="preserve"> </w:t>
      </w:r>
      <w:r w:rsidR="00CE5670" w:rsidRPr="00875EF4">
        <w:rPr>
          <w:rFonts w:ascii="Arial" w:hAnsi="Arial" w:cs="Arial"/>
          <w:bCs/>
          <w:sz w:val="20"/>
          <w:szCs w:val="20"/>
        </w:rPr>
        <w:t>I</w:t>
      </w:r>
      <w:r w:rsidR="006A5C5F" w:rsidRPr="00875EF4">
        <w:rPr>
          <w:rFonts w:ascii="Arial" w:hAnsi="Arial" w:cs="Arial"/>
          <w:bCs/>
          <w:sz w:val="20"/>
          <w:szCs w:val="20"/>
        </w:rPr>
        <w:t xml:space="preserve"> costi per acquisto di servizi</w:t>
      </w:r>
      <w:r w:rsidR="00CE5670" w:rsidRPr="00875EF4">
        <w:rPr>
          <w:rFonts w:ascii="Arial" w:hAnsi="Arial" w:cs="Arial"/>
          <w:bCs/>
          <w:sz w:val="20"/>
          <w:szCs w:val="20"/>
        </w:rPr>
        <w:t xml:space="preserve"> comprendono le spese sostenute per l’acquisizione dei servizi necessari allo svolgimento dell’attività dell’impresa: a titolo di esempio, spese di trasporto, pubblicità e promozione, studi e ricerche, consulenze. </w:t>
      </w:r>
    </w:p>
    <w:p w14:paraId="7A9B4AEA" w14:textId="77777777" w:rsidR="00DC3A15" w:rsidRPr="0089468C" w:rsidRDefault="00DC3A15" w:rsidP="00DC3A15">
      <w:pPr>
        <w:autoSpaceDE w:val="0"/>
        <w:autoSpaceDN w:val="0"/>
        <w:adjustRightInd w:val="0"/>
        <w:spacing w:after="120" w:line="240" w:lineRule="auto"/>
        <w:jc w:val="both"/>
        <w:rPr>
          <w:rFonts w:ascii="Arial" w:hAnsi="Arial" w:cs="Arial"/>
          <w:bCs/>
          <w:sz w:val="20"/>
          <w:szCs w:val="20"/>
        </w:rPr>
      </w:pPr>
      <w:r w:rsidRPr="00D50C37">
        <w:rPr>
          <w:rFonts w:ascii="Arial" w:hAnsi="Arial" w:cs="Arial"/>
          <w:b/>
          <w:bCs/>
          <w:color w:val="1F497D" w:themeColor="text2"/>
          <w:sz w:val="20"/>
          <w:szCs w:val="20"/>
        </w:rPr>
        <w:t>Dimensione del gruppo “grande”:</w:t>
      </w:r>
      <w:r w:rsidRPr="0089468C">
        <w:rPr>
          <w:rFonts w:ascii="Arial" w:hAnsi="Arial" w:cs="Arial"/>
          <w:bCs/>
          <w:sz w:val="20"/>
          <w:szCs w:val="20"/>
        </w:rPr>
        <w:t xml:space="preserve"> il gruppo di grande dimensione supera i limiti numerici di almeno due dei tre criteri seguenti:</w:t>
      </w:r>
    </w:p>
    <w:p w14:paraId="3295EFEA" w14:textId="77777777" w:rsidR="00DC3A15" w:rsidRPr="0089468C" w:rsidRDefault="00DC3A15" w:rsidP="00DC3A15">
      <w:pPr>
        <w:autoSpaceDE w:val="0"/>
        <w:autoSpaceDN w:val="0"/>
        <w:adjustRightInd w:val="0"/>
        <w:spacing w:after="0" w:line="240" w:lineRule="auto"/>
        <w:jc w:val="both"/>
        <w:rPr>
          <w:rFonts w:ascii="Arial" w:hAnsi="Arial" w:cs="Arial"/>
          <w:bCs/>
          <w:sz w:val="20"/>
          <w:szCs w:val="20"/>
        </w:rPr>
      </w:pPr>
      <w:r w:rsidRPr="0089468C">
        <w:rPr>
          <w:rFonts w:ascii="Arial" w:hAnsi="Arial" w:cs="Arial"/>
          <w:bCs/>
          <w:sz w:val="20"/>
          <w:szCs w:val="20"/>
        </w:rPr>
        <w:t>a) totale dello stato patrimoniale: 20.000.000 euro;</w:t>
      </w:r>
    </w:p>
    <w:p w14:paraId="3D21B60E" w14:textId="77777777" w:rsidR="00DC3A15" w:rsidRPr="0089468C" w:rsidRDefault="00DC3A15" w:rsidP="00DC3A15">
      <w:pPr>
        <w:autoSpaceDE w:val="0"/>
        <w:autoSpaceDN w:val="0"/>
        <w:adjustRightInd w:val="0"/>
        <w:spacing w:after="0" w:line="240" w:lineRule="auto"/>
        <w:jc w:val="both"/>
        <w:rPr>
          <w:rFonts w:ascii="Arial" w:hAnsi="Arial" w:cs="Arial"/>
          <w:bCs/>
          <w:sz w:val="20"/>
          <w:szCs w:val="20"/>
        </w:rPr>
      </w:pPr>
      <w:r w:rsidRPr="0089468C">
        <w:rPr>
          <w:rFonts w:ascii="Arial" w:hAnsi="Arial" w:cs="Arial"/>
          <w:bCs/>
          <w:sz w:val="20"/>
          <w:szCs w:val="20"/>
        </w:rPr>
        <w:t>b) ricavi netti delle vendite e delle prestazioni: 40.000.000 euro;</w:t>
      </w:r>
    </w:p>
    <w:p w14:paraId="51520CF4" w14:textId="77777777" w:rsidR="00DC3A15" w:rsidRDefault="00DC3A15" w:rsidP="00DC3A15">
      <w:pPr>
        <w:autoSpaceDE w:val="0"/>
        <w:autoSpaceDN w:val="0"/>
        <w:adjustRightInd w:val="0"/>
        <w:spacing w:after="120" w:line="240" w:lineRule="auto"/>
        <w:jc w:val="both"/>
        <w:rPr>
          <w:rFonts w:ascii="Arial" w:hAnsi="Arial" w:cs="Arial"/>
          <w:bCs/>
          <w:sz w:val="20"/>
          <w:szCs w:val="20"/>
        </w:rPr>
      </w:pPr>
      <w:r w:rsidRPr="0089468C">
        <w:rPr>
          <w:rFonts w:ascii="Arial" w:hAnsi="Arial" w:cs="Arial"/>
          <w:bCs/>
          <w:sz w:val="20"/>
          <w:szCs w:val="20"/>
        </w:rPr>
        <w:t>c) numero medio dei dipendenti occupati durante l'esercizio: 250.</w:t>
      </w:r>
    </w:p>
    <w:p w14:paraId="53C7CC9F" w14:textId="77777777" w:rsidR="00DC3A15" w:rsidRPr="0089468C" w:rsidRDefault="00DC3A15" w:rsidP="00DC3A15">
      <w:pPr>
        <w:autoSpaceDE w:val="0"/>
        <w:autoSpaceDN w:val="0"/>
        <w:adjustRightInd w:val="0"/>
        <w:spacing w:after="120" w:line="240" w:lineRule="auto"/>
        <w:jc w:val="both"/>
        <w:rPr>
          <w:rFonts w:ascii="Arial" w:hAnsi="Arial" w:cs="Arial"/>
          <w:bCs/>
          <w:sz w:val="20"/>
          <w:szCs w:val="20"/>
        </w:rPr>
      </w:pPr>
      <w:r w:rsidRPr="00D50C37">
        <w:rPr>
          <w:rFonts w:ascii="Arial" w:hAnsi="Arial" w:cs="Arial"/>
          <w:b/>
          <w:bCs/>
          <w:color w:val="1F497D" w:themeColor="text2"/>
          <w:sz w:val="20"/>
          <w:szCs w:val="20"/>
        </w:rPr>
        <w:t>Dimensione del gruppo “media”:</w:t>
      </w:r>
      <w:r w:rsidRPr="0089468C">
        <w:rPr>
          <w:rFonts w:ascii="Arial" w:hAnsi="Arial" w:cs="Arial"/>
          <w:bCs/>
          <w:sz w:val="20"/>
          <w:szCs w:val="20"/>
        </w:rPr>
        <w:t xml:space="preserve"> il gruppo di media dimensione non supera i limiti numerici di almeno due dei tre criteri seguenti:</w:t>
      </w:r>
    </w:p>
    <w:p w14:paraId="3301E3C0" w14:textId="77777777" w:rsidR="00DC3A15" w:rsidRPr="0089468C" w:rsidRDefault="00DC3A15" w:rsidP="00DC3A15">
      <w:pPr>
        <w:autoSpaceDE w:val="0"/>
        <w:autoSpaceDN w:val="0"/>
        <w:adjustRightInd w:val="0"/>
        <w:spacing w:after="0" w:line="240" w:lineRule="auto"/>
        <w:jc w:val="both"/>
        <w:rPr>
          <w:rFonts w:ascii="Arial" w:hAnsi="Arial" w:cs="Arial"/>
          <w:bCs/>
          <w:sz w:val="20"/>
          <w:szCs w:val="20"/>
        </w:rPr>
      </w:pPr>
      <w:r w:rsidRPr="0089468C">
        <w:rPr>
          <w:rFonts w:ascii="Arial" w:hAnsi="Arial" w:cs="Arial"/>
          <w:bCs/>
          <w:sz w:val="20"/>
          <w:szCs w:val="20"/>
        </w:rPr>
        <w:t>a) totale dello stato patrimoniale: 20.000.000 euro;</w:t>
      </w:r>
    </w:p>
    <w:p w14:paraId="6A8B1D7B" w14:textId="77777777" w:rsidR="00DC3A15" w:rsidRPr="0089468C" w:rsidRDefault="00DC3A15" w:rsidP="00DC3A15">
      <w:pPr>
        <w:autoSpaceDE w:val="0"/>
        <w:autoSpaceDN w:val="0"/>
        <w:adjustRightInd w:val="0"/>
        <w:spacing w:after="0" w:line="240" w:lineRule="auto"/>
        <w:jc w:val="both"/>
        <w:rPr>
          <w:rFonts w:ascii="Arial" w:hAnsi="Arial" w:cs="Arial"/>
          <w:bCs/>
          <w:sz w:val="20"/>
          <w:szCs w:val="20"/>
        </w:rPr>
      </w:pPr>
      <w:r w:rsidRPr="0089468C">
        <w:rPr>
          <w:rFonts w:ascii="Arial" w:hAnsi="Arial" w:cs="Arial"/>
          <w:bCs/>
          <w:sz w:val="20"/>
          <w:szCs w:val="20"/>
        </w:rPr>
        <w:t>b) ricavi netti delle vendite e delle prestazioni: 40.000.000 euro;</w:t>
      </w:r>
    </w:p>
    <w:p w14:paraId="75F6E4A0" w14:textId="77777777" w:rsidR="00DC3A15" w:rsidRPr="0089468C" w:rsidRDefault="00DC3A15" w:rsidP="00DC3A15">
      <w:pPr>
        <w:autoSpaceDE w:val="0"/>
        <w:autoSpaceDN w:val="0"/>
        <w:adjustRightInd w:val="0"/>
        <w:spacing w:after="120" w:line="240" w:lineRule="auto"/>
        <w:jc w:val="both"/>
        <w:rPr>
          <w:rFonts w:ascii="Arial" w:hAnsi="Arial" w:cs="Arial"/>
          <w:bCs/>
          <w:sz w:val="20"/>
          <w:szCs w:val="20"/>
        </w:rPr>
      </w:pPr>
      <w:r w:rsidRPr="0089468C">
        <w:rPr>
          <w:rFonts w:ascii="Arial" w:hAnsi="Arial" w:cs="Arial"/>
          <w:bCs/>
          <w:sz w:val="20"/>
          <w:szCs w:val="20"/>
        </w:rPr>
        <w:t>c) numero medio dei dipendenti occupati durante l'esercizio: 250.</w:t>
      </w:r>
    </w:p>
    <w:p w14:paraId="1BADD260" w14:textId="77777777" w:rsidR="00DC3A15" w:rsidRPr="0089468C" w:rsidRDefault="00DC3A15" w:rsidP="00DC3A15">
      <w:pPr>
        <w:autoSpaceDE w:val="0"/>
        <w:autoSpaceDN w:val="0"/>
        <w:adjustRightInd w:val="0"/>
        <w:spacing w:after="120" w:line="240" w:lineRule="auto"/>
        <w:jc w:val="both"/>
        <w:rPr>
          <w:rFonts w:ascii="Arial" w:hAnsi="Arial" w:cs="Arial"/>
          <w:bCs/>
          <w:sz w:val="20"/>
          <w:szCs w:val="20"/>
        </w:rPr>
      </w:pPr>
      <w:r w:rsidRPr="00D50C37">
        <w:rPr>
          <w:rFonts w:ascii="Arial" w:hAnsi="Arial" w:cs="Arial"/>
          <w:b/>
          <w:bCs/>
          <w:color w:val="1F497D" w:themeColor="text2"/>
          <w:sz w:val="20"/>
          <w:szCs w:val="20"/>
        </w:rPr>
        <w:t>Dimensione del gruppo “piccola”:</w:t>
      </w:r>
      <w:r w:rsidRPr="0089468C">
        <w:rPr>
          <w:rFonts w:ascii="Arial" w:hAnsi="Arial" w:cs="Arial"/>
          <w:bCs/>
          <w:sz w:val="20"/>
          <w:szCs w:val="20"/>
        </w:rPr>
        <w:t xml:space="preserve"> il gruppo di piccola dimensione non supera i limiti numerici di almeno due dei tre criteri seguenti:</w:t>
      </w:r>
    </w:p>
    <w:p w14:paraId="766C7747" w14:textId="77777777" w:rsidR="00DC3A15" w:rsidRPr="0089468C" w:rsidRDefault="00DC3A15" w:rsidP="00DC3A15">
      <w:pPr>
        <w:autoSpaceDE w:val="0"/>
        <w:autoSpaceDN w:val="0"/>
        <w:adjustRightInd w:val="0"/>
        <w:spacing w:after="0" w:line="240" w:lineRule="auto"/>
        <w:jc w:val="both"/>
        <w:rPr>
          <w:rFonts w:ascii="Arial" w:hAnsi="Arial" w:cs="Arial"/>
          <w:bCs/>
          <w:sz w:val="20"/>
          <w:szCs w:val="20"/>
        </w:rPr>
      </w:pPr>
      <w:r w:rsidRPr="0089468C">
        <w:rPr>
          <w:rFonts w:ascii="Arial" w:hAnsi="Arial" w:cs="Arial"/>
          <w:bCs/>
          <w:sz w:val="20"/>
          <w:szCs w:val="20"/>
        </w:rPr>
        <w:t>a) totale dello stato patrimoniale: 4.000.000 euro;</w:t>
      </w:r>
    </w:p>
    <w:p w14:paraId="3A28C6CB" w14:textId="77777777" w:rsidR="00DC3A15" w:rsidRPr="0089468C" w:rsidRDefault="00DC3A15" w:rsidP="00DC3A15">
      <w:pPr>
        <w:autoSpaceDE w:val="0"/>
        <w:autoSpaceDN w:val="0"/>
        <w:adjustRightInd w:val="0"/>
        <w:spacing w:after="0" w:line="240" w:lineRule="auto"/>
        <w:jc w:val="both"/>
        <w:rPr>
          <w:rFonts w:ascii="Arial" w:hAnsi="Arial" w:cs="Arial"/>
          <w:bCs/>
          <w:sz w:val="20"/>
          <w:szCs w:val="20"/>
        </w:rPr>
      </w:pPr>
      <w:r w:rsidRPr="0089468C">
        <w:rPr>
          <w:rFonts w:ascii="Arial" w:hAnsi="Arial" w:cs="Arial"/>
          <w:bCs/>
          <w:sz w:val="20"/>
          <w:szCs w:val="20"/>
        </w:rPr>
        <w:t>b) ricavi netti delle vendite e delle prestazioni: 8.000.000 euro;</w:t>
      </w:r>
    </w:p>
    <w:p w14:paraId="495F3815" w14:textId="77777777" w:rsidR="00DC3A15" w:rsidRDefault="00DC3A15" w:rsidP="00DC3A15">
      <w:pPr>
        <w:autoSpaceDE w:val="0"/>
        <w:autoSpaceDN w:val="0"/>
        <w:adjustRightInd w:val="0"/>
        <w:spacing w:after="120" w:line="240" w:lineRule="auto"/>
        <w:jc w:val="both"/>
        <w:rPr>
          <w:rFonts w:ascii="Arial" w:hAnsi="Arial" w:cs="Arial"/>
          <w:bCs/>
          <w:sz w:val="20"/>
          <w:szCs w:val="20"/>
        </w:rPr>
      </w:pPr>
      <w:r w:rsidRPr="0089468C">
        <w:rPr>
          <w:rFonts w:ascii="Arial" w:hAnsi="Arial" w:cs="Arial"/>
          <w:bCs/>
          <w:sz w:val="20"/>
          <w:szCs w:val="20"/>
        </w:rPr>
        <w:t>c) numero medio dei dipendenti occupati durante l'esercizio: 50.</w:t>
      </w:r>
      <w:r w:rsidRPr="002E451C">
        <w:rPr>
          <w:rFonts w:ascii="Arial" w:hAnsi="Arial" w:cs="Arial"/>
          <w:bCs/>
          <w:sz w:val="20"/>
          <w:szCs w:val="20"/>
        </w:rPr>
        <w:t xml:space="preserve"> </w:t>
      </w:r>
    </w:p>
    <w:p w14:paraId="64F74B67"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Dipendente:</w:t>
      </w:r>
      <w:r w:rsidRPr="00364D90">
        <w:rPr>
          <w:rFonts w:ascii="Arial" w:hAnsi="Arial" w:cs="Arial"/>
          <w:bCs/>
          <w:sz w:val="20"/>
          <w:szCs w:val="20"/>
        </w:rPr>
        <w:t xml:space="preserve"> persona che svolge la propria attività lavorativa in un’unità </w:t>
      </w:r>
      <w:r>
        <w:rPr>
          <w:rFonts w:ascii="Arial" w:hAnsi="Arial" w:cs="Arial"/>
          <w:bCs/>
          <w:sz w:val="20"/>
          <w:szCs w:val="20"/>
        </w:rPr>
        <w:t>giuridica</w:t>
      </w:r>
      <w:r w:rsidRPr="00364D90">
        <w:rPr>
          <w:rFonts w:ascii="Arial" w:hAnsi="Arial" w:cs="Arial"/>
          <w:bCs/>
          <w:sz w:val="20"/>
          <w:szCs w:val="20"/>
        </w:rPr>
        <w:t xml:space="preserve"> ed è iscritta ne</w:t>
      </w:r>
      <w:r>
        <w:rPr>
          <w:rFonts w:ascii="Arial" w:hAnsi="Arial" w:cs="Arial"/>
          <w:bCs/>
          <w:sz w:val="20"/>
          <w:szCs w:val="20"/>
        </w:rPr>
        <w:t>l</w:t>
      </w:r>
      <w:r w:rsidRPr="00364D90">
        <w:rPr>
          <w:rFonts w:ascii="Arial" w:hAnsi="Arial" w:cs="Arial"/>
          <w:bCs/>
          <w:sz w:val="20"/>
          <w:szCs w:val="20"/>
        </w:rPr>
        <w:t xml:space="preserve"> libr</w:t>
      </w:r>
      <w:r>
        <w:rPr>
          <w:rFonts w:ascii="Arial" w:hAnsi="Arial" w:cs="Arial"/>
          <w:bCs/>
          <w:sz w:val="20"/>
          <w:szCs w:val="20"/>
        </w:rPr>
        <w:t>o</w:t>
      </w:r>
      <w:r w:rsidRPr="00364D90">
        <w:rPr>
          <w:rFonts w:ascii="Arial" w:hAnsi="Arial" w:cs="Arial"/>
          <w:bCs/>
          <w:sz w:val="20"/>
          <w:szCs w:val="20"/>
        </w:rPr>
        <w:t xml:space="preserve"> paga dell’impresa o istituzione. Sono considerati tra i lavoratori dipendenti:</w:t>
      </w:r>
    </w:p>
    <w:p w14:paraId="7E149D15" w14:textId="77777777" w:rsidR="00DC3A15" w:rsidRPr="00364D90" w:rsidRDefault="00DC3A15" w:rsidP="00DC3A15">
      <w:pPr>
        <w:autoSpaceDE w:val="0"/>
        <w:autoSpaceDN w:val="0"/>
        <w:adjustRightInd w:val="0"/>
        <w:spacing w:after="0" w:line="240" w:lineRule="auto"/>
        <w:jc w:val="both"/>
        <w:rPr>
          <w:rFonts w:ascii="Arial" w:hAnsi="Arial" w:cs="Arial"/>
          <w:bCs/>
          <w:sz w:val="20"/>
          <w:szCs w:val="20"/>
        </w:rPr>
      </w:pPr>
      <w:r w:rsidRPr="00364D90">
        <w:rPr>
          <w:rFonts w:ascii="Arial" w:hAnsi="Arial" w:cs="Arial"/>
          <w:bCs/>
          <w:sz w:val="20"/>
          <w:szCs w:val="20"/>
        </w:rPr>
        <w:t>- i soci di cooperativa iscritti nel libro paga;</w:t>
      </w:r>
    </w:p>
    <w:p w14:paraId="77DB39B1" w14:textId="77777777" w:rsidR="00DC3A15" w:rsidRPr="00364D90" w:rsidRDefault="00DC3A15" w:rsidP="00DC3A15">
      <w:pPr>
        <w:autoSpaceDE w:val="0"/>
        <w:autoSpaceDN w:val="0"/>
        <w:adjustRightInd w:val="0"/>
        <w:spacing w:after="0" w:line="240" w:lineRule="auto"/>
        <w:jc w:val="both"/>
        <w:rPr>
          <w:rFonts w:ascii="Arial" w:hAnsi="Arial" w:cs="Arial"/>
          <w:bCs/>
          <w:sz w:val="20"/>
          <w:szCs w:val="20"/>
        </w:rPr>
      </w:pPr>
      <w:r w:rsidRPr="00364D90">
        <w:rPr>
          <w:rFonts w:ascii="Arial" w:hAnsi="Arial" w:cs="Arial"/>
          <w:bCs/>
          <w:sz w:val="20"/>
          <w:szCs w:val="20"/>
        </w:rPr>
        <w:t>- i dirigenti, i quadri, gli impiegati e gli operai, a tempo pieno o parziale;</w:t>
      </w:r>
    </w:p>
    <w:p w14:paraId="3041404D" w14:textId="77777777" w:rsidR="00DC3A15" w:rsidRPr="00364D90" w:rsidRDefault="00DC3A15" w:rsidP="00DC3A15">
      <w:pPr>
        <w:autoSpaceDE w:val="0"/>
        <w:autoSpaceDN w:val="0"/>
        <w:adjustRightInd w:val="0"/>
        <w:spacing w:after="0" w:line="240" w:lineRule="auto"/>
        <w:jc w:val="both"/>
        <w:rPr>
          <w:rFonts w:ascii="Arial" w:hAnsi="Arial" w:cs="Arial"/>
          <w:bCs/>
          <w:sz w:val="20"/>
          <w:szCs w:val="20"/>
        </w:rPr>
      </w:pPr>
      <w:r w:rsidRPr="00364D90">
        <w:rPr>
          <w:rFonts w:ascii="Arial" w:hAnsi="Arial" w:cs="Arial"/>
          <w:bCs/>
          <w:sz w:val="20"/>
          <w:szCs w:val="20"/>
        </w:rPr>
        <w:t>- gli apprendisti;</w:t>
      </w:r>
    </w:p>
    <w:p w14:paraId="524C8D55" w14:textId="77777777" w:rsidR="00DC3A15" w:rsidRPr="00364D90" w:rsidRDefault="00DC3A15" w:rsidP="00DC3A15">
      <w:pPr>
        <w:autoSpaceDE w:val="0"/>
        <w:autoSpaceDN w:val="0"/>
        <w:adjustRightInd w:val="0"/>
        <w:spacing w:after="0" w:line="240" w:lineRule="auto"/>
        <w:jc w:val="both"/>
        <w:rPr>
          <w:rFonts w:ascii="Arial" w:hAnsi="Arial" w:cs="Arial"/>
          <w:bCs/>
          <w:sz w:val="20"/>
          <w:szCs w:val="20"/>
        </w:rPr>
      </w:pPr>
      <w:r w:rsidRPr="00364D90">
        <w:rPr>
          <w:rFonts w:ascii="Arial" w:hAnsi="Arial" w:cs="Arial"/>
          <w:bCs/>
          <w:sz w:val="20"/>
          <w:szCs w:val="20"/>
        </w:rPr>
        <w:t>- i lavoratori a domicilio iscritti nel libro paga;</w:t>
      </w:r>
    </w:p>
    <w:p w14:paraId="5DD6DB08" w14:textId="77777777" w:rsidR="00DC3A15" w:rsidRPr="00364D90" w:rsidRDefault="00DC3A15" w:rsidP="00DC3A15">
      <w:pPr>
        <w:autoSpaceDE w:val="0"/>
        <w:autoSpaceDN w:val="0"/>
        <w:adjustRightInd w:val="0"/>
        <w:spacing w:after="0" w:line="240" w:lineRule="auto"/>
        <w:jc w:val="both"/>
        <w:rPr>
          <w:rFonts w:ascii="Arial" w:hAnsi="Arial" w:cs="Arial"/>
          <w:bCs/>
          <w:sz w:val="20"/>
          <w:szCs w:val="20"/>
        </w:rPr>
      </w:pPr>
      <w:r w:rsidRPr="00364D90">
        <w:rPr>
          <w:rFonts w:ascii="Arial" w:hAnsi="Arial" w:cs="Arial"/>
          <w:bCs/>
          <w:sz w:val="20"/>
          <w:szCs w:val="20"/>
        </w:rPr>
        <w:t>- i lavoratori stagionali;</w:t>
      </w:r>
    </w:p>
    <w:p w14:paraId="169DA3FE" w14:textId="77777777" w:rsidR="00DC3A15" w:rsidRPr="002E451C"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Cs/>
          <w:sz w:val="20"/>
          <w:szCs w:val="20"/>
        </w:rPr>
        <w:t>- i lavoratori con contratto di formazione lavoro.</w:t>
      </w:r>
      <w:r w:rsidRPr="002E451C">
        <w:rPr>
          <w:rFonts w:ascii="Arial" w:hAnsi="Arial" w:cs="Arial"/>
          <w:bCs/>
          <w:sz w:val="20"/>
          <w:szCs w:val="20"/>
        </w:rPr>
        <w:t xml:space="preserve"> </w:t>
      </w:r>
    </w:p>
    <w:p w14:paraId="38A8F1D5" w14:textId="77777777" w:rsidR="00DC3A15" w:rsidRDefault="00DC3A15" w:rsidP="00DC3A15">
      <w:pPr>
        <w:autoSpaceDE w:val="0"/>
        <w:autoSpaceDN w:val="0"/>
        <w:adjustRightInd w:val="0"/>
        <w:spacing w:after="120" w:line="240" w:lineRule="auto"/>
        <w:jc w:val="both"/>
        <w:rPr>
          <w:rFonts w:ascii="Arial" w:hAnsi="Arial" w:cs="Arial"/>
          <w:b/>
          <w:bCs/>
          <w:color w:val="1F497D" w:themeColor="text2"/>
          <w:sz w:val="20"/>
          <w:szCs w:val="20"/>
        </w:rPr>
      </w:pPr>
      <w:r w:rsidRPr="00752144">
        <w:rPr>
          <w:rFonts w:ascii="Arial" w:hAnsi="Arial" w:cs="Arial"/>
          <w:b/>
          <w:bCs/>
          <w:i/>
          <w:color w:val="1F497D" w:themeColor="text2"/>
          <w:sz w:val="20"/>
          <w:szCs w:val="20"/>
        </w:rPr>
        <w:t>Ent</w:t>
      </w:r>
      <w:r>
        <w:rPr>
          <w:rFonts w:ascii="Arial" w:hAnsi="Arial" w:cs="Arial"/>
          <w:b/>
          <w:bCs/>
          <w:color w:val="1F497D" w:themeColor="text2"/>
          <w:sz w:val="20"/>
          <w:szCs w:val="20"/>
        </w:rPr>
        <w:t xml:space="preserve">: </w:t>
      </w:r>
      <w:r w:rsidRPr="00E76FFF">
        <w:rPr>
          <w:rFonts w:ascii="Arial" w:hAnsi="Arial" w:cs="Arial"/>
          <w:bCs/>
          <w:sz w:val="20"/>
          <w:szCs w:val="20"/>
        </w:rPr>
        <w:t xml:space="preserve">dal termine in lingua inglese </w:t>
      </w:r>
      <w:r>
        <w:rPr>
          <w:rFonts w:ascii="Arial" w:hAnsi="Arial" w:cs="Arial"/>
          <w:bCs/>
          <w:sz w:val="20"/>
          <w:szCs w:val="20"/>
        </w:rPr>
        <w:t>“</w:t>
      </w:r>
      <w:r w:rsidRPr="00E76FFF">
        <w:rPr>
          <w:rFonts w:ascii="Arial" w:hAnsi="Arial" w:cs="Arial"/>
          <w:bCs/>
          <w:i/>
          <w:sz w:val="20"/>
          <w:szCs w:val="20"/>
        </w:rPr>
        <w:t>enterprise</w:t>
      </w:r>
      <w:r>
        <w:rPr>
          <w:rFonts w:ascii="Arial" w:hAnsi="Arial" w:cs="Arial"/>
          <w:bCs/>
          <w:i/>
          <w:sz w:val="20"/>
          <w:szCs w:val="20"/>
        </w:rPr>
        <w:t>”</w:t>
      </w:r>
      <w:r w:rsidRPr="00E76FFF">
        <w:rPr>
          <w:rFonts w:ascii="Arial" w:hAnsi="Arial" w:cs="Arial"/>
          <w:bCs/>
          <w:sz w:val="20"/>
          <w:szCs w:val="20"/>
        </w:rPr>
        <w:t xml:space="preserve"> (vedi </w:t>
      </w:r>
      <w:r>
        <w:rPr>
          <w:rFonts w:ascii="Arial" w:hAnsi="Arial" w:cs="Arial"/>
          <w:bCs/>
          <w:sz w:val="20"/>
          <w:szCs w:val="20"/>
        </w:rPr>
        <w:t>I</w:t>
      </w:r>
      <w:r w:rsidRPr="00E76FFF">
        <w:rPr>
          <w:rFonts w:ascii="Arial" w:hAnsi="Arial" w:cs="Arial"/>
          <w:bCs/>
          <w:sz w:val="20"/>
          <w:szCs w:val="20"/>
        </w:rPr>
        <w:t>mpresa)</w:t>
      </w:r>
    </w:p>
    <w:p w14:paraId="445258D0" w14:textId="11194618"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Fatturato:</w:t>
      </w:r>
      <w:r w:rsidRPr="00364D90">
        <w:rPr>
          <w:rFonts w:ascii="Arial" w:hAnsi="Arial" w:cs="Arial"/>
          <w:bCs/>
          <w:sz w:val="20"/>
          <w:szCs w:val="20"/>
        </w:rPr>
        <w:t xml:space="preserve"> comprende le vendite di prodotti fabbricati dall’impresa, gli introiti per lavorazioni eseguite per conto terzi, gli introiti per eventuali prestazioni a terzi di servizi non industriali (commissioni, noleggi di macchinari, ecc</w:t>
      </w:r>
      <w:r>
        <w:rPr>
          <w:rFonts w:ascii="Arial" w:hAnsi="Arial" w:cs="Arial"/>
          <w:bCs/>
          <w:sz w:val="20"/>
          <w:szCs w:val="20"/>
        </w:rPr>
        <w:t>.</w:t>
      </w:r>
      <w:r w:rsidRPr="00364D90">
        <w:rPr>
          <w:rFonts w:ascii="Arial" w:hAnsi="Arial" w:cs="Arial"/>
          <w:bCs/>
          <w:sz w:val="20"/>
          <w:szCs w:val="20"/>
        </w:rPr>
        <w:t xml:space="preserve">), le vendite di merci acquistate in nome proprio e rivendute senza trasformazione, le commissioni, provvigioni e altri compensi per vendite di beni per conto terzi, gli introiti lordi del traffico e le prestazioni di servizi a terzi. Il fatturato viene richiesto al lordo di tutte le spese addebitate ai clienti (trasporti, imballaggi, assicurazioni e simili) e di tutte le imposte indirette (fabbricazione, consumo, eccetera) ad eccezione dell’IVA fatturata ai clienti, al netto degli abbuoni e sconti accordati ai clienti e delle merci rese; sono esclusi anche i rimborsi di imposte all’esportazione, gli interessi di mora e quelli sulle vendite rateali. Il valore dei lavori eseguiti nel corso dell’esercizio da parte delle imprese di costruzione e cantieristiche </w:t>
      </w:r>
      <w:r w:rsidR="008A6AC0" w:rsidRPr="00364D90">
        <w:rPr>
          <w:rFonts w:ascii="Arial" w:hAnsi="Arial" w:cs="Arial"/>
          <w:bCs/>
          <w:sz w:val="20"/>
          <w:szCs w:val="20"/>
        </w:rPr>
        <w:t>è conglobato</w:t>
      </w:r>
      <w:r w:rsidRPr="00364D90">
        <w:rPr>
          <w:rFonts w:ascii="Arial" w:hAnsi="Arial" w:cs="Arial"/>
          <w:bCs/>
          <w:sz w:val="20"/>
          <w:szCs w:val="20"/>
        </w:rPr>
        <w:t xml:space="preserve"> nel valore complessivo del fatturato.</w:t>
      </w:r>
    </w:p>
    <w:p w14:paraId="2625F4A3"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Fatturato esportato:</w:t>
      </w:r>
      <w:r w:rsidRPr="00364D90">
        <w:rPr>
          <w:rFonts w:ascii="Arial" w:hAnsi="Arial" w:cs="Arial"/>
          <w:bCs/>
          <w:sz w:val="20"/>
          <w:szCs w:val="20"/>
        </w:rPr>
        <w:t xml:space="preserve"> ammontare del fatturato dovuto all’esportazione di beni.</w:t>
      </w:r>
    </w:p>
    <w:p w14:paraId="1926D939" w14:textId="77777777" w:rsidR="00DC3A15" w:rsidRPr="00875FA8" w:rsidRDefault="00DC3A15" w:rsidP="00DC3A15">
      <w:pPr>
        <w:autoSpaceDE w:val="0"/>
        <w:autoSpaceDN w:val="0"/>
        <w:adjustRightInd w:val="0"/>
        <w:spacing w:after="120" w:line="240" w:lineRule="auto"/>
        <w:jc w:val="both"/>
        <w:rPr>
          <w:rFonts w:ascii="Arial" w:hAnsi="Arial" w:cs="Arial"/>
          <w:bCs/>
          <w:sz w:val="20"/>
          <w:szCs w:val="20"/>
        </w:rPr>
      </w:pPr>
      <w:r w:rsidRPr="00875FA8">
        <w:rPr>
          <w:rFonts w:ascii="Arial" w:hAnsi="Arial" w:cs="Arial"/>
          <w:b/>
          <w:bCs/>
          <w:color w:val="1F497D" w:themeColor="text2"/>
          <w:sz w:val="20"/>
          <w:szCs w:val="20"/>
        </w:rPr>
        <w:t xml:space="preserve">Frame Ent: </w:t>
      </w:r>
      <w:r w:rsidRPr="00875FA8">
        <w:rPr>
          <w:rFonts w:ascii="Arial" w:hAnsi="Arial" w:cs="Arial"/>
          <w:bCs/>
          <w:sz w:val="20"/>
          <w:szCs w:val="20"/>
        </w:rPr>
        <w:t>sistema informativo complesso (registro esteso) che contiene i microdati sulle principali variabili economiche delle imprese definite come Ent (Regolamento Ue n. 2152/2019, che ha abrogato il Regolamento Ue n.295/2008 per le statistiche strutturali SBS, e Regolamento U</w:t>
      </w:r>
      <w:r>
        <w:rPr>
          <w:rFonts w:ascii="Arial" w:hAnsi="Arial" w:cs="Arial"/>
          <w:bCs/>
          <w:sz w:val="20"/>
          <w:szCs w:val="20"/>
        </w:rPr>
        <w:t>e</w:t>
      </w:r>
      <w:r w:rsidRPr="00875FA8">
        <w:rPr>
          <w:rFonts w:ascii="Arial" w:hAnsi="Arial" w:cs="Arial"/>
          <w:bCs/>
          <w:sz w:val="20"/>
          <w:szCs w:val="20"/>
        </w:rPr>
        <w:t xml:space="preserve"> 696/1993).</w:t>
      </w:r>
    </w:p>
    <w:p w14:paraId="0268288B" w14:textId="77777777" w:rsidR="00DC3A15" w:rsidRPr="009D684F" w:rsidRDefault="00DC3A15" w:rsidP="00DC3A15">
      <w:pPr>
        <w:autoSpaceDE w:val="0"/>
        <w:autoSpaceDN w:val="0"/>
        <w:adjustRightInd w:val="0"/>
        <w:spacing w:after="120" w:line="240" w:lineRule="auto"/>
        <w:jc w:val="both"/>
        <w:rPr>
          <w:rFonts w:ascii="Arial" w:hAnsi="Arial" w:cs="Arial"/>
          <w:b/>
          <w:bCs/>
          <w:color w:val="1F497D" w:themeColor="text2"/>
          <w:sz w:val="20"/>
          <w:szCs w:val="20"/>
        </w:rPr>
      </w:pPr>
      <w:r w:rsidRPr="00875FA8">
        <w:rPr>
          <w:rFonts w:ascii="Arial" w:hAnsi="Arial" w:cs="Arial"/>
          <w:b/>
          <w:bCs/>
          <w:color w:val="1F497D" w:themeColor="text2"/>
          <w:sz w:val="20"/>
          <w:szCs w:val="20"/>
        </w:rPr>
        <w:t xml:space="preserve">Frame SBS: </w:t>
      </w:r>
      <w:r w:rsidRPr="00875FA8">
        <w:rPr>
          <w:rFonts w:ascii="Arial" w:hAnsi="Arial" w:cs="Arial"/>
          <w:bCs/>
          <w:sz w:val="20"/>
          <w:szCs w:val="20"/>
        </w:rPr>
        <w:t>sistema informativo complesso (registro esteso) che contiene i microdati sulle principali variabili economiche delle imprese individuate come singole unità giuridiche.</w:t>
      </w:r>
    </w:p>
    <w:p w14:paraId="70E7FEE3"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8912C8">
        <w:rPr>
          <w:rFonts w:ascii="Arial" w:hAnsi="Arial" w:cs="Arial"/>
          <w:b/>
          <w:bCs/>
          <w:i/>
          <w:color w:val="1F497D" w:themeColor="text2"/>
          <w:sz w:val="20"/>
          <w:szCs w:val="20"/>
        </w:rPr>
        <w:t xml:space="preserve">Global </w:t>
      </w:r>
      <w:r w:rsidRPr="00EA2F52">
        <w:rPr>
          <w:rFonts w:ascii="Arial" w:hAnsi="Arial" w:cs="Arial"/>
          <w:b/>
          <w:bCs/>
          <w:i/>
          <w:color w:val="1F497D" w:themeColor="text2"/>
          <w:sz w:val="20"/>
          <w:szCs w:val="20"/>
        </w:rPr>
        <w:t>decision center (GDC)</w:t>
      </w:r>
      <w:r w:rsidRPr="0079390F">
        <w:rPr>
          <w:rFonts w:ascii="Arial" w:hAnsi="Arial" w:cs="Arial"/>
          <w:b/>
          <w:bCs/>
          <w:color w:val="1F497D" w:themeColor="text2"/>
          <w:sz w:val="20"/>
          <w:szCs w:val="20"/>
        </w:rPr>
        <w:t>:</w:t>
      </w:r>
      <w:r w:rsidRPr="00364D90">
        <w:rPr>
          <w:rFonts w:ascii="Arial" w:hAnsi="Arial" w:cs="Arial"/>
          <w:bCs/>
          <w:sz w:val="20"/>
          <w:szCs w:val="20"/>
        </w:rPr>
        <w:t xml:space="preserve"> l’impresa che all’interno della struttura del gruppo detta la linea strategica del gruppo. Il GDC può coincidere con il vertice del gruppo o trovarsi ad un livello sottostante nella struttura del gruppo. </w:t>
      </w:r>
    </w:p>
    <w:p w14:paraId="0F2A329F" w14:textId="77777777" w:rsidR="00DC3A15" w:rsidRDefault="00DC3A15" w:rsidP="00DC3A15">
      <w:pPr>
        <w:autoSpaceDE w:val="0"/>
        <w:autoSpaceDN w:val="0"/>
        <w:adjustRightInd w:val="0"/>
        <w:spacing w:after="120" w:line="240" w:lineRule="auto"/>
        <w:jc w:val="both"/>
        <w:rPr>
          <w:rFonts w:ascii="Arial" w:hAnsi="Arial" w:cs="Arial"/>
          <w:b/>
          <w:bCs/>
          <w:color w:val="1F497D" w:themeColor="text2"/>
          <w:sz w:val="20"/>
          <w:szCs w:val="20"/>
        </w:rPr>
      </w:pPr>
      <w:r w:rsidRPr="00F71E76">
        <w:rPr>
          <w:rFonts w:ascii="Arial" w:hAnsi="Arial" w:cs="Arial"/>
          <w:b/>
          <w:bCs/>
          <w:i/>
          <w:color w:val="1F497D" w:themeColor="text2"/>
          <w:sz w:val="20"/>
          <w:szCs w:val="20"/>
        </w:rPr>
        <w:t>Governance</w:t>
      </w:r>
      <w:r w:rsidRPr="0089468C">
        <w:rPr>
          <w:rFonts w:ascii="Arial" w:hAnsi="Arial" w:cs="Arial"/>
          <w:b/>
          <w:bCs/>
          <w:color w:val="1F497D" w:themeColor="text2"/>
          <w:sz w:val="20"/>
          <w:szCs w:val="20"/>
        </w:rPr>
        <w:t xml:space="preserve"> del gruppo: </w:t>
      </w:r>
      <w:r w:rsidRPr="00BF37AA">
        <w:rPr>
          <w:rFonts w:ascii="Arial" w:hAnsi="Arial" w:cs="Arial"/>
          <w:bCs/>
          <w:sz w:val="20"/>
          <w:szCs w:val="20"/>
        </w:rPr>
        <w:t xml:space="preserve">il paese in cui risiede il </w:t>
      </w:r>
      <w:r w:rsidRPr="00BF37AA">
        <w:rPr>
          <w:rFonts w:ascii="Arial" w:hAnsi="Arial" w:cs="Arial"/>
          <w:bCs/>
          <w:i/>
          <w:sz w:val="20"/>
          <w:szCs w:val="20"/>
        </w:rPr>
        <w:t>Global decision center</w:t>
      </w:r>
      <w:r w:rsidRPr="00BF37AA">
        <w:rPr>
          <w:rFonts w:ascii="Arial" w:hAnsi="Arial" w:cs="Arial"/>
          <w:bCs/>
          <w:sz w:val="20"/>
          <w:szCs w:val="20"/>
        </w:rPr>
        <w:t xml:space="preserve"> del gruppo, nazionale o estero. Vedi Gruppo multinazionale con </w:t>
      </w:r>
      <w:r w:rsidRPr="00BF37AA">
        <w:rPr>
          <w:rFonts w:ascii="Arial" w:hAnsi="Arial" w:cs="Arial"/>
          <w:bCs/>
          <w:i/>
          <w:sz w:val="20"/>
          <w:szCs w:val="20"/>
        </w:rPr>
        <w:t>governance</w:t>
      </w:r>
      <w:r w:rsidRPr="00BF37AA">
        <w:rPr>
          <w:rFonts w:ascii="Arial" w:hAnsi="Arial" w:cs="Arial"/>
          <w:bCs/>
          <w:sz w:val="20"/>
          <w:szCs w:val="20"/>
        </w:rPr>
        <w:t xml:space="preserve"> italiana / estera.</w:t>
      </w:r>
    </w:p>
    <w:p w14:paraId="60E4B462"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9225E0">
        <w:rPr>
          <w:rFonts w:ascii="Arial" w:hAnsi="Arial" w:cs="Arial"/>
          <w:b/>
          <w:bCs/>
          <w:color w:val="1F497D" w:themeColor="text2"/>
          <w:sz w:val="20"/>
          <w:szCs w:val="20"/>
        </w:rPr>
        <w:t>Grande impresa:</w:t>
      </w:r>
      <w:r w:rsidRPr="009225E0">
        <w:rPr>
          <w:rFonts w:ascii="Arial" w:hAnsi="Arial" w:cs="Arial"/>
          <w:bCs/>
          <w:sz w:val="20"/>
          <w:szCs w:val="20"/>
        </w:rPr>
        <w:t xml:space="preserve"> impresa con 250 addetti e oltre che produce beni e servizi destinabili alla vendita.</w:t>
      </w:r>
    </w:p>
    <w:p w14:paraId="40E8FD67"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Gruppo di impresa:</w:t>
      </w:r>
      <w:r w:rsidRPr="00364D90">
        <w:rPr>
          <w:rFonts w:ascii="Arial" w:hAnsi="Arial" w:cs="Arial"/>
          <w:bCs/>
          <w:sz w:val="20"/>
          <w:szCs w:val="20"/>
        </w:rPr>
        <w:t xml:space="preserve"> associazione di unità </w:t>
      </w:r>
      <w:r>
        <w:rPr>
          <w:rFonts w:ascii="Arial" w:hAnsi="Arial" w:cs="Arial"/>
          <w:bCs/>
          <w:sz w:val="20"/>
          <w:szCs w:val="20"/>
        </w:rPr>
        <w:t>giuridica</w:t>
      </w:r>
      <w:r w:rsidRPr="00364D90">
        <w:rPr>
          <w:rFonts w:ascii="Arial" w:hAnsi="Arial" w:cs="Arial"/>
          <w:bCs/>
          <w:sz w:val="20"/>
          <w:szCs w:val="20"/>
        </w:rPr>
        <w:t xml:space="preserve"> controllate da un’unità vertice; il Regolamento comunitario </w:t>
      </w:r>
      <w:r>
        <w:rPr>
          <w:rFonts w:ascii="Arial" w:hAnsi="Arial" w:cs="Arial"/>
          <w:bCs/>
          <w:sz w:val="20"/>
          <w:szCs w:val="20"/>
        </w:rPr>
        <w:br/>
      </w:r>
      <w:r w:rsidRPr="00364D90">
        <w:rPr>
          <w:rFonts w:ascii="Arial" w:hAnsi="Arial" w:cs="Arial"/>
          <w:bCs/>
          <w:sz w:val="20"/>
          <w:szCs w:val="20"/>
        </w:rPr>
        <w:t xml:space="preserve">n. 696/1993 definisce il gruppo di impresa come </w:t>
      </w:r>
      <w:r>
        <w:rPr>
          <w:rFonts w:ascii="Arial" w:hAnsi="Arial" w:cs="Arial"/>
          <w:bCs/>
          <w:sz w:val="20"/>
          <w:szCs w:val="20"/>
        </w:rPr>
        <w:t>“</w:t>
      </w:r>
      <w:r w:rsidRPr="00364D90">
        <w:rPr>
          <w:rFonts w:ascii="Arial" w:hAnsi="Arial" w:cs="Arial"/>
          <w:bCs/>
          <w:sz w:val="20"/>
          <w:szCs w:val="20"/>
        </w:rPr>
        <w:t>un’associazione di imprese retta da legami di tipo finanziario e non avente diversi centri decisionali, in particolare per quel che concerne la politica della produzione, della vendita, degli utili</w:t>
      </w:r>
      <w:r>
        <w:rPr>
          <w:rFonts w:ascii="Arial" w:hAnsi="Arial" w:cs="Arial"/>
          <w:bCs/>
          <w:sz w:val="20"/>
          <w:szCs w:val="20"/>
        </w:rPr>
        <w:t>”</w:t>
      </w:r>
      <w:r w:rsidRPr="00364D90">
        <w:rPr>
          <w:rFonts w:ascii="Arial" w:hAnsi="Arial" w:cs="Arial"/>
          <w:bCs/>
          <w:sz w:val="20"/>
          <w:szCs w:val="20"/>
        </w:rPr>
        <w:t xml:space="preserve"> e in grado di “unificare alcuni aspetti della gestione finanziaria e della fiscalità”. Il gruppo si caratterizza come “l’entità economica che può effettuare scelte con particolare riguardo alle unità alleate che lo compongono”. </w:t>
      </w:r>
    </w:p>
    <w:p w14:paraId="454E1E2D" w14:textId="77777777" w:rsidR="00DC3A15"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Gruppo di impresa domestico:</w:t>
      </w:r>
      <w:r w:rsidRPr="00364D90">
        <w:rPr>
          <w:rFonts w:ascii="Arial" w:hAnsi="Arial" w:cs="Arial"/>
          <w:bCs/>
          <w:sz w:val="20"/>
          <w:szCs w:val="20"/>
        </w:rPr>
        <w:t xml:space="preserve"> gruppo formato soltanto da unità giuridiche residenti.</w:t>
      </w:r>
    </w:p>
    <w:p w14:paraId="60E8824E" w14:textId="77777777" w:rsidR="00DC3A15" w:rsidRPr="0089468C" w:rsidRDefault="00DC3A15" w:rsidP="00DC3A15">
      <w:pPr>
        <w:autoSpaceDE w:val="0"/>
        <w:autoSpaceDN w:val="0"/>
        <w:adjustRightInd w:val="0"/>
        <w:spacing w:after="120" w:line="240" w:lineRule="auto"/>
        <w:jc w:val="both"/>
        <w:rPr>
          <w:rFonts w:ascii="Arial" w:hAnsi="Arial" w:cs="Arial"/>
          <w:b/>
          <w:bCs/>
          <w:color w:val="1F497D" w:themeColor="text2"/>
          <w:sz w:val="20"/>
          <w:szCs w:val="20"/>
        </w:rPr>
      </w:pPr>
      <w:r w:rsidRPr="0089468C">
        <w:rPr>
          <w:rFonts w:ascii="Arial" w:hAnsi="Arial" w:cs="Arial"/>
          <w:b/>
          <w:bCs/>
          <w:color w:val="1F497D" w:themeColor="text2"/>
          <w:sz w:val="20"/>
          <w:szCs w:val="20"/>
        </w:rPr>
        <w:t xml:space="preserve">Gruppo multinazionale con </w:t>
      </w:r>
      <w:r w:rsidRPr="00F71E76">
        <w:rPr>
          <w:rFonts w:ascii="Arial" w:hAnsi="Arial" w:cs="Arial"/>
          <w:b/>
          <w:bCs/>
          <w:i/>
          <w:color w:val="1F497D" w:themeColor="text2"/>
          <w:sz w:val="20"/>
          <w:szCs w:val="20"/>
        </w:rPr>
        <w:t>governance</w:t>
      </w:r>
      <w:r w:rsidRPr="0089468C">
        <w:rPr>
          <w:rFonts w:ascii="Arial" w:hAnsi="Arial" w:cs="Arial"/>
          <w:b/>
          <w:bCs/>
          <w:color w:val="1F497D" w:themeColor="text2"/>
          <w:sz w:val="20"/>
          <w:szCs w:val="20"/>
        </w:rPr>
        <w:t xml:space="preserve"> italiana: </w:t>
      </w:r>
      <w:r w:rsidRPr="00BF37AA">
        <w:rPr>
          <w:rFonts w:ascii="Arial" w:hAnsi="Arial" w:cs="Arial"/>
          <w:bCs/>
          <w:sz w:val="20"/>
          <w:szCs w:val="20"/>
        </w:rPr>
        <w:t>gruppo di impresa che ha almeno due imprese o due unità giuridiche localizzate in paesi diversi a controllo italiano.</w:t>
      </w:r>
    </w:p>
    <w:p w14:paraId="52DBE1FF" w14:textId="77777777" w:rsidR="00DC3A15"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Gruppo multinazionale italiano</w:t>
      </w:r>
      <w:r w:rsidRPr="00364D90">
        <w:rPr>
          <w:rFonts w:ascii="Arial" w:hAnsi="Arial" w:cs="Arial"/>
          <w:bCs/>
          <w:sz w:val="20"/>
          <w:szCs w:val="20"/>
        </w:rPr>
        <w:t>: gruppo di impresa che ha almeno due imprese o due unità giuridiche localizzate in paesi diversi con vertice residente.</w:t>
      </w:r>
    </w:p>
    <w:p w14:paraId="5879D08C" w14:textId="77777777" w:rsidR="00DC3A15" w:rsidRPr="0089468C" w:rsidRDefault="00DC3A15" w:rsidP="00DC3A15">
      <w:pPr>
        <w:autoSpaceDE w:val="0"/>
        <w:autoSpaceDN w:val="0"/>
        <w:adjustRightInd w:val="0"/>
        <w:spacing w:after="120" w:line="240" w:lineRule="auto"/>
        <w:jc w:val="both"/>
        <w:rPr>
          <w:rFonts w:ascii="Arial" w:hAnsi="Arial" w:cs="Arial"/>
          <w:b/>
          <w:bCs/>
          <w:color w:val="1F497D" w:themeColor="text2"/>
          <w:sz w:val="20"/>
          <w:szCs w:val="20"/>
        </w:rPr>
      </w:pPr>
      <w:r w:rsidRPr="0089468C">
        <w:rPr>
          <w:rFonts w:ascii="Arial" w:hAnsi="Arial" w:cs="Arial"/>
          <w:b/>
          <w:bCs/>
          <w:color w:val="1F497D" w:themeColor="text2"/>
          <w:sz w:val="20"/>
          <w:szCs w:val="20"/>
        </w:rPr>
        <w:t xml:space="preserve">Gruppo multinazionale con </w:t>
      </w:r>
      <w:r w:rsidRPr="00F71E76">
        <w:rPr>
          <w:rFonts w:ascii="Arial" w:hAnsi="Arial" w:cs="Arial"/>
          <w:b/>
          <w:bCs/>
          <w:i/>
          <w:color w:val="1F497D" w:themeColor="text2"/>
          <w:sz w:val="20"/>
          <w:szCs w:val="20"/>
        </w:rPr>
        <w:t>governance</w:t>
      </w:r>
      <w:r w:rsidRPr="0089468C">
        <w:rPr>
          <w:rFonts w:ascii="Arial" w:hAnsi="Arial" w:cs="Arial"/>
          <w:b/>
          <w:bCs/>
          <w:color w:val="1F497D" w:themeColor="text2"/>
          <w:sz w:val="20"/>
          <w:szCs w:val="20"/>
        </w:rPr>
        <w:t xml:space="preserve"> estera: </w:t>
      </w:r>
      <w:r w:rsidRPr="00BF37AA">
        <w:rPr>
          <w:rFonts w:ascii="Arial" w:hAnsi="Arial" w:cs="Arial"/>
          <w:bCs/>
          <w:sz w:val="20"/>
          <w:szCs w:val="20"/>
        </w:rPr>
        <w:t>gruppo di impresa che ha almeno due imprese o due unità giuridiche localizzate in paesi diversi a controllo estero.</w:t>
      </w:r>
    </w:p>
    <w:p w14:paraId="54426DB0"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Gruppo multinazionale estero:</w:t>
      </w:r>
      <w:r w:rsidRPr="00364D90">
        <w:rPr>
          <w:rFonts w:ascii="Arial" w:hAnsi="Arial" w:cs="Arial"/>
          <w:bCs/>
          <w:sz w:val="20"/>
          <w:szCs w:val="20"/>
        </w:rPr>
        <w:t xml:space="preserve"> gruppo di impresa che ha almeno due imprese o due unità giuridiche localizzate in paesi diversi con vertice non residente.</w:t>
      </w:r>
    </w:p>
    <w:p w14:paraId="1376E92F"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Gruppo troncato:</w:t>
      </w:r>
      <w:r w:rsidRPr="00364D90">
        <w:rPr>
          <w:rFonts w:ascii="Arial" w:hAnsi="Arial" w:cs="Arial"/>
          <w:bCs/>
          <w:sz w:val="20"/>
          <w:szCs w:val="20"/>
        </w:rPr>
        <w:t xml:space="preserve"> parte del gruppo multinazionale costituito dalle unità residenti sul territorio nazionale. </w:t>
      </w:r>
    </w:p>
    <w:p w14:paraId="53DC674C"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96462D">
        <w:rPr>
          <w:rFonts w:ascii="Arial" w:hAnsi="Arial" w:cs="Arial"/>
          <w:b/>
          <w:bCs/>
          <w:color w:val="1F497D" w:themeColor="text2"/>
          <w:sz w:val="20"/>
          <w:szCs w:val="20"/>
        </w:rPr>
        <w:t xml:space="preserve">Impresa: </w:t>
      </w:r>
      <w:r>
        <w:rPr>
          <w:rFonts w:ascii="Arial" w:hAnsi="Arial" w:cs="Arial"/>
          <w:bCs/>
          <w:sz w:val="20"/>
          <w:szCs w:val="20"/>
        </w:rPr>
        <w:t>secondo il Regolamento Ue 696/93</w:t>
      </w:r>
      <w:r w:rsidRPr="0096462D">
        <w:rPr>
          <w:rFonts w:ascii="Arial" w:hAnsi="Arial" w:cs="Arial"/>
          <w:bCs/>
          <w:sz w:val="20"/>
          <w:szCs w:val="20"/>
        </w:rPr>
        <w:t xml:space="preserve"> “L'impresa corrisponde alla più piccola combinazione di unità giuridiche che costituisce un'unità organizzativa per la produzione di beni e servizi che fruisce d'una certa autonomia decisionale. In particolare per quanto attiene alla destinazione delle sue risorse correnti. Un'impresa esercita una o più attività in uno o più luoghi. Un'impresa può corrispondere a una sola unità giuridica. L'impresa è definita come un'entità economica che, in certe circostanze, può corrispondere al raggruppamento di più unità giuridiche. Certe unità giuridiche esercitano infatti attività esclusivamente a favore di un'altra entità giuridica e la loro esistenza è dovuta unicamente a ragioni amministrative (ad esempio fiscali) senza assumere rilevanza dal punto di vista economico. Rientrano in questa categoria anche una grande parte delle unità giuridiche senza posti di lavoro. Spesso le loro attività devono essere interpretate come attività ausiliarie dell'unità giuridica madre a cui essa appartengono e a cui devono essere ricollegate per costituire l</w:t>
      </w:r>
      <w:r>
        <w:rPr>
          <w:rFonts w:ascii="Arial" w:hAnsi="Arial" w:cs="Arial"/>
          <w:bCs/>
          <w:sz w:val="20"/>
          <w:szCs w:val="20"/>
        </w:rPr>
        <w:t>’</w:t>
      </w:r>
      <w:r w:rsidRPr="0096462D">
        <w:rPr>
          <w:rFonts w:ascii="Arial" w:hAnsi="Arial" w:cs="Arial"/>
          <w:bCs/>
          <w:sz w:val="20"/>
          <w:szCs w:val="20"/>
        </w:rPr>
        <w:t xml:space="preserve">entità «impresa» utilizzata per l'analisi economica” </w:t>
      </w:r>
    </w:p>
    <w:p w14:paraId="4973A36E"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Impresa attiva:</w:t>
      </w:r>
      <w:r w:rsidRPr="00364D90">
        <w:rPr>
          <w:rFonts w:ascii="Arial" w:hAnsi="Arial" w:cs="Arial"/>
          <w:bCs/>
          <w:sz w:val="20"/>
          <w:szCs w:val="20"/>
        </w:rPr>
        <w:t xml:space="preserve"> impresa che ha svolto un’attività produttiva nell’anno di riferimento.</w:t>
      </w:r>
    </w:p>
    <w:p w14:paraId="74517E1C" w14:textId="77777777" w:rsidR="00DC3A15"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Impresa esportatrice:</w:t>
      </w:r>
      <w:r w:rsidRPr="00364D90">
        <w:rPr>
          <w:rFonts w:ascii="Arial" w:hAnsi="Arial" w:cs="Arial"/>
          <w:bCs/>
          <w:sz w:val="20"/>
          <w:szCs w:val="20"/>
        </w:rPr>
        <w:t xml:space="preserve"> impresa che segnala la presenza di fatturato dovuto all’esportazione di beni.</w:t>
      </w:r>
    </w:p>
    <w:p w14:paraId="755FFF7D"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2F1521">
        <w:rPr>
          <w:rFonts w:ascii="Arial" w:hAnsi="Arial" w:cs="Arial"/>
          <w:b/>
          <w:bCs/>
          <w:color w:val="1F497D" w:themeColor="text2"/>
          <w:sz w:val="20"/>
          <w:szCs w:val="20"/>
        </w:rPr>
        <w:t>Impresa indipendente:</w:t>
      </w:r>
      <w:r>
        <w:rPr>
          <w:rFonts w:ascii="Arial" w:hAnsi="Arial" w:cs="Arial"/>
          <w:bCs/>
          <w:sz w:val="20"/>
          <w:szCs w:val="20"/>
        </w:rPr>
        <w:t xml:space="preserve"> impresa non appartenente a gruppi d’impresa.</w:t>
      </w:r>
    </w:p>
    <w:p w14:paraId="7ED96068"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Indipendenti:</w:t>
      </w:r>
      <w:r w:rsidRPr="00364D90">
        <w:rPr>
          <w:rFonts w:ascii="Arial" w:hAnsi="Arial" w:cs="Arial"/>
          <w:bCs/>
          <w:sz w:val="20"/>
          <w:szCs w:val="20"/>
        </w:rPr>
        <w:t xml:space="preserve"> sono rappresentati da: a) imprenditori, titolari, liberi professionisti, lavoratori autonomi, purché partecipino direttamente alla gestione dell’impresa e non si servano di un gestore o coadiutore o di altra persona diversamente nominata. Nel caso di società, sono la persona o le persone fisiche che risultano tali dagli atti amministrativi della società stessa (amministratore unico, consigliere delegato, ecc</w:t>
      </w:r>
      <w:r>
        <w:rPr>
          <w:rFonts w:ascii="Arial" w:hAnsi="Arial" w:cs="Arial"/>
          <w:bCs/>
          <w:sz w:val="20"/>
          <w:szCs w:val="20"/>
        </w:rPr>
        <w:t>.</w:t>
      </w:r>
      <w:r w:rsidRPr="00364D90">
        <w:rPr>
          <w:rFonts w:ascii="Arial" w:hAnsi="Arial" w:cs="Arial"/>
          <w:bCs/>
          <w:sz w:val="20"/>
          <w:szCs w:val="20"/>
        </w:rPr>
        <w:t>); b) soci di cooperativa di produzione e di lavoro i quali, come corrispettivo dell’opera prestata, non percepiscono una remunerazione regolata dai contratti di lavoro ma bensì un compenso proporzionato alla prestazione nonché una quota parte degli utili dell’impresa. In tale categoria non sono compresi i soci semplicemente iscritti o conferenti; c) coadiuvanti familiari (parenti o affini dell’imprenditore, titolare, ecc</w:t>
      </w:r>
      <w:r>
        <w:rPr>
          <w:rFonts w:ascii="Arial" w:hAnsi="Arial" w:cs="Arial"/>
          <w:bCs/>
          <w:sz w:val="20"/>
          <w:szCs w:val="20"/>
        </w:rPr>
        <w:t>.,</w:t>
      </w:r>
      <w:r w:rsidRPr="00364D90">
        <w:rPr>
          <w:rFonts w:ascii="Arial" w:hAnsi="Arial" w:cs="Arial"/>
          <w:bCs/>
          <w:sz w:val="20"/>
          <w:szCs w:val="20"/>
        </w:rPr>
        <w:t xml:space="preserve"> che prestano lavoro manuale senza una prefissata retribuzione contrattuale).</w:t>
      </w:r>
    </w:p>
    <w:p w14:paraId="74547BAD"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Investimenti fissi lordi:</w:t>
      </w:r>
      <w:r w:rsidRPr="00364D90">
        <w:rPr>
          <w:rFonts w:ascii="Arial" w:hAnsi="Arial" w:cs="Arial"/>
          <w:bCs/>
          <w:sz w:val="20"/>
          <w:szCs w:val="20"/>
        </w:rPr>
        <w:t xml:space="preserve"> misurano le acquisizioni di capitali fissi effettuate nel corso dell’anno e comprendono anche il valore dei beni capitali prodotti dall’azienda per uso proprio e delle riparazioni e manutenzioni straordinarie eseguite dall’impresa stessa sugli impianti aziendali.</w:t>
      </w:r>
    </w:p>
    <w:p w14:paraId="68198C76"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Margine operativo lordo</w:t>
      </w:r>
      <w:r>
        <w:rPr>
          <w:rFonts w:ascii="Arial" w:hAnsi="Arial" w:cs="Arial"/>
          <w:b/>
          <w:bCs/>
          <w:color w:val="1F497D" w:themeColor="text2"/>
          <w:sz w:val="20"/>
          <w:szCs w:val="20"/>
        </w:rPr>
        <w:t xml:space="preserve"> (MOL)</w:t>
      </w:r>
      <w:r w:rsidRPr="00364D90">
        <w:rPr>
          <w:rFonts w:ascii="Arial" w:hAnsi="Arial" w:cs="Arial"/>
          <w:b/>
          <w:bCs/>
          <w:color w:val="1F497D" w:themeColor="text2"/>
          <w:sz w:val="20"/>
          <w:szCs w:val="20"/>
        </w:rPr>
        <w:t>:</w:t>
      </w:r>
      <w:r w:rsidRPr="00364D90">
        <w:rPr>
          <w:rFonts w:ascii="Arial" w:hAnsi="Arial" w:cs="Arial"/>
          <w:bCs/>
          <w:sz w:val="20"/>
          <w:szCs w:val="20"/>
        </w:rPr>
        <w:t xml:space="preserve"> calcolato sottraendo il costo del lavoro al valore aggiunto, rappresenta il surplus generato dall'attività produttiva dopo aver remunerato il lavoro dipendente.</w:t>
      </w:r>
    </w:p>
    <w:p w14:paraId="0651352A" w14:textId="54ED867E" w:rsidR="000819E9" w:rsidRPr="009225E0" w:rsidRDefault="000819E9" w:rsidP="000819E9">
      <w:pPr>
        <w:autoSpaceDE w:val="0"/>
        <w:autoSpaceDN w:val="0"/>
        <w:adjustRightInd w:val="0"/>
        <w:spacing w:after="120" w:line="240" w:lineRule="auto"/>
        <w:jc w:val="both"/>
        <w:rPr>
          <w:rFonts w:ascii="Arial" w:hAnsi="Arial" w:cs="Arial"/>
          <w:bCs/>
          <w:sz w:val="20"/>
          <w:szCs w:val="20"/>
        </w:rPr>
      </w:pPr>
      <w:r w:rsidRPr="009225E0">
        <w:rPr>
          <w:rFonts w:ascii="Arial" w:hAnsi="Arial" w:cs="Arial"/>
          <w:b/>
          <w:bCs/>
          <w:color w:val="1F497D" w:themeColor="text2"/>
          <w:sz w:val="20"/>
          <w:szCs w:val="20"/>
        </w:rPr>
        <w:t>Media impresa:</w:t>
      </w:r>
      <w:r w:rsidRPr="009225E0">
        <w:rPr>
          <w:rFonts w:ascii="Arial" w:hAnsi="Arial" w:cs="Arial"/>
          <w:bCs/>
          <w:sz w:val="20"/>
          <w:szCs w:val="20"/>
        </w:rPr>
        <w:t xml:space="preserve"> impresa con 50-249 addetti che produce beni e servizi destinabili alla vendita.</w:t>
      </w:r>
    </w:p>
    <w:p w14:paraId="372E8B5F" w14:textId="71970338" w:rsidR="00DC3A15" w:rsidRDefault="00DC3A15" w:rsidP="00DC3A15">
      <w:pPr>
        <w:autoSpaceDE w:val="0"/>
        <w:autoSpaceDN w:val="0"/>
        <w:adjustRightInd w:val="0"/>
        <w:spacing w:after="120" w:line="240" w:lineRule="auto"/>
        <w:jc w:val="both"/>
        <w:rPr>
          <w:rFonts w:ascii="Arial" w:hAnsi="Arial" w:cs="Arial"/>
          <w:bCs/>
          <w:sz w:val="20"/>
          <w:szCs w:val="20"/>
        </w:rPr>
      </w:pPr>
      <w:r w:rsidRPr="009225E0">
        <w:rPr>
          <w:rFonts w:ascii="Arial" w:hAnsi="Arial" w:cs="Arial"/>
          <w:b/>
          <w:bCs/>
          <w:color w:val="1F497D" w:themeColor="text2"/>
          <w:sz w:val="20"/>
          <w:szCs w:val="20"/>
        </w:rPr>
        <w:t>Microimpresa:</w:t>
      </w:r>
      <w:r w:rsidRPr="009225E0">
        <w:rPr>
          <w:rFonts w:ascii="Arial" w:hAnsi="Arial" w:cs="Arial"/>
          <w:bCs/>
          <w:sz w:val="20"/>
          <w:szCs w:val="20"/>
        </w:rPr>
        <w:t xml:space="preserve"> impresa con meno di 10 addetti che produce beni e servizi destinabili alla vendita.</w:t>
      </w:r>
    </w:p>
    <w:p w14:paraId="0FA582B2" w14:textId="77777777" w:rsidR="00DC3A15" w:rsidRDefault="00DC3A15" w:rsidP="00DC3A15">
      <w:pPr>
        <w:autoSpaceDE w:val="0"/>
        <w:autoSpaceDN w:val="0"/>
        <w:adjustRightInd w:val="0"/>
        <w:spacing w:after="120" w:line="240" w:lineRule="auto"/>
        <w:jc w:val="both"/>
        <w:rPr>
          <w:rFonts w:ascii="Arial" w:hAnsi="Arial" w:cs="Arial"/>
          <w:bCs/>
          <w:sz w:val="20"/>
          <w:szCs w:val="20"/>
        </w:rPr>
      </w:pPr>
      <w:r w:rsidRPr="00BF37AA">
        <w:rPr>
          <w:rFonts w:ascii="Arial" w:hAnsi="Arial" w:cs="Arial"/>
          <w:b/>
          <w:bCs/>
          <w:color w:val="1F497D" w:themeColor="text2"/>
          <w:sz w:val="20"/>
          <w:szCs w:val="20"/>
        </w:rPr>
        <w:t>MNE:</w:t>
      </w:r>
      <w:r>
        <w:rPr>
          <w:rFonts w:ascii="Arial" w:hAnsi="Arial" w:cs="Arial"/>
          <w:bCs/>
          <w:sz w:val="20"/>
          <w:szCs w:val="20"/>
        </w:rPr>
        <w:t xml:space="preserve"> gruppo di impresa multinazionale.</w:t>
      </w:r>
    </w:p>
    <w:p w14:paraId="5B93AF91" w14:textId="77777777" w:rsidR="00DC3A15" w:rsidRPr="0096462D" w:rsidRDefault="00DC3A15" w:rsidP="00DC3A15">
      <w:pPr>
        <w:autoSpaceDE w:val="0"/>
        <w:autoSpaceDN w:val="0"/>
        <w:adjustRightInd w:val="0"/>
        <w:spacing w:after="120" w:line="240" w:lineRule="auto"/>
        <w:jc w:val="both"/>
        <w:rPr>
          <w:rFonts w:ascii="Arial" w:hAnsi="Arial" w:cs="Arial"/>
          <w:b/>
          <w:bCs/>
          <w:color w:val="1F497D" w:themeColor="text2"/>
          <w:sz w:val="20"/>
          <w:szCs w:val="20"/>
        </w:rPr>
      </w:pPr>
      <w:r w:rsidRPr="009C44BF">
        <w:rPr>
          <w:rFonts w:ascii="Arial" w:hAnsi="Arial" w:cs="Arial"/>
          <w:b/>
          <w:bCs/>
          <w:color w:val="1F497D" w:themeColor="text2"/>
          <w:sz w:val="20"/>
          <w:szCs w:val="20"/>
        </w:rPr>
        <w:t>MOL</w:t>
      </w:r>
      <w:r>
        <w:rPr>
          <w:rFonts w:ascii="Arial" w:hAnsi="Arial" w:cs="Arial"/>
          <w:bCs/>
          <w:sz w:val="20"/>
          <w:szCs w:val="20"/>
        </w:rPr>
        <w:t>: vedi margine operativo lordo.</w:t>
      </w:r>
    </w:p>
    <w:p w14:paraId="4BC343C3" w14:textId="77777777" w:rsidR="00DC3A15" w:rsidRPr="0096462D" w:rsidRDefault="00DC3A15" w:rsidP="00DC3A15">
      <w:pPr>
        <w:autoSpaceDE w:val="0"/>
        <w:autoSpaceDN w:val="0"/>
        <w:adjustRightInd w:val="0"/>
        <w:spacing w:after="120" w:line="240" w:lineRule="auto"/>
        <w:jc w:val="both"/>
        <w:rPr>
          <w:rFonts w:ascii="Arial" w:hAnsi="Arial" w:cs="Arial"/>
          <w:bCs/>
          <w:sz w:val="20"/>
          <w:szCs w:val="20"/>
        </w:rPr>
      </w:pPr>
      <w:r w:rsidRPr="0096462D">
        <w:rPr>
          <w:rFonts w:ascii="Arial" w:hAnsi="Arial" w:cs="Arial"/>
          <w:b/>
          <w:bCs/>
          <w:color w:val="1F497D" w:themeColor="text2"/>
          <w:sz w:val="20"/>
          <w:szCs w:val="20"/>
        </w:rPr>
        <w:t>Ore lavorate:</w:t>
      </w:r>
      <w:r w:rsidRPr="0096462D">
        <w:rPr>
          <w:rFonts w:ascii="Arial" w:hAnsi="Arial" w:cs="Arial"/>
          <w:bCs/>
          <w:sz w:val="20"/>
          <w:szCs w:val="20"/>
        </w:rPr>
        <w:t xml:space="preserve"> le ore effettivamente lavorate in tutto l</w:t>
      </w:r>
      <w:r>
        <w:rPr>
          <w:rFonts w:ascii="Arial" w:hAnsi="Arial" w:cs="Arial"/>
          <w:bCs/>
          <w:sz w:val="20"/>
          <w:szCs w:val="20"/>
        </w:rPr>
        <w:t>’</w:t>
      </w:r>
      <w:r w:rsidRPr="0096462D">
        <w:rPr>
          <w:rFonts w:ascii="Arial" w:hAnsi="Arial" w:cs="Arial"/>
          <w:bCs/>
          <w:sz w:val="20"/>
          <w:szCs w:val="20"/>
        </w:rPr>
        <w:t>anno (ordinarie, straordinarie, festive, notturne) con esclusione delle ore pagate ma non lavorate per ferie, malattia, ecc.</w:t>
      </w:r>
    </w:p>
    <w:p w14:paraId="1D0B73DF" w14:textId="1CDEF4B7" w:rsidR="00DC3A15" w:rsidRPr="0096462D" w:rsidRDefault="00DC3A15" w:rsidP="00DC3A15">
      <w:pPr>
        <w:autoSpaceDE w:val="0"/>
        <w:autoSpaceDN w:val="0"/>
        <w:adjustRightInd w:val="0"/>
        <w:spacing w:after="120" w:line="240" w:lineRule="auto"/>
        <w:jc w:val="both"/>
        <w:rPr>
          <w:rFonts w:ascii="Arial" w:hAnsi="Arial" w:cs="Arial"/>
          <w:bCs/>
          <w:sz w:val="20"/>
          <w:szCs w:val="20"/>
        </w:rPr>
      </w:pPr>
      <w:r w:rsidRPr="009225E0">
        <w:rPr>
          <w:rFonts w:ascii="Arial" w:hAnsi="Arial" w:cs="Arial"/>
          <w:b/>
          <w:bCs/>
          <w:color w:val="1F497D" w:themeColor="text2"/>
          <w:sz w:val="20"/>
          <w:szCs w:val="20"/>
        </w:rPr>
        <w:t>Piccola impresa:</w:t>
      </w:r>
      <w:r w:rsidRPr="009225E0">
        <w:rPr>
          <w:rFonts w:ascii="Arial" w:hAnsi="Arial" w:cs="Arial"/>
          <w:bCs/>
          <w:sz w:val="20"/>
          <w:szCs w:val="20"/>
        </w:rPr>
        <w:t xml:space="preserve"> impresa con 10-49 addetti che produce beni e servizi destinabili alla vendita</w:t>
      </w:r>
      <w:r w:rsidR="000819E9" w:rsidRPr="009225E0">
        <w:rPr>
          <w:rFonts w:ascii="Arial" w:hAnsi="Arial" w:cs="Arial"/>
          <w:bCs/>
          <w:sz w:val="20"/>
          <w:szCs w:val="20"/>
        </w:rPr>
        <w:t xml:space="preserve">; </w:t>
      </w:r>
      <w:r w:rsidR="006A7CF9" w:rsidRPr="009225E0">
        <w:rPr>
          <w:rFonts w:ascii="Arial" w:hAnsi="Arial" w:cs="Arial"/>
          <w:bCs/>
          <w:sz w:val="20"/>
          <w:szCs w:val="20"/>
        </w:rPr>
        <w:t>sottoclassi ulteriori utili per l’analisi: imprese con 10-19 addetti e imprese con 20-49 addetti</w:t>
      </w:r>
      <w:r w:rsidRPr="009225E0">
        <w:rPr>
          <w:rFonts w:ascii="Arial" w:hAnsi="Arial" w:cs="Arial"/>
          <w:bCs/>
          <w:sz w:val="20"/>
          <w:szCs w:val="20"/>
        </w:rPr>
        <w:t>.</w:t>
      </w:r>
    </w:p>
    <w:p w14:paraId="5B68F84B" w14:textId="77777777" w:rsidR="00DC3A15" w:rsidRPr="0096462D" w:rsidRDefault="00DC3A15" w:rsidP="00DC3A15">
      <w:pPr>
        <w:autoSpaceDE w:val="0"/>
        <w:autoSpaceDN w:val="0"/>
        <w:adjustRightInd w:val="0"/>
        <w:spacing w:after="120" w:line="240" w:lineRule="auto"/>
        <w:jc w:val="both"/>
        <w:rPr>
          <w:rFonts w:ascii="Arial" w:hAnsi="Arial" w:cs="Arial"/>
          <w:bCs/>
          <w:sz w:val="20"/>
          <w:szCs w:val="20"/>
        </w:rPr>
      </w:pPr>
      <w:r w:rsidRPr="0096462D">
        <w:rPr>
          <w:rFonts w:ascii="Arial" w:hAnsi="Arial" w:cs="Arial"/>
          <w:b/>
          <w:bCs/>
          <w:color w:val="1F497D" w:themeColor="text2"/>
          <w:sz w:val="20"/>
          <w:szCs w:val="20"/>
        </w:rPr>
        <w:t>Produttività nominale del lavoro:</w:t>
      </w:r>
      <w:r w:rsidRPr="0096462D">
        <w:rPr>
          <w:rFonts w:ascii="Arial" w:hAnsi="Arial" w:cs="Arial"/>
          <w:bCs/>
          <w:sz w:val="20"/>
          <w:szCs w:val="20"/>
        </w:rPr>
        <w:t xml:space="preserve"> è misurata dal rapporto fra il valore aggiunto e gli addetti.</w:t>
      </w:r>
    </w:p>
    <w:p w14:paraId="650A3D9F" w14:textId="77777777" w:rsidR="00DC3A15" w:rsidRPr="0096462D" w:rsidRDefault="00DC3A15" w:rsidP="00DC3A15">
      <w:pPr>
        <w:autoSpaceDE w:val="0"/>
        <w:autoSpaceDN w:val="0"/>
        <w:adjustRightInd w:val="0"/>
        <w:spacing w:after="120" w:line="240" w:lineRule="auto"/>
        <w:jc w:val="both"/>
        <w:rPr>
          <w:rFonts w:ascii="Arial" w:hAnsi="Arial" w:cs="Arial"/>
          <w:bCs/>
          <w:sz w:val="20"/>
          <w:szCs w:val="20"/>
        </w:rPr>
      </w:pPr>
      <w:r w:rsidRPr="00875FA8">
        <w:rPr>
          <w:rFonts w:ascii="Arial" w:hAnsi="Arial" w:cs="Arial"/>
          <w:b/>
          <w:bCs/>
          <w:color w:val="1F497D" w:themeColor="text2"/>
          <w:sz w:val="20"/>
          <w:szCs w:val="20"/>
        </w:rPr>
        <w:t>Profitto lordo:</w:t>
      </w:r>
      <w:r w:rsidRPr="00875FA8">
        <w:rPr>
          <w:rFonts w:ascii="Arial" w:hAnsi="Arial" w:cs="Arial"/>
          <w:bCs/>
          <w:sz w:val="20"/>
          <w:szCs w:val="20"/>
        </w:rPr>
        <w:t xml:space="preserve"> indicatore di redditività calcolato come differenza tra valore aggiunto e costo del lavoro, avendo attribuito agli indipendenti la retribuzione media dei dipendenti.</w:t>
      </w:r>
    </w:p>
    <w:p w14:paraId="54EAD793" w14:textId="77777777" w:rsidR="00DC3A15" w:rsidRPr="0096462D" w:rsidRDefault="00DC3A15" w:rsidP="00DC3A15">
      <w:pPr>
        <w:autoSpaceDE w:val="0"/>
        <w:autoSpaceDN w:val="0"/>
        <w:adjustRightInd w:val="0"/>
        <w:spacing w:after="120" w:line="240" w:lineRule="auto"/>
        <w:jc w:val="both"/>
        <w:rPr>
          <w:rFonts w:ascii="Arial" w:hAnsi="Arial" w:cs="Arial"/>
          <w:bCs/>
          <w:sz w:val="20"/>
          <w:szCs w:val="20"/>
        </w:rPr>
      </w:pPr>
      <w:r w:rsidRPr="0096462D">
        <w:rPr>
          <w:rFonts w:ascii="Arial" w:hAnsi="Arial" w:cs="Arial"/>
          <w:b/>
          <w:bCs/>
          <w:color w:val="1F497D" w:themeColor="text2"/>
          <w:sz w:val="20"/>
          <w:szCs w:val="20"/>
        </w:rPr>
        <w:t xml:space="preserve">Regolamento (CEE) n. 696/93 del 15 </w:t>
      </w:r>
      <w:r>
        <w:rPr>
          <w:rFonts w:ascii="Arial" w:hAnsi="Arial" w:cs="Arial"/>
          <w:b/>
          <w:bCs/>
          <w:color w:val="1F497D" w:themeColor="text2"/>
          <w:sz w:val="20"/>
          <w:szCs w:val="20"/>
        </w:rPr>
        <w:t>m</w:t>
      </w:r>
      <w:r w:rsidRPr="0096462D">
        <w:rPr>
          <w:rFonts w:ascii="Arial" w:hAnsi="Arial" w:cs="Arial"/>
          <w:b/>
          <w:bCs/>
          <w:color w:val="1F497D" w:themeColor="text2"/>
          <w:sz w:val="20"/>
          <w:szCs w:val="20"/>
        </w:rPr>
        <w:t>arzo 1993:</w:t>
      </w:r>
      <w:r w:rsidRPr="0096462D">
        <w:rPr>
          <w:rFonts w:ascii="Arial" w:hAnsi="Arial" w:cs="Arial"/>
          <w:bCs/>
          <w:sz w:val="20"/>
          <w:szCs w:val="20"/>
        </w:rPr>
        <w:t xml:space="preserve"> costituisce il quadro normativo attualmente in vigore riguardo la definizione e l’identificazione delle unità statistiche da utilizzare nella produzione di dati sul Sistema economico comunitario. </w:t>
      </w:r>
    </w:p>
    <w:p w14:paraId="505D01EF" w14:textId="77777777" w:rsidR="00DC3A15" w:rsidRPr="0096462D" w:rsidRDefault="00DC3A15" w:rsidP="00DC3A15">
      <w:pPr>
        <w:autoSpaceDE w:val="0"/>
        <w:autoSpaceDN w:val="0"/>
        <w:adjustRightInd w:val="0"/>
        <w:spacing w:after="120" w:line="240" w:lineRule="auto"/>
        <w:jc w:val="both"/>
        <w:rPr>
          <w:rFonts w:ascii="Arial" w:hAnsi="Arial" w:cs="Arial"/>
          <w:bCs/>
          <w:sz w:val="20"/>
          <w:szCs w:val="20"/>
        </w:rPr>
      </w:pPr>
      <w:r w:rsidRPr="0096462D">
        <w:rPr>
          <w:rFonts w:ascii="Arial" w:hAnsi="Arial" w:cs="Arial"/>
          <w:b/>
          <w:bCs/>
          <w:color w:val="1F497D" w:themeColor="text2"/>
          <w:sz w:val="20"/>
          <w:szCs w:val="20"/>
        </w:rPr>
        <w:t>Redditività lorda:</w:t>
      </w:r>
      <w:r w:rsidRPr="0096462D">
        <w:rPr>
          <w:rFonts w:ascii="Arial" w:hAnsi="Arial" w:cs="Arial"/>
          <w:bCs/>
          <w:sz w:val="20"/>
          <w:szCs w:val="20"/>
        </w:rPr>
        <w:t xml:space="preserve"> è misurata dal rapporto fra il margine operativo lordo e il valore aggiunto. Tale indicatore si ottiene depurando il margine operativo lordo dalla componente di remunerazione dei lavoratori indipendenti assimilabile al “reddito da lavoro” dell’imprenditore.</w:t>
      </w:r>
    </w:p>
    <w:p w14:paraId="1B201E5E" w14:textId="77777777" w:rsidR="00DC3A15" w:rsidRDefault="00DC3A15" w:rsidP="00DC3A15">
      <w:pPr>
        <w:autoSpaceDE w:val="0"/>
        <w:autoSpaceDN w:val="0"/>
        <w:adjustRightInd w:val="0"/>
        <w:spacing w:after="120" w:line="240" w:lineRule="auto"/>
        <w:jc w:val="both"/>
        <w:rPr>
          <w:rFonts w:ascii="Arial" w:hAnsi="Arial" w:cs="Arial"/>
          <w:bCs/>
          <w:sz w:val="20"/>
          <w:szCs w:val="20"/>
        </w:rPr>
      </w:pPr>
      <w:r w:rsidRPr="0096462D">
        <w:rPr>
          <w:rFonts w:ascii="Arial" w:hAnsi="Arial" w:cs="Arial"/>
          <w:b/>
          <w:bCs/>
          <w:color w:val="1F497D" w:themeColor="text2"/>
          <w:sz w:val="20"/>
          <w:szCs w:val="20"/>
        </w:rPr>
        <w:t>Retribuzioni lorde:</w:t>
      </w:r>
      <w:r w:rsidRPr="0096462D">
        <w:rPr>
          <w:rFonts w:ascii="Arial" w:hAnsi="Arial" w:cs="Arial"/>
          <w:bCs/>
          <w:sz w:val="20"/>
          <w:szCs w:val="20"/>
        </w:rPr>
        <w:t xml:space="preserve"> comprendono i salari, gli stipendi e le competenze accessorie, in denaro e in natura, al lordo delle trattenute erariali e previdenziali, corrisposte ai lavoratori dipendenti direttamente e con carattere di periodicità, secondo quanto stabilito dai contratti, dagli accordi aziendali e dalle norme di legge in vigore.</w:t>
      </w:r>
    </w:p>
    <w:p w14:paraId="3A39CF3F" w14:textId="77777777" w:rsidR="00DC3A15" w:rsidRPr="0089468C" w:rsidRDefault="00DC3A15" w:rsidP="00DC3A15">
      <w:pPr>
        <w:autoSpaceDE w:val="0"/>
        <w:autoSpaceDN w:val="0"/>
        <w:adjustRightInd w:val="0"/>
        <w:spacing w:after="120" w:line="240" w:lineRule="auto"/>
        <w:jc w:val="both"/>
        <w:rPr>
          <w:rFonts w:ascii="Arial" w:hAnsi="Arial" w:cs="Arial"/>
          <w:bCs/>
          <w:sz w:val="20"/>
          <w:szCs w:val="20"/>
        </w:rPr>
      </w:pPr>
      <w:r w:rsidRPr="002216B2">
        <w:rPr>
          <w:rFonts w:ascii="Arial" w:hAnsi="Arial" w:cs="Arial"/>
          <w:b/>
          <w:bCs/>
          <w:color w:val="1F497D" w:themeColor="text2"/>
          <w:sz w:val="20"/>
          <w:szCs w:val="20"/>
        </w:rPr>
        <w:t>Struttura organizzativa (o corporate) del gruppo “verticale”</w:t>
      </w:r>
      <w:r w:rsidRPr="000C1B20">
        <w:rPr>
          <w:rFonts w:ascii="Arial" w:hAnsi="Arial" w:cs="Arial"/>
          <w:b/>
          <w:bCs/>
          <w:sz w:val="20"/>
          <w:szCs w:val="20"/>
        </w:rPr>
        <w:t>:</w:t>
      </w:r>
      <w:r w:rsidRPr="0089468C">
        <w:rPr>
          <w:rFonts w:ascii="Arial" w:hAnsi="Arial" w:cs="Arial"/>
          <w:bCs/>
          <w:sz w:val="20"/>
          <w:szCs w:val="20"/>
        </w:rPr>
        <w:t xml:space="preserve"> il gruppo è formato da unità giuridiche che gestiscono fasi diverse del processo produttivo in modo da potersi espandere in attività note come attività a monte o a valle.</w:t>
      </w:r>
    </w:p>
    <w:p w14:paraId="56D06838" w14:textId="77777777" w:rsidR="00DC3A15" w:rsidRPr="0089468C" w:rsidRDefault="00DC3A15" w:rsidP="00DC3A15">
      <w:pPr>
        <w:autoSpaceDE w:val="0"/>
        <w:autoSpaceDN w:val="0"/>
        <w:adjustRightInd w:val="0"/>
        <w:spacing w:after="120" w:line="240" w:lineRule="auto"/>
        <w:jc w:val="both"/>
        <w:rPr>
          <w:rFonts w:ascii="Arial" w:hAnsi="Arial" w:cs="Arial"/>
          <w:bCs/>
          <w:sz w:val="20"/>
          <w:szCs w:val="20"/>
        </w:rPr>
      </w:pPr>
      <w:r w:rsidRPr="002216B2">
        <w:rPr>
          <w:rFonts w:ascii="Arial" w:hAnsi="Arial" w:cs="Arial"/>
          <w:b/>
          <w:bCs/>
          <w:color w:val="1F497D" w:themeColor="text2"/>
          <w:sz w:val="20"/>
          <w:szCs w:val="20"/>
        </w:rPr>
        <w:t>Struttura organizzativa (o corporate) del gruppo “orizzontale” o “a pettine”</w:t>
      </w:r>
      <w:r w:rsidRPr="000C1B20">
        <w:rPr>
          <w:rFonts w:ascii="Arial" w:hAnsi="Arial" w:cs="Arial"/>
          <w:b/>
          <w:bCs/>
          <w:sz w:val="20"/>
          <w:szCs w:val="20"/>
        </w:rPr>
        <w:t>:</w:t>
      </w:r>
      <w:r w:rsidRPr="0089468C">
        <w:rPr>
          <w:rFonts w:ascii="Arial" w:hAnsi="Arial" w:cs="Arial"/>
          <w:bCs/>
          <w:sz w:val="20"/>
          <w:szCs w:val="20"/>
        </w:rPr>
        <w:t xml:space="preserve"> il gruppo è formato da unità giuridiche che svolgono la stessa attività economica o attività economiche simili per le quali il potere di controllo è detenuto direttamente dalla società madre o da una persona fisica collocata al vertice della struttura.</w:t>
      </w:r>
    </w:p>
    <w:p w14:paraId="143B1F5D" w14:textId="77777777" w:rsidR="00DC3A15" w:rsidRPr="0096462D" w:rsidRDefault="00DC3A15" w:rsidP="00DC3A15">
      <w:pPr>
        <w:autoSpaceDE w:val="0"/>
        <w:autoSpaceDN w:val="0"/>
        <w:adjustRightInd w:val="0"/>
        <w:spacing w:after="120" w:line="240" w:lineRule="auto"/>
        <w:jc w:val="both"/>
        <w:rPr>
          <w:rFonts w:ascii="Arial" w:hAnsi="Arial" w:cs="Arial"/>
          <w:bCs/>
          <w:sz w:val="20"/>
          <w:szCs w:val="20"/>
        </w:rPr>
      </w:pPr>
      <w:r w:rsidRPr="002216B2">
        <w:rPr>
          <w:rFonts w:ascii="Arial" w:hAnsi="Arial" w:cs="Arial"/>
          <w:b/>
          <w:bCs/>
          <w:color w:val="1F497D" w:themeColor="text2"/>
          <w:sz w:val="20"/>
          <w:szCs w:val="20"/>
        </w:rPr>
        <w:t>Struttura organizzativa (o corporate) del gruppo</w:t>
      </w:r>
      <w:r>
        <w:rPr>
          <w:rFonts w:ascii="Arial" w:hAnsi="Arial" w:cs="Arial"/>
          <w:b/>
          <w:bCs/>
          <w:color w:val="1F497D" w:themeColor="text2"/>
          <w:sz w:val="20"/>
          <w:szCs w:val="20"/>
        </w:rPr>
        <w:t xml:space="preserve"> </w:t>
      </w:r>
      <w:r w:rsidRPr="002216B2">
        <w:rPr>
          <w:rFonts w:ascii="Arial" w:hAnsi="Arial" w:cs="Arial"/>
          <w:b/>
          <w:bCs/>
          <w:color w:val="1F497D" w:themeColor="text2"/>
          <w:sz w:val="20"/>
          <w:szCs w:val="20"/>
        </w:rPr>
        <w:t>“</w:t>
      </w:r>
      <w:r>
        <w:rPr>
          <w:rFonts w:ascii="Arial" w:hAnsi="Arial" w:cs="Arial"/>
          <w:b/>
          <w:bCs/>
          <w:color w:val="1F497D" w:themeColor="text2"/>
          <w:sz w:val="20"/>
          <w:szCs w:val="20"/>
        </w:rPr>
        <w:t>complessa</w:t>
      </w:r>
      <w:r w:rsidRPr="002216B2">
        <w:rPr>
          <w:rFonts w:ascii="Arial" w:hAnsi="Arial" w:cs="Arial"/>
          <w:b/>
          <w:bCs/>
          <w:color w:val="1F497D" w:themeColor="text2"/>
          <w:sz w:val="20"/>
          <w:szCs w:val="20"/>
        </w:rPr>
        <w:t>”</w:t>
      </w:r>
      <w:r>
        <w:rPr>
          <w:rFonts w:ascii="Arial" w:hAnsi="Arial" w:cs="Arial"/>
          <w:b/>
          <w:bCs/>
          <w:color w:val="1F497D" w:themeColor="text2"/>
          <w:sz w:val="20"/>
          <w:szCs w:val="20"/>
        </w:rPr>
        <w:t xml:space="preserve"> o</w:t>
      </w:r>
      <w:r w:rsidRPr="002216B2">
        <w:rPr>
          <w:rFonts w:ascii="Arial" w:hAnsi="Arial" w:cs="Arial"/>
          <w:b/>
          <w:bCs/>
          <w:color w:val="1F497D" w:themeColor="text2"/>
          <w:sz w:val="20"/>
          <w:szCs w:val="20"/>
        </w:rPr>
        <w:t xml:space="preserve"> “matriciale”</w:t>
      </w:r>
      <w:r w:rsidRPr="000C1B20">
        <w:rPr>
          <w:rFonts w:ascii="Arial" w:hAnsi="Arial" w:cs="Arial"/>
          <w:b/>
          <w:bCs/>
          <w:sz w:val="20"/>
          <w:szCs w:val="20"/>
        </w:rPr>
        <w:t>:</w:t>
      </w:r>
      <w:r w:rsidRPr="0089468C">
        <w:rPr>
          <w:rFonts w:ascii="Arial" w:hAnsi="Arial" w:cs="Arial"/>
          <w:bCs/>
          <w:sz w:val="20"/>
          <w:szCs w:val="20"/>
        </w:rPr>
        <w:t xml:space="preserve"> il gruppo presenta una struttura organizzativa articolata, con sottogruppi dotati o meno di un certo grado di autonomia decisionale, operanti in diversi settori produttivi (gruppi “multi-attività”).</w:t>
      </w:r>
    </w:p>
    <w:p w14:paraId="3B2EDF4B" w14:textId="77777777" w:rsidR="00DC3A15" w:rsidRPr="0096462D" w:rsidRDefault="00DC3A15" w:rsidP="00DC3A15">
      <w:pPr>
        <w:autoSpaceDE w:val="0"/>
        <w:autoSpaceDN w:val="0"/>
        <w:adjustRightInd w:val="0"/>
        <w:spacing w:after="120" w:line="240" w:lineRule="auto"/>
        <w:jc w:val="both"/>
        <w:rPr>
          <w:rFonts w:ascii="Arial" w:hAnsi="Arial" w:cs="Arial"/>
          <w:bCs/>
          <w:sz w:val="20"/>
          <w:szCs w:val="20"/>
        </w:rPr>
      </w:pPr>
      <w:r w:rsidRPr="0096462D">
        <w:rPr>
          <w:rFonts w:ascii="Arial" w:hAnsi="Arial" w:cs="Arial"/>
          <w:b/>
          <w:bCs/>
          <w:color w:val="1F497D" w:themeColor="text2"/>
          <w:sz w:val="20"/>
          <w:szCs w:val="20"/>
        </w:rPr>
        <w:t>Società di capitali:</w:t>
      </w:r>
      <w:r w:rsidRPr="0096462D">
        <w:rPr>
          <w:rFonts w:ascii="Arial" w:hAnsi="Arial" w:cs="Arial"/>
          <w:bCs/>
          <w:sz w:val="20"/>
          <w:szCs w:val="20"/>
        </w:rPr>
        <w:t xml:space="preserve"> le società costituite in forma di Spa, Srl, Sapa, Cooperative, Consorzi di diritto privato, altre forme di cooperazione tra imprese, imprese costituite all'estero che svolgono attività economica in Italia, autorità indipendenti, enti pubblici economici, aziende speciali e aziende pubbliche di servizi.</w:t>
      </w:r>
    </w:p>
    <w:p w14:paraId="1039160B" w14:textId="77777777" w:rsidR="00DC3A15" w:rsidRPr="00364D90" w:rsidRDefault="00DC3A15" w:rsidP="00DC3A15">
      <w:pPr>
        <w:autoSpaceDE w:val="0"/>
        <w:autoSpaceDN w:val="0"/>
        <w:adjustRightInd w:val="0"/>
        <w:spacing w:after="120" w:line="240" w:lineRule="auto"/>
        <w:jc w:val="both"/>
        <w:rPr>
          <w:rFonts w:ascii="Arial" w:hAnsi="Arial" w:cs="Arial"/>
          <w:bCs/>
          <w:strike/>
          <w:sz w:val="20"/>
          <w:szCs w:val="20"/>
        </w:rPr>
      </w:pPr>
      <w:r w:rsidRPr="0096462D">
        <w:rPr>
          <w:rFonts w:ascii="Arial" w:hAnsi="Arial" w:cs="Arial"/>
          <w:b/>
          <w:bCs/>
          <w:color w:val="1F497D" w:themeColor="text2"/>
          <w:sz w:val="20"/>
          <w:szCs w:val="20"/>
        </w:rPr>
        <w:t>Unità giuridica:</w:t>
      </w:r>
      <w:r w:rsidRPr="0096462D">
        <w:rPr>
          <w:rFonts w:ascii="Arial" w:hAnsi="Arial" w:cs="Arial"/>
          <w:bCs/>
          <w:sz w:val="20"/>
          <w:szCs w:val="20"/>
        </w:rPr>
        <w:t xml:space="preserve"> è individuata come un soggetto fisico o giuridico riconosciuto che possiede diritti e doveri in base alle disposizioni legislative. Il </w:t>
      </w:r>
      <w:r>
        <w:rPr>
          <w:rFonts w:ascii="Arial" w:hAnsi="Arial" w:cs="Arial"/>
          <w:bCs/>
          <w:sz w:val="20"/>
          <w:szCs w:val="20"/>
        </w:rPr>
        <w:t>R</w:t>
      </w:r>
      <w:r w:rsidRPr="0096462D">
        <w:rPr>
          <w:rFonts w:ascii="Arial" w:hAnsi="Arial" w:cs="Arial"/>
          <w:bCs/>
          <w:sz w:val="20"/>
          <w:szCs w:val="20"/>
        </w:rPr>
        <w:t>egolamento comunitario 696/93 individua nelle unità giuridiche: le persone giuridiche, riconosciute ai sensi di legge, a prescindere dalle persone o dagli enti che le possiedono o che ne sono membri; le persone fisiche che svolgono un’attività economica come indipendenti. Tra le unità giuridiche sono comprese le imprese individuali, le società di persone, le società di capitali, le società cooperative, le aziende speciali di comuni o province o regioni. Sono considerate imprese anche i lavoratori autonomi e i liberi professionisti.</w:t>
      </w:r>
    </w:p>
    <w:p w14:paraId="790F56A5"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 xml:space="preserve">Unità </w:t>
      </w:r>
      <w:r>
        <w:rPr>
          <w:rFonts w:ascii="Arial" w:hAnsi="Arial" w:cs="Arial"/>
          <w:b/>
          <w:bCs/>
          <w:color w:val="1F497D" w:themeColor="text2"/>
          <w:sz w:val="20"/>
          <w:szCs w:val="20"/>
        </w:rPr>
        <w:t xml:space="preserve">giuridica </w:t>
      </w:r>
      <w:r w:rsidRPr="00364D90">
        <w:rPr>
          <w:rFonts w:ascii="Arial" w:hAnsi="Arial" w:cs="Arial"/>
          <w:b/>
          <w:bCs/>
          <w:color w:val="1F497D" w:themeColor="text2"/>
          <w:sz w:val="20"/>
          <w:szCs w:val="20"/>
        </w:rPr>
        <w:t>residente:</w:t>
      </w:r>
      <w:r w:rsidRPr="00364D90">
        <w:rPr>
          <w:rFonts w:ascii="Arial" w:hAnsi="Arial" w:cs="Arial"/>
          <w:bCs/>
          <w:sz w:val="20"/>
          <w:szCs w:val="20"/>
        </w:rPr>
        <w:t xml:space="preserve"> “Una unità è considerata unità residente di un paese allorquando essa ha il suo centro di interesse economico nel territorio economico di tale paese – ossia quando esercita per un lungo periodo (un anno o più) attività economiche su tale territorio”. Pertanto, sono considerate residenti anche le unità residenti fittizie, definite come “quelle parti di unità non residenti che hanno un centro di interesse economico (ossia, nella maggioranza dei casi, che svolgono operazioni economiche per un anno o più o che attendono a un’attività di costruzione per un periodo inferiore a un anno se il prodotto costituisce investimenti fissi lordi), sul territorio economico del paese” Sec2010.</w:t>
      </w:r>
    </w:p>
    <w:p w14:paraId="5C7BF00D"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Valore aggiunto:</w:t>
      </w:r>
      <w:r w:rsidRPr="00364D90">
        <w:rPr>
          <w:rFonts w:ascii="Arial" w:hAnsi="Arial" w:cs="Arial"/>
          <w:bCs/>
          <w:sz w:val="20"/>
          <w:szCs w:val="20"/>
        </w:rPr>
        <w:t xml:space="preserve"> rappresenta l’incremento di valore che l’attività dell’impresa apporta al valore dei beni e servizi ricevuti da altre aziende mediante l’impiego dei propri fattori produttivi (il lavoro, il capitale e l’attività imprenditoriale). Tale aggregato è ottenuto sottraendo dal totale dei ricavi l’ammontare dei costi: i primi contengono il valore del fatturato lordo, le variazioni delle giacenze di prodotti finiti, semilavorati e in corso di lavorazione, gli incrementi delle immobilizzazioni per lavori interni e i ricavi accessori di gestione; i secondi comprendono i costi per acquisti lordi, per servizi vari e per godimento di servizi di terzi, le variazioni delle rimanenze di materie e di merci acquistate senza trasformazione e gli oneri diversi di gestione.</w:t>
      </w:r>
    </w:p>
    <w:p w14:paraId="19B50328"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Vertice</w:t>
      </w:r>
      <w:r>
        <w:rPr>
          <w:rFonts w:ascii="Arial" w:hAnsi="Arial" w:cs="Arial"/>
          <w:b/>
          <w:bCs/>
          <w:color w:val="1F497D" w:themeColor="text2"/>
          <w:sz w:val="20"/>
          <w:szCs w:val="20"/>
        </w:rPr>
        <w:t xml:space="preserve"> del gruppo di impresa</w:t>
      </w:r>
      <w:r w:rsidRPr="00364D90">
        <w:rPr>
          <w:rFonts w:ascii="Arial" w:hAnsi="Arial" w:cs="Arial"/>
          <w:b/>
          <w:bCs/>
          <w:color w:val="1F497D" w:themeColor="text2"/>
          <w:sz w:val="20"/>
          <w:szCs w:val="20"/>
        </w:rPr>
        <w:t>:</w:t>
      </w:r>
      <w:r w:rsidRPr="00364D90">
        <w:rPr>
          <w:rFonts w:ascii="Arial" w:hAnsi="Arial" w:cs="Arial"/>
          <w:bCs/>
          <w:sz w:val="20"/>
          <w:szCs w:val="20"/>
        </w:rPr>
        <w:t xml:space="preserve"> l’unità giuridica o la persona fisica che controlla le unità giuridiche del gruppo e che non è controllata da nessun’altra unità giuridica.</w:t>
      </w:r>
    </w:p>
    <w:p w14:paraId="5046E69A"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Vertice non residente:</w:t>
      </w:r>
      <w:r w:rsidRPr="00364D90">
        <w:rPr>
          <w:rFonts w:ascii="Arial" w:hAnsi="Arial" w:cs="Arial"/>
          <w:bCs/>
          <w:sz w:val="20"/>
          <w:szCs w:val="20"/>
        </w:rPr>
        <w:t xml:space="preserve"> unità vertice residente fuori dal territorio nazionale.</w:t>
      </w:r>
    </w:p>
    <w:p w14:paraId="4B099050" w14:textId="77777777" w:rsidR="00DC3A15" w:rsidRPr="00364D90" w:rsidRDefault="00DC3A15" w:rsidP="00DC3A15">
      <w:pPr>
        <w:autoSpaceDE w:val="0"/>
        <w:autoSpaceDN w:val="0"/>
        <w:adjustRightInd w:val="0"/>
        <w:spacing w:after="120" w:line="240" w:lineRule="auto"/>
        <w:jc w:val="both"/>
        <w:rPr>
          <w:rFonts w:ascii="Arial" w:hAnsi="Arial" w:cs="Arial"/>
          <w:bCs/>
          <w:sz w:val="20"/>
          <w:szCs w:val="20"/>
        </w:rPr>
      </w:pPr>
      <w:r w:rsidRPr="00364D90">
        <w:rPr>
          <w:rFonts w:ascii="Arial" w:hAnsi="Arial" w:cs="Arial"/>
          <w:b/>
          <w:bCs/>
          <w:color w:val="1F497D" w:themeColor="text2"/>
          <w:sz w:val="20"/>
          <w:szCs w:val="20"/>
        </w:rPr>
        <w:t xml:space="preserve">Vertice residente: </w:t>
      </w:r>
      <w:r w:rsidRPr="00364D90">
        <w:rPr>
          <w:rFonts w:ascii="Arial" w:hAnsi="Arial" w:cs="Arial"/>
          <w:bCs/>
          <w:sz w:val="20"/>
          <w:szCs w:val="20"/>
        </w:rPr>
        <w:t xml:space="preserve">unità vertice residente nel territorio. </w:t>
      </w:r>
    </w:p>
    <w:p w14:paraId="48F23C42" w14:textId="77777777" w:rsidR="00DC3A15" w:rsidRDefault="00DC3A15" w:rsidP="00DC3A15">
      <w:pPr>
        <w:rPr>
          <w:rFonts w:ascii="Georgia" w:eastAsiaTheme="majorEastAsia" w:hAnsi="Georgia" w:cs="Arial"/>
          <w:color w:val="1F497D" w:themeColor="text2"/>
          <w:sz w:val="40"/>
          <w:szCs w:val="48"/>
        </w:rPr>
      </w:pPr>
      <w:r>
        <w:rPr>
          <w:rFonts w:ascii="Georgia" w:hAnsi="Georgia" w:cs="Arial"/>
          <w:color w:val="1F497D" w:themeColor="text2"/>
          <w:sz w:val="40"/>
          <w:szCs w:val="48"/>
        </w:rPr>
        <w:br w:type="page"/>
      </w:r>
    </w:p>
    <w:p w14:paraId="0FFE78BC" w14:textId="77777777" w:rsidR="00DC3A15" w:rsidRDefault="00DC3A15" w:rsidP="00DC3A15">
      <w:pPr>
        <w:pStyle w:val="Titolo3"/>
        <w:spacing w:before="0" w:after="120"/>
        <w:rPr>
          <w:rFonts w:ascii="Georgia" w:hAnsi="Georgia" w:cs="Arial"/>
          <w:b/>
          <w:color w:val="1F497D" w:themeColor="text2"/>
          <w:sz w:val="48"/>
          <w:szCs w:val="48"/>
        </w:rPr>
      </w:pPr>
      <w:r w:rsidRPr="0007346F">
        <w:rPr>
          <w:rFonts w:ascii="Georgia" w:hAnsi="Georgia" w:cs="Arial"/>
          <w:color w:val="1F497D" w:themeColor="text2"/>
          <w:sz w:val="48"/>
          <w:szCs w:val="48"/>
        </w:rPr>
        <w:t>Nota metodologica</w:t>
      </w:r>
    </w:p>
    <w:p w14:paraId="306A8616" w14:textId="77777777" w:rsidR="00DC3A15" w:rsidRPr="00626A34" w:rsidRDefault="00DC3A15" w:rsidP="00DC3A15">
      <w:pPr>
        <w:spacing w:after="120" w:line="240" w:lineRule="auto"/>
        <w:jc w:val="both"/>
        <w:rPr>
          <w:rFonts w:ascii="Arial" w:hAnsi="Arial" w:cs="Arial"/>
          <w:b/>
          <w:color w:val="1F497D"/>
          <w:sz w:val="22"/>
          <w:szCs w:val="22"/>
        </w:rPr>
      </w:pPr>
      <w:r w:rsidRPr="00867CB1">
        <w:rPr>
          <w:rFonts w:ascii="Arial" w:hAnsi="Arial" w:cs="Arial"/>
          <w:b/>
          <w:color w:val="1F497D"/>
          <w:sz w:val="22"/>
          <w:szCs w:val="22"/>
        </w:rPr>
        <w:t xml:space="preserve">Sistema di indagini sui conti economici delle imprese e Registro statistico </w:t>
      </w:r>
      <w:r>
        <w:rPr>
          <w:rFonts w:ascii="Arial" w:hAnsi="Arial" w:cs="Arial"/>
          <w:b/>
          <w:color w:val="1F497D"/>
          <w:sz w:val="22"/>
          <w:szCs w:val="22"/>
        </w:rPr>
        <w:t>de</w:t>
      </w:r>
      <w:r w:rsidRPr="00867CB1">
        <w:rPr>
          <w:rFonts w:ascii="Arial" w:hAnsi="Arial" w:cs="Arial"/>
          <w:b/>
          <w:color w:val="1F497D"/>
          <w:sz w:val="22"/>
          <w:szCs w:val="22"/>
        </w:rPr>
        <w:t>i gruppi</w:t>
      </w:r>
      <w:r>
        <w:rPr>
          <w:rFonts w:ascii="Arial" w:hAnsi="Arial" w:cs="Arial"/>
          <w:b/>
          <w:color w:val="1F497D"/>
          <w:sz w:val="22"/>
          <w:szCs w:val="22"/>
        </w:rPr>
        <w:t xml:space="preserve"> di imprese</w:t>
      </w:r>
      <w:r w:rsidRPr="00626A34">
        <w:rPr>
          <w:rFonts w:ascii="Arial" w:hAnsi="Arial" w:cs="Arial"/>
          <w:b/>
          <w:color w:val="1F497D"/>
          <w:sz w:val="22"/>
          <w:szCs w:val="22"/>
        </w:rPr>
        <w:t xml:space="preserve"> </w:t>
      </w:r>
    </w:p>
    <w:p w14:paraId="01A6BFE8" w14:textId="77777777" w:rsidR="00DC3A15" w:rsidRDefault="00DC3A15" w:rsidP="00DC3A15">
      <w:pPr>
        <w:spacing w:after="120" w:line="240" w:lineRule="auto"/>
        <w:jc w:val="both"/>
        <w:rPr>
          <w:rFonts w:ascii="Arial" w:hAnsi="Arial" w:cs="Arial"/>
          <w:b/>
          <w:color w:val="1F497D"/>
          <w:sz w:val="22"/>
          <w:szCs w:val="22"/>
        </w:rPr>
      </w:pPr>
      <w:r w:rsidRPr="00626A34">
        <w:rPr>
          <w:rFonts w:ascii="Arial" w:hAnsi="Arial" w:cs="Arial"/>
          <w:b/>
          <w:color w:val="1F497D"/>
          <w:sz w:val="22"/>
          <w:szCs w:val="22"/>
        </w:rPr>
        <w:t>Introduzione e quadro normativo</w:t>
      </w:r>
    </w:p>
    <w:p w14:paraId="751CC673" w14:textId="77777777" w:rsidR="00DC3A15" w:rsidRPr="00DA6AA4" w:rsidRDefault="00DC3A15" w:rsidP="00DC3A15">
      <w:pPr>
        <w:spacing w:after="120" w:line="240" w:lineRule="auto"/>
        <w:jc w:val="both"/>
        <w:rPr>
          <w:rFonts w:ascii="Arial" w:hAnsi="Arial" w:cs="Arial"/>
          <w:sz w:val="20"/>
        </w:rPr>
      </w:pPr>
      <w:r w:rsidRPr="002207C7">
        <w:rPr>
          <w:rFonts w:ascii="Arial" w:hAnsi="Arial" w:cs="Arial"/>
          <w:sz w:val="20"/>
        </w:rPr>
        <w:t xml:space="preserve">I risultati economici delle imprese sono prodotti conformemente a quanto disposto dal </w:t>
      </w:r>
      <w:r>
        <w:rPr>
          <w:rFonts w:ascii="Arial" w:hAnsi="Arial" w:cs="Arial"/>
          <w:sz w:val="20"/>
        </w:rPr>
        <w:t xml:space="preserve">Regolamento europeo n.2152/2019 (che ha abrogato il </w:t>
      </w:r>
      <w:r w:rsidRPr="002207C7">
        <w:rPr>
          <w:rFonts w:ascii="Arial" w:hAnsi="Arial" w:cs="Arial"/>
          <w:sz w:val="20"/>
        </w:rPr>
        <w:t>Regolamento Ue n.</w:t>
      </w:r>
      <w:r>
        <w:rPr>
          <w:rFonts w:ascii="Arial" w:hAnsi="Arial" w:cs="Arial"/>
          <w:sz w:val="20"/>
        </w:rPr>
        <w:t xml:space="preserve"> </w:t>
      </w:r>
      <w:r w:rsidRPr="002207C7">
        <w:rPr>
          <w:rFonts w:ascii="Arial" w:hAnsi="Arial" w:cs="Arial"/>
          <w:sz w:val="20"/>
        </w:rPr>
        <w:t xml:space="preserve">295/2008 per le statistiche strutturali SBS - </w:t>
      </w:r>
      <w:r w:rsidRPr="002207C7">
        <w:rPr>
          <w:rFonts w:ascii="Arial" w:hAnsi="Arial" w:cs="Arial"/>
          <w:i/>
          <w:sz w:val="20"/>
        </w:rPr>
        <w:t>Structural Business Statistics</w:t>
      </w:r>
      <w:r>
        <w:rPr>
          <w:rFonts w:ascii="Arial" w:hAnsi="Arial" w:cs="Arial"/>
          <w:sz w:val="20"/>
        </w:rPr>
        <w:t>) e dai successivi regolamenti di esecuzione</w:t>
      </w:r>
      <w:r w:rsidRPr="002207C7">
        <w:rPr>
          <w:rFonts w:ascii="Arial" w:hAnsi="Arial" w:cs="Arial"/>
          <w:sz w:val="20"/>
        </w:rPr>
        <w:t>. Il Regolamento</w:t>
      </w:r>
      <w:r w:rsidRPr="00DA6AA4">
        <w:rPr>
          <w:rFonts w:ascii="Arial" w:hAnsi="Arial" w:cs="Arial"/>
          <w:sz w:val="20"/>
        </w:rPr>
        <w:t xml:space="preserve"> definisce un quadro comune per la raccolta, l’elaborazione e la trasmissione dei dati allo scopo di disporre, annualmente, di statistiche armonizzate per valutare la struttura, l’attività e la competitività delle imprese nell’Unione europea. </w:t>
      </w:r>
    </w:p>
    <w:p w14:paraId="6BF61932" w14:textId="77777777" w:rsidR="00DC3A15" w:rsidRPr="00DA6AA4" w:rsidRDefault="00DC3A15" w:rsidP="00DC3A15">
      <w:pPr>
        <w:spacing w:after="120" w:line="240" w:lineRule="auto"/>
        <w:jc w:val="both"/>
        <w:rPr>
          <w:rFonts w:ascii="Arial" w:hAnsi="Arial" w:cs="Arial"/>
          <w:sz w:val="20"/>
        </w:rPr>
      </w:pPr>
      <w:r w:rsidRPr="002207C7">
        <w:rPr>
          <w:rFonts w:ascii="Arial" w:hAnsi="Arial" w:cs="Arial"/>
          <w:sz w:val="20"/>
        </w:rPr>
        <w:t>Le informazioni sui gruppi di impresa sono tratte dal Registro statistico dei gruppi di imprese, costruito in ottemperanza alle disposizioni dei Regolamenti europei n.</w:t>
      </w:r>
      <w:r>
        <w:rPr>
          <w:rFonts w:ascii="Arial" w:hAnsi="Arial" w:cs="Arial"/>
          <w:sz w:val="20"/>
        </w:rPr>
        <w:t xml:space="preserve"> </w:t>
      </w:r>
      <w:r w:rsidRPr="002207C7">
        <w:rPr>
          <w:rFonts w:ascii="Arial" w:hAnsi="Arial" w:cs="Arial"/>
          <w:sz w:val="20"/>
        </w:rPr>
        <w:t>2152/2019 (che ha abrogato il Regolamento europeo n.177/2008)</w:t>
      </w:r>
      <w:r>
        <w:rPr>
          <w:rFonts w:ascii="Arial" w:hAnsi="Arial" w:cs="Arial"/>
          <w:sz w:val="20"/>
        </w:rPr>
        <w:t xml:space="preserve"> </w:t>
      </w:r>
      <w:r w:rsidRPr="002207C7">
        <w:rPr>
          <w:rFonts w:ascii="Arial" w:hAnsi="Arial" w:cs="Arial"/>
          <w:sz w:val="20"/>
        </w:rPr>
        <w:t>e n.696/1993 secondo una metodologia armonizzata approvata da Eurostat. Il Regolamento n.696/1993 definisce</w:t>
      </w:r>
      <w:r w:rsidRPr="00DA6AA4">
        <w:rPr>
          <w:rFonts w:ascii="Arial" w:hAnsi="Arial" w:cs="Arial"/>
          <w:sz w:val="20"/>
        </w:rPr>
        <w:t xml:space="preserve"> il gruppo di impresa come “un’associazione di imprese retta da legami di tipo finanziario e non” avente “diversi centri decisionali, in particolare per quel che concerne la politica della produzione, della vendita, degli utili” e in grado di “unificare alcuni aspetti della gestione finanziaria e della fiscalità”. Il gruppo si caratterizza come “l’entità economica che può effettuare scelte con particolare riguardo alle unità alleate che lo compongono". Tale definizione, sufficientemente generale per poter cogliere le molteplici configurazioni dei gruppi di impresa, non fornisce criteri immediati per una sua implementazione negli archivi statistici, dove, secondo il Regolamento n.</w:t>
      </w:r>
      <w:r>
        <w:rPr>
          <w:rFonts w:ascii="Arial" w:hAnsi="Arial" w:cs="Arial"/>
          <w:sz w:val="20"/>
        </w:rPr>
        <w:t xml:space="preserve"> 2152</w:t>
      </w:r>
      <w:r w:rsidRPr="00DA6AA4">
        <w:rPr>
          <w:rFonts w:ascii="Arial" w:hAnsi="Arial" w:cs="Arial"/>
          <w:sz w:val="20"/>
        </w:rPr>
        <w:t>/20</w:t>
      </w:r>
      <w:r>
        <w:rPr>
          <w:rFonts w:ascii="Arial" w:hAnsi="Arial" w:cs="Arial"/>
          <w:sz w:val="20"/>
        </w:rPr>
        <w:t>19</w:t>
      </w:r>
      <w:r w:rsidRPr="00DA6AA4">
        <w:rPr>
          <w:rFonts w:ascii="Arial" w:hAnsi="Arial" w:cs="Arial"/>
          <w:sz w:val="20"/>
        </w:rPr>
        <w:t xml:space="preserve">, devono essere registrati i legami di controllo tra le imprese e alcune caratteristiche salienti del gruppo di appartenenza. </w:t>
      </w:r>
    </w:p>
    <w:p w14:paraId="5B317C70" w14:textId="77777777" w:rsidR="00DC3A15" w:rsidRDefault="00DC3A15" w:rsidP="00DC3A15">
      <w:pPr>
        <w:spacing w:after="120" w:line="240" w:lineRule="auto"/>
        <w:jc w:val="both"/>
        <w:rPr>
          <w:rFonts w:ascii="Arial" w:hAnsi="Arial" w:cs="Arial"/>
          <w:sz w:val="20"/>
        </w:rPr>
      </w:pPr>
      <w:r w:rsidRPr="00DA6AA4">
        <w:rPr>
          <w:rFonts w:ascii="Arial" w:hAnsi="Arial" w:cs="Arial"/>
          <w:sz w:val="20"/>
        </w:rPr>
        <w:t xml:space="preserve">Il concetto di controllo è definito nel Regolamento </w:t>
      </w:r>
      <w:r>
        <w:rPr>
          <w:rFonts w:ascii="Arial" w:hAnsi="Arial" w:cs="Arial"/>
          <w:sz w:val="20"/>
        </w:rPr>
        <w:t>e</w:t>
      </w:r>
      <w:r w:rsidRPr="00DA6AA4">
        <w:rPr>
          <w:rFonts w:ascii="Arial" w:hAnsi="Arial" w:cs="Arial"/>
          <w:sz w:val="20"/>
        </w:rPr>
        <w:t>uropeo n.</w:t>
      </w:r>
      <w:r>
        <w:rPr>
          <w:rFonts w:ascii="Arial" w:hAnsi="Arial" w:cs="Arial"/>
          <w:sz w:val="20"/>
        </w:rPr>
        <w:t xml:space="preserve"> </w:t>
      </w:r>
      <w:r w:rsidRPr="00DA6AA4">
        <w:rPr>
          <w:rFonts w:ascii="Arial" w:hAnsi="Arial" w:cs="Arial"/>
          <w:sz w:val="20"/>
        </w:rPr>
        <w:t>549/2013 Sistema europeo dei conti (S</w:t>
      </w:r>
      <w:r>
        <w:rPr>
          <w:rFonts w:ascii="Arial" w:hAnsi="Arial" w:cs="Arial"/>
          <w:sz w:val="20"/>
        </w:rPr>
        <w:t xml:space="preserve">ec </w:t>
      </w:r>
      <w:r w:rsidRPr="00DA6AA4">
        <w:rPr>
          <w:rFonts w:ascii="Arial" w:hAnsi="Arial" w:cs="Arial"/>
          <w:sz w:val="20"/>
        </w:rPr>
        <w:t xml:space="preserve">2010), che al §2.35 e seguenti recita: “Per controllo di una società finanziaria o non finanziaria si intende la capacità di determinarne la strategia generale, ad esempio attraverso la scelta degli amministratori più idonei se necessario. Un’unità istituzionale </w:t>
      </w:r>
      <w:r>
        <w:rPr>
          <w:rFonts w:ascii="Arial" w:hAnsi="Arial" w:cs="Arial"/>
          <w:sz w:val="20"/>
        </w:rPr>
        <w:t>-</w:t>
      </w:r>
      <w:r w:rsidRPr="00DA6AA4">
        <w:rPr>
          <w:rFonts w:ascii="Arial" w:hAnsi="Arial" w:cs="Arial"/>
          <w:sz w:val="20"/>
        </w:rPr>
        <w:t xml:space="preserve"> un'altra società, una famiglia o un’unità delle amministrazioni pubbliche </w:t>
      </w:r>
      <w:r>
        <w:rPr>
          <w:rFonts w:ascii="Arial" w:hAnsi="Arial" w:cs="Arial"/>
          <w:sz w:val="20"/>
        </w:rPr>
        <w:t>-</w:t>
      </w:r>
      <w:r w:rsidRPr="00DA6AA4">
        <w:rPr>
          <w:rFonts w:ascii="Arial" w:hAnsi="Arial" w:cs="Arial"/>
          <w:sz w:val="20"/>
        </w:rPr>
        <w:t xml:space="preserve"> esercita il controllo su una società o quasi- società quando detiene la proprietà di più della metà delle azioni con diritto di voto o controlla in altro modo più della metà dei voti degli azionisti. Inoltre, un’amministrazione pubblica può esercitare il controllo su una società in forza di leggi, decreti o regolamenti specifici che le danno il diritto di indirizzare la gestione della società o di nominarne gli amministratori”. Il S</w:t>
      </w:r>
      <w:r>
        <w:rPr>
          <w:rFonts w:ascii="Arial" w:hAnsi="Arial" w:cs="Arial"/>
          <w:sz w:val="20"/>
        </w:rPr>
        <w:t>ec</w:t>
      </w:r>
      <w:r w:rsidRPr="00DA6AA4">
        <w:rPr>
          <w:rFonts w:ascii="Arial" w:hAnsi="Arial" w:cs="Arial"/>
          <w:sz w:val="20"/>
        </w:rPr>
        <w:t xml:space="preserve"> specifica inoltre che il concetto di controllo va inteso anche in senso indiretto. In Italia questi criteri sono coerenti con quanto disposto dalla disciplina civilistica dell’art.</w:t>
      </w:r>
      <w:r>
        <w:rPr>
          <w:rFonts w:ascii="Arial" w:hAnsi="Arial" w:cs="Arial"/>
          <w:sz w:val="20"/>
        </w:rPr>
        <w:t xml:space="preserve"> </w:t>
      </w:r>
      <w:r w:rsidRPr="00DA6AA4">
        <w:rPr>
          <w:rFonts w:ascii="Arial" w:hAnsi="Arial" w:cs="Arial"/>
          <w:sz w:val="20"/>
        </w:rPr>
        <w:t>2359</w:t>
      </w:r>
      <w:r>
        <w:rPr>
          <w:rFonts w:ascii="Arial" w:hAnsi="Arial" w:cs="Arial"/>
          <w:sz w:val="20"/>
        </w:rPr>
        <w:t>.</w:t>
      </w:r>
    </w:p>
    <w:p w14:paraId="147FB679" w14:textId="77777777" w:rsidR="00DC3A15" w:rsidRPr="00DA6AA4" w:rsidRDefault="00DC3A15" w:rsidP="00DC3A15">
      <w:pPr>
        <w:spacing w:after="120" w:line="240" w:lineRule="auto"/>
        <w:jc w:val="both"/>
        <w:rPr>
          <w:rFonts w:ascii="Arial" w:hAnsi="Arial" w:cs="Arial"/>
          <w:b/>
          <w:color w:val="1F497D"/>
          <w:sz w:val="22"/>
          <w:szCs w:val="22"/>
        </w:rPr>
      </w:pPr>
      <w:r w:rsidRPr="00DA6AA4">
        <w:rPr>
          <w:rFonts w:ascii="Arial" w:hAnsi="Arial" w:cs="Arial"/>
          <w:b/>
          <w:color w:val="1F497D"/>
          <w:sz w:val="22"/>
          <w:szCs w:val="22"/>
        </w:rPr>
        <w:t>Popolazione di riferimento, unità di rilevazione e di analisi</w:t>
      </w:r>
    </w:p>
    <w:p w14:paraId="0287F503" w14:textId="77777777" w:rsidR="00DC3A15" w:rsidRPr="00F802AB" w:rsidRDefault="00DC3A15" w:rsidP="00DC3A15">
      <w:pPr>
        <w:autoSpaceDE w:val="0"/>
        <w:autoSpaceDN w:val="0"/>
        <w:adjustRightInd w:val="0"/>
        <w:spacing w:after="120" w:line="240" w:lineRule="auto"/>
        <w:jc w:val="both"/>
        <w:rPr>
          <w:rFonts w:ascii="Arial" w:hAnsi="Arial" w:cs="Arial"/>
          <w:sz w:val="20"/>
        </w:rPr>
      </w:pPr>
      <w:r w:rsidRPr="00F802AB">
        <w:rPr>
          <w:rFonts w:ascii="Arial" w:hAnsi="Arial" w:cs="Arial"/>
          <w:sz w:val="20"/>
        </w:rPr>
        <w:t xml:space="preserve">L’universo di riferimento è fornito annualmente dal Registro Statistico delle Imprese Attive (Asia), che l’Istat realizza partendo da un’ampia base informativa di dati derivanti sia da fonti amministrative sia da rilevazioni statistiche. L’unità di rilevazione è l’impresa, le unità di analisi sono </w:t>
      </w:r>
      <w:r>
        <w:rPr>
          <w:rFonts w:ascii="Arial" w:hAnsi="Arial" w:cs="Arial"/>
          <w:sz w:val="20"/>
        </w:rPr>
        <w:t>l’</w:t>
      </w:r>
      <w:r w:rsidRPr="00F802AB">
        <w:rPr>
          <w:rFonts w:ascii="Arial" w:hAnsi="Arial" w:cs="Arial"/>
          <w:sz w:val="20"/>
        </w:rPr>
        <w:t xml:space="preserve">impresa e </w:t>
      </w:r>
      <w:r>
        <w:rPr>
          <w:rFonts w:ascii="Arial" w:hAnsi="Arial" w:cs="Arial"/>
          <w:sz w:val="20"/>
        </w:rPr>
        <w:t xml:space="preserve">il </w:t>
      </w:r>
      <w:r w:rsidRPr="00F802AB">
        <w:rPr>
          <w:rFonts w:ascii="Arial" w:hAnsi="Arial" w:cs="Arial"/>
          <w:sz w:val="20"/>
        </w:rPr>
        <w:t>gruppo</w:t>
      </w:r>
      <w:r>
        <w:rPr>
          <w:rFonts w:ascii="Arial" w:hAnsi="Arial" w:cs="Arial"/>
          <w:sz w:val="20"/>
        </w:rPr>
        <w:t xml:space="preserve"> d’impresa</w:t>
      </w:r>
      <w:r w:rsidRPr="00F802AB">
        <w:rPr>
          <w:rFonts w:ascii="Arial" w:hAnsi="Arial" w:cs="Arial"/>
          <w:sz w:val="20"/>
        </w:rPr>
        <w:t>.</w:t>
      </w:r>
    </w:p>
    <w:p w14:paraId="34CF1848" w14:textId="77777777" w:rsidR="00DC3A15" w:rsidRDefault="00DC3A15" w:rsidP="00DC3A15">
      <w:pPr>
        <w:autoSpaceDE w:val="0"/>
        <w:autoSpaceDN w:val="0"/>
        <w:adjustRightInd w:val="0"/>
        <w:spacing w:after="120" w:line="240" w:lineRule="auto"/>
        <w:jc w:val="both"/>
        <w:rPr>
          <w:rFonts w:ascii="Arial" w:hAnsi="Arial" w:cs="Arial"/>
          <w:sz w:val="20"/>
        </w:rPr>
      </w:pPr>
      <w:r w:rsidRPr="00F802AB">
        <w:rPr>
          <w:rFonts w:ascii="Arial" w:hAnsi="Arial" w:cs="Arial"/>
          <w:sz w:val="20"/>
        </w:rPr>
        <w:t xml:space="preserve">Il sistema di indagini sui conti delle imprese copre le classi della classificazione Nace Rev.2 (Ateco 2007 </w:t>
      </w:r>
      <w:r>
        <w:rPr>
          <w:rFonts w:ascii="Arial" w:hAnsi="Arial" w:cs="Arial"/>
          <w:sz w:val="20"/>
        </w:rPr>
        <w:t xml:space="preserve">– Aggiornamento 2022 </w:t>
      </w:r>
      <w:r w:rsidRPr="00F802AB">
        <w:rPr>
          <w:rFonts w:ascii="Arial" w:hAnsi="Arial" w:cs="Arial"/>
          <w:sz w:val="20"/>
        </w:rPr>
        <w:t>a quattro cifre) per le sezioni da B a S, a esclusione delle attività finanziarie e assicurative (sezione K), della amministrazione pubblica, difesa e assicurazione sociale obbligatoria (sezione O) e della divisione 94 (attività di organizzazioni associative). La popolazione di riferimento del registro sui gruppi è composta da tutte le società di capitali appartenenti a gruppi e incluse nel campo di osservazione di Asia.</w:t>
      </w:r>
    </w:p>
    <w:p w14:paraId="07E351BC" w14:textId="77777777" w:rsidR="00DC3A15" w:rsidRPr="0096462D" w:rsidRDefault="00DC3A15" w:rsidP="00DC3A15">
      <w:pPr>
        <w:spacing w:after="120" w:line="240" w:lineRule="auto"/>
        <w:rPr>
          <w:rFonts w:ascii="Arial" w:hAnsi="Arial" w:cs="Arial"/>
          <w:b/>
          <w:color w:val="1F497D"/>
          <w:sz w:val="22"/>
          <w:szCs w:val="22"/>
        </w:rPr>
      </w:pPr>
      <w:r>
        <w:rPr>
          <w:rFonts w:ascii="Arial" w:hAnsi="Arial" w:cs="Arial"/>
          <w:b/>
          <w:color w:val="1F497D"/>
          <w:sz w:val="22"/>
          <w:szCs w:val="22"/>
        </w:rPr>
        <w:t>N</w:t>
      </w:r>
      <w:r w:rsidRPr="0096462D">
        <w:rPr>
          <w:rFonts w:ascii="Arial" w:hAnsi="Arial" w:cs="Arial"/>
          <w:b/>
          <w:color w:val="1F497D"/>
          <w:sz w:val="22"/>
          <w:szCs w:val="22"/>
        </w:rPr>
        <w:t>uova definizione d</w:t>
      </w:r>
      <w:r>
        <w:rPr>
          <w:rFonts w:ascii="Arial" w:hAnsi="Arial" w:cs="Arial"/>
          <w:b/>
          <w:color w:val="1F497D"/>
          <w:sz w:val="22"/>
          <w:szCs w:val="22"/>
        </w:rPr>
        <w:t>ell’unità statistica di analisi</w:t>
      </w:r>
    </w:p>
    <w:p w14:paraId="36C36008" w14:textId="4BBCE92D" w:rsidR="00DC3A15" w:rsidRPr="00324B90" w:rsidRDefault="00DC3A15" w:rsidP="00DC3A15">
      <w:pPr>
        <w:spacing w:after="120" w:line="240" w:lineRule="auto"/>
        <w:jc w:val="both"/>
        <w:rPr>
          <w:rFonts w:ascii="Arial" w:hAnsi="Arial" w:cs="Arial"/>
          <w:sz w:val="20"/>
          <w:szCs w:val="20"/>
        </w:rPr>
      </w:pPr>
      <w:r w:rsidRPr="00324B90">
        <w:rPr>
          <w:rFonts w:ascii="Arial" w:hAnsi="Arial" w:cs="Arial"/>
          <w:sz w:val="20"/>
          <w:szCs w:val="20"/>
        </w:rPr>
        <w:t xml:space="preserve">L’Istituto Nazionale di Statistica è stato impegnato nella ricerca di metodologie e nello sviluppo di tecniche volte all’implementazione nel sistema dei registri e dei conti economici delle imprese di una nuova unità statistica </w:t>
      </w:r>
      <w:r w:rsidRPr="00324B90">
        <w:rPr>
          <w:rFonts w:ascii="Arial" w:hAnsi="Arial" w:cs="Arial"/>
          <w:i/>
          <w:sz w:val="20"/>
          <w:szCs w:val="20"/>
        </w:rPr>
        <w:t>‘impresa’</w:t>
      </w:r>
      <w:r w:rsidRPr="00324B90">
        <w:rPr>
          <w:rFonts w:ascii="Arial" w:hAnsi="Arial" w:cs="Arial"/>
          <w:sz w:val="20"/>
          <w:szCs w:val="20"/>
        </w:rPr>
        <w:t>. La definizione di tale nuova unità statistica tiene conto delle relazioni che intercorrono tra unità giuridiche appartenenti allo stesso gruppo di imprese. Il Regolamento (CEE) n.</w:t>
      </w:r>
      <w:r>
        <w:rPr>
          <w:rFonts w:ascii="Arial" w:hAnsi="Arial" w:cs="Arial"/>
          <w:sz w:val="20"/>
          <w:szCs w:val="20"/>
        </w:rPr>
        <w:t xml:space="preserve"> </w:t>
      </w:r>
      <w:r w:rsidRPr="00324B90">
        <w:rPr>
          <w:rFonts w:ascii="Arial" w:hAnsi="Arial" w:cs="Arial"/>
          <w:sz w:val="20"/>
          <w:szCs w:val="20"/>
        </w:rPr>
        <w:t xml:space="preserve">696/93 del Consiglio, del 15 marzo 1993, relativo alle unità statistiche di osservazione e di analisi del sistema produttivo nella Comunità, definisce l’impresa come </w:t>
      </w:r>
      <w:r w:rsidRPr="00324B90">
        <w:rPr>
          <w:rFonts w:ascii="Arial" w:hAnsi="Arial" w:cs="Arial"/>
          <w:i/>
          <w:sz w:val="20"/>
          <w:szCs w:val="20"/>
        </w:rPr>
        <w:t>“la più piccola combinazione di unità giuridiche che costituisce un'unità organizzativa per la produzione di beni e servizi che fruisce d'una certa autonomia decisionale”</w:t>
      </w:r>
      <w:r w:rsidRPr="00324B90">
        <w:rPr>
          <w:rFonts w:ascii="Arial" w:hAnsi="Arial" w:cs="Arial"/>
          <w:sz w:val="20"/>
          <w:szCs w:val="20"/>
        </w:rPr>
        <w:t>. La completa applicazione del Regolamento prevede quindi l’aggregazione di più unità giuridiche, qualora queste non abbiano sufficiente autonomia nel processo decisionale. Ne consegue che l’impresa può corrispondere a una sola unità giuridica o ad un gruppo di unità giuridiche sottoposte a comune controllo.</w:t>
      </w:r>
    </w:p>
    <w:p w14:paraId="0047D85E" w14:textId="77777777" w:rsidR="00DC3A15" w:rsidRPr="00DA769C" w:rsidRDefault="00DC3A15" w:rsidP="00DC3A15">
      <w:pPr>
        <w:autoSpaceDE w:val="0"/>
        <w:autoSpaceDN w:val="0"/>
        <w:adjustRightInd w:val="0"/>
        <w:spacing w:after="120" w:line="240" w:lineRule="auto"/>
        <w:jc w:val="both"/>
        <w:rPr>
          <w:rFonts w:ascii="Arial" w:hAnsi="Arial" w:cs="Arial"/>
          <w:sz w:val="20"/>
          <w:szCs w:val="20"/>
        </w:rPr>
      </w:pPr>
      <w:r w:rsidRPr="00DA769C">
        <w:rPr>
          <w:rFonts w:ascii="Arial" w:hAnsi="Arial" w:cs="Arial"/>
          <w:sz w:val="20"/>
          <w:szCs w:val="20"/>
        </w:rPr>
        <w:t>In particolare, le principali innovazioni introdotte hanno avuto un impatto sulle seguenti variabili, per le sole imprese appartenenti a gruppi d’impresa:</w:t>
      </w:r>
    </w:p>
    <w:p w14:paraId="5F44503C" w14:textId="77777777" w:rsidR="00DC3A15" w:rsidRPr="00DA769C" w:rsidRDefault="00DC3A15" w:rsidP="00DC3A15">
      <w:pPr>
        <w:pStyle w:val="Paragrafoelenco"/>
        <w:numPr>
          <w:ilvl w:val="0"/>
          <w:numId w:val="3"/>
        </w:numPr>
        <w:autoSpaceDE w:val="0"/>
        <w:autoSpaceDN w:val="0"/>
        <w:adjustRightInd w:val="0"/>
        <w:spacing w:after="120" w:line="240" w:lineRule="auto"/>
        <w:jc w:val="both"/>
        <w:rPr>
          <w:rFonts w:ascii="Arial" w:hAnsi="Arial" w:cs="Arial"/>
          <w:sz w:val="20"/>
          <w:szCs w:val="20"/>
        </w:rPr>
      </w:pPr>
      <w:r w:rsidRPr="00DA769C">
        <w:rPr>
          <w:rFonts w:ascii="Arial" w:hAnsi="Arial" w:cs="Arial"/>
          <w:sz w:val="20"/>
          <w:szCs w:val="20"/>
        </w:rPr>
        <w:t xml:space="preserve">numero di unità (imprese) </w:t>
      </w:r>
    </w:p>
    <w:p w14:paraId="5AC6EF94" w14:textId="77777777" w:rsidR="00DC3A15" w:rsidRPr="00DA769C" w:rsidRDefault="00DC3A15" w:rsidP="00DC3A15">
      <w:pPr>
        <w:pStyle w:val="Paragrafoelenco"/>
        <w:numPr>
          <w:ilvl w:val="0"/>
          <w:numId w:val="3"/>
        </w:numPr>
        <w:autoSpaceDE w:val="0"/>
        <w:autoSpaceDN w:val="0"/>
        <w:adjustRightInd w:val="0"/>
        <w:spacing w:after="120" w:line="240" w:lineRule="auto"/>
        <w:jc w:val="both"/>
        <w:rPr>
          <w:rFonts w:ascii="Arial" w:hAnsi="Arial" w:cs="Arial"/>
          <w:sz w:val="20"/>
          <w:szCs w:val="20"/>
        </w:rPr>
      </w:pPr>
      <w:r w:rsidRPr="00DA769C">
        <w:rPr>
          <w:rFonts w:ascii="Arial" w:hAnsi="Arial" w:cs="Arial"/>
          <w:sz w:val="20"/>
          <w:szCs w:val="20"/>
        </w:rPr>
        <w:t>livelli di fatturato e di costo per beni e servizi</w:t>
      </w:r>
    </w:p>
    <w:p w14:paraId="1CE1EA91" w14:textId="77777777" w:rsidR="00DC3A15" w:rsidRPr="00DA769C" w:rsidRDefault="00DC3A15" w:rsidP="00DC3A15">
      <w:pPr>
        <w:pStyle w:val="Paragrafoelenco"/>
        <w:numPr>
          <w:ilvl w:val="0"/>
          <w:numId w:val="3"/>
        </w:numPr>
        <w:autoSpaceDE w:val="0"/>
        <w:autoSpaceDN w:val="0"/>
        <w:adjustRightInd w:val="0"/>
        <w:spacing w:after="120" w:line="240" w:lineRule="auto"/>
        <w:jc w:val="both"/>
        <w:rPr>
          <w:rFonts w:ascii="Arial" w:hAnsi="Arial" w:cs="Arial"/>
          <w:sz w:val="20"/>
          <w:szCs w:val="20"/>
        </w:rPr>
      </w:pPr>
      <w:r w:rsidRPr="00DA769C">
        <w:rPr>
          <w:rFonts w:ascii="Arial" w:hAnsi="Arial" w:cs="Arial"/>
          <w:sz w:val="20"/>
          <w:szCs w:val="20"/>
        </w:rPr>
        <w:t>distribuzione per classi dimensionali e settori di attività economica delle variabili economiche e di struttura, in particolare del valore aggiunto.</w:t>
      </w:r>
    </w:p>
    <w:p w14:paraId="21F08270" w14:textId="77777777" w:rsidR="00DC3A15" w:rsidRPr="0096462D" w:rsidRDefault="00DC3A15" w:rsidP="00DC3A15">
      <w:pPr>
        <w:spacing w:after="120" w:line="240" w:lineRule="auto"/>
        <w:jc w:val="both"/>
        <w:rPr>
          <w:rFonts w:ascii="Arial" w:hAnsi="Arial" w:cs="Arial"/>
          <w:sz w:val="20"/>
        </w:rPr>
      </w:pPr>
      <w:r w:rsidRPr="0096462D">
        <w:rPr>
          <w:rFonts w:ascii="Arial" w:hAnsi="Arial" w:cs="Arial"/>
          <w:sz w:val="20"/>
        </w:rPr>
        <w:t xml:space="preserve">Alla base di tale </w:t>
      </w:r>
      <w:r>
        <w:rPr>
          <w:rFonts w:ascii="Arial" w:hAnsi="Arial" w:cs="Arial"/>
          <w:sz w:val="20"/>
        </w:rPr>
        <w:t>cambiamento</w:t>
      </w:r>
      <w:r w:rsidRPr="0096462D">
        <w:rPr>
          <w:rFonts w:ascii="Arial" w:hAnsi="Arial" w:cs="Arial"/>
          <w:sz w:val="20"/>
        </w:rPr>
        <w:t xml:space="preserve">, vi è la consapevolezza di una non </w:t>
      </w:r>
      <w:r>
        <w:rPr>
          <w:rFonts w:ascii="Arial" w:hAnsi="Arial" w:cs="Arial"/>
          <w:sz w:val="20"/>
        </w:rPr>
        <w:t>completa</w:t>
      </w:r>
      <w:r w:rsidRPr="0096462D">
        <w:rPr>
          <w:rFonts w:ascii="Arial" w:hAnsi="Arial" w:cs="Arial"/>
          <w:sz w:val="20"/>
        </w:rPr>
        <w:t xml:space="preserve"> applicazione del Regolamento (CEE) n.</w:t>
      </w:r>
      <w:r>
        <w:rPr>
          <w:rFonts w:ascii="Arial" w:hAnsi="Arial" w:cs="Arial"/>
          <w:sz w:val="20"/>
        </w:rPr>
        <w:t xml:space="preserve"> </w:t>
      </w:r>
      <w:r w:rsidRPr="0096462D">
        <w:rPr>
          <w:rFonts w:ascii="Arial" w:hAnsi="Arial" w:cs="Arial"/>
          <w:sz w:val="20"/>
        </w:rPr>
        <w:t>696/93 sulle unità statistiche</w:t>
      </w:r>
      <w:r>
        <w:rPr>
          <w:rFonts w:ascii="Arial" w:hAnsi="Arial" w:cs="Arial"/>
          <w:sz w:val="20"/>
        </w:rPr>
        <w:t>. Le</w:t>
      </w:r>
      <w:r w:rsidRPr="0096462D">
        <w:rPr>
          <w:rFonts w:ascii="Arial" w:hAnsi="Arial" w:cs="Arial"/>
          <w:sz w:val="20"/>
        </w:rPr>
        <w:t xml:space="preserve"> tecniche </w:t>
      </w:r>
      <w:r>
        <w:rPr>
          <w:rFonts w:ascii="Arial" w:hAnsi="Arial" w:cs="Arial"/>
          <w:sz w:val="20"/>
        </w:rPr>
        <w:t xml:space="preserve">per </w:t>
      </w:r>
      <w:r w:rsidRPr="0096462D">
        <w:rPr>
          <w:rFonts w:ascii="Arial" w:hAnsi="Arial" w:cs="Arial"/>
          <w:sz w:val="20"/>
        </w:rPr>
        <w:t>raggiunger</w:t>
      </w:r>
      <w:r>
        <w:rPr>
          <w:rFonts w:ascii="Arial" w:hAnsi="Arial" w:cs="Arial"/>
          <w:sz w:val="20"/>
        </w:rPr>
        <w:t>n</w:t>
      </w:r>
      <w:r w:rsidRPr="0096462D">
        <w:rPr>
          <w:rFonts w:ascii="Arial" w:hAnsi="Arial" w:cs="Arial"/>
          <w:sz w:val="20"/>
        </w:rPr>
        <w:t xml:space="preserve">e la piena attuazione del </w:t>
      </w:r>
      <w:r>
        <w:rPr>
          <w:rFonts w:ascii="Arial" w:hAnsi="Arial" w:cs="Arial"/>
          <w:sz w:val="20"/>
        </w:rPr>
        <w:t>R</w:t>
      </w:r>
      <w:r w:rsidRPr="0096462D">
        <w:rPr>
          <w:rFonts w:ascii="Arial" w:hAnsi="Arial" w:cs="Arial"/>
          <w:sz w:val="20"/>
        </w:rPr>
        <w:t>egolamento europeo</w:t>
      </w:r>
      <w:r>
        <w:rPr>
          <w:rFonts w:ascii="Arial" w:hAnsi="Arial" w:cs="Arial"/>
          <w:sz w:val="20"/>
        </w:rPr>
        <w:t>,</w:t>
      </w:r>
      <w:r w:rsidRPr="0096462D">
        <w:rPr>
          <w:rFonts w:ascii="Arial" w:hAnsi="Arial" w:cs="Arial"/>
          <w:sz w:val="20"/>
        </w:rPr>
        <w:t xml:space="preserve"> </w:t>
      </w:r>
      <w:r>
        <w:rPr>
          <w:rFonts w:ascii="Arial" w:hAnsi="Arial" w:cs="Arial"/>
          <w:sz w:val="20"/>
        </w:rPr>
        <w:t>note nell’ambito della statistica ufficiale come “</w:t>
      </w:r>
      <w:r w:rsidRPr="0096462D">
        <w:rPr>
          <w:rFonts w:ascii="Arial" w:hAnsi="Arial" w:cs="Arial"/>
          <w:i/>
          <w:sz w:val="20"/>
        </w:rPr>
        <w:t>profiling</w:t>
      </w:r>
      <w:r>
        <w:rPr>
          <w:rFonts w:ascii="Arial" w:hAnsi="Arial" w:cs="Arial"/>
          <w:sz w:val="20"/>
        </w:rPr>
        <w:t>”, partono dall’</w:t>
      </w:r>
      <w:r w:rsidRPr="0096462D">
        <w:rPr>
          <w:rFonts w:ascii="Arial" w:hAnsi="Arial" w:cs="Arial"/>
          <w:sz w:val="20"/>
        </w:rPr>
        <w:t xml:space="preserve">analisi della struttura legale, operativa e contabile di un gruppo di imprese a livello nazionale e mondiale, al fine di stabilire le unità statistiche all'interno di quel gruppo, i loro collegamenti e le strutture più efficienti per la raccolta di dati statistici. Tali tecniche possono essere di tipo automatico e di tipo manuale. La prima si basa sullo sviluppo di programmi automatici per identificare l’impresa a livello di gruppo o di parti omogenee all’interno dello stesso e utilizza le informazioni disponibili all’interno dell’Istituto sia da fonti amministrative sia fonti statistiche. Utilizzando l’informazione contenuta nel sistema dei registri statistici e del </w:t>
      </w:r>
      <w:r w:rsidRPr="00742417">
        <w:rPr>
          <w:rFonts w:ascii="Arial" w:hAnsi="Arial" w:cs="Arial"/>
          <w:sz w:val="20"/>
        </w:rPr>
        <w:t>Frame-SBS, si tiene conto di alcuni elementi come l’omogeneità nell’attività economica svolta da ciascun gruppo</w:t>
      </w:r>
      <w:r w:rsidRPr="0096462D">
        <w:rPr>
          <w:rFonts w:ascii="Arial" w:hAnsi="Arial" w:cs="Arial"/>
          <w:sz w:val="20"/>
        </w:rPr>
        <w:t xml:space="preserve"> d’imprese, l’analisi della struttura del gruppo in termini di catene di controllo e legami tra le unità che lo compongono, la classificazione delle unità legali che all’interno di un gruppo svolgono attività “ancillari” o ‘’integrate” e il consolidamento dei flussi economici (ricavi, costi e investimenti). La seconda, grazie all’investimento in un team di </w:t>
      </w:r>
      <w:r w:rsidRPr="0096462D">
        <w:rPr>
          <w:rFonts w:ascii="Arial" w:hAnsi="Arial" w:cs="Arial"/>
          <w:i/>
          <w:sz w:val="20"/>
        </w:rPr>
        <w:t>profilers</w:t>
      </w:r>
      <w:r w:rsidRPr="0096462D">
        <w:rPr>
          <w:rFonts w:ascii="Arial" w:hAnsi="Arial" w:cs="Arial"/>
          <w:sz w:val="20"/>
        </w:rPr>
        <w:t xml:space="preserve"> altamente qualificato, monitora i grandi gruppi multinazionali con tecniche </w:t>
      </w:r>
      <w:r w:rsidRPr="00C2537E">
        <w:rPr>
          <w:rFonts w:ascii="Arial" w:hAnsi="Arial" w:cs="Arial"/>
          <w:i/>
          <w:sz w:val="20"/>
        </w:rPr>
        <w:t>desk</w:t>
      </w:r>
      <w:r w:rsidRPr="0096462D">
        <w:rPr>
          <w:rFonts w:ascii="Arial" w:hAnsi="Arial" w:cs="Arial"/>
          <w:sz w:val="20"/>
        </w:rPr>
        <w:t>, attraverso lo studio dei principali documenti contabili e mediante la raccolta diretta di informazioni.</w:t>
      </w:r>
    </w:p>
    <w:p w14:paraId="22C8BA49" w14:textId="77777777" w:rsidR="00DC3A15" w:rsidRPr="0096462D" w:rsidRDefault="00DC3A15" w:rsidP="00DC3A15">
      <w:pPr>
        <w:spacing w:after="120" w:line="240" w:lineRule="auto"/>
        <w:jc w:val="both"/>
        <w:rPr>
          <w:rFonts w:ascii="Arial" w:hAnsi="Arial" w:cs="Arial"/>
          <w:sz w:val="20"/>
        </w:rPr>
      </w:pPr>
      <w:r>
        <w:rPr>
          <w:rFonts w:ascii="Arial" w:hAnsi="Arial" w:cs="Arial"/>
          <w:sz w:val="20"/>
        </w:rPr>
        <w:t>A seguito dell’implementazione, i</w:t>
      </w:r>
      <w:r w:rsidRPr="00AB69FE">
        <w:rPr>
          <w:rFonts w:ascii="Arial" w:hAnsi="Arial" w:cs="Arial"/>
          <w:sz w:val="20"/>
        </w:rPr>
        <w:t>l Registro Asia-</w:t>
      </w:r>
      <w:r>
        <w:rPr>
          <w:rFonts w:ascii="Arial" w:hAnsi="Arial" w:cs="Arial"/>
          <w:i/>
          <w:sz w:val="20"/>
        </w:rPr>
        <w:t>Imprese</w:t>
      </w:r>
      <w:r w:rsidRPr="00AB69FE">
        <w:rPr>
          <w:rFonts w:ascii="Arial" w:hAnsi="Arial" w:cs="Arial"/>
          <w:sz w:val="20"/>
        </w:rPr>
        <w:t xml:space="preserve"> </w:t>
      </w:r>
      <w:r>
        <w:rPr>
          <w:rFonts w:ascii="Arial" w:hAnsi="Arial" w:cs="Arial"/>
          <w:sz w:val="20"/>
        </w:rPr>
        <w:t>o Asia Ent (Ent=</w:t>
      </w:r>
      <w:r w:rsidRPr="00710F9A">
        <w:rPr>
          <w:rFonts w:ascii="Arial" w:hAnsi="Arial" w:cs="Arial"/>
          <w:i/>
          <w:sz w:val="20"/>
        </w:rPr>
        <w:t>enterprise)</w:t>
      </w:r>
      <w:r>
        <w:rPr>
          <w:rFonts w:ascii="Arial" w:hAnsi="Arial" w:cs="Arial"/>
          <w:sz w:val="20"/>
        </w:rPr>
        <w:t xml:space="preserve"> </w:t>
      </w:r>
      <w:r w:rsidRPr="00AB69FE">
        <w:rPr>
          <w:rFonts w:ascii="Arial" w:hAnsi="Arial" w:cs="Arial"/>
          <w:sz w:val="20"/>
        </w:rPr>
        <w:t xml:space="preserve">è composto per la maggior parte da imprese indipendenti dove </w:t>
      </w:r>
      <w:r>
        <w:rPr>
          <w:rFonts w:ascii="Arial" w:hAnsi="Arial" w:cs="Arial"/>
          <w:sz w:val="20"/>
        </w:rPr>
        <w:t>un’impresa corrisponde a una unità giuridica</w:t>
      </w:r>
      <w:r w:rsidRPr="00AB69FE">
        <w:rPr>
          <w:rFonts w:ascii="Arial" w:hAnsi="Arial" w:cs="Arial"/>
          <w:sz w:val="20"/>
        </w:rPr>
        <w:t xml:space="preserve"> e da imprese complesse, formate da più unità giuridiche appartenenti a uno stesso gruppo.</w:t>
      </w:r>
      <w:r w:rsidRPr="0096462D">
        <w:rPr>
          <w:rFonts w:ascii="Arial" w:hAnsi="Arial" w:cs="Arial"/>
          <w:sz w:val="20"/>
        </w:rPr>
        <w:t xml:space="preserve"> </w:t>
      </w:r>
    </w:p>
    <w:p w14:paraId="099F53D2" w14:textId="77777777" w:rsidR="00DC3A15" w:rsidRPr="0096462D" w:rsidRDefault="00DC3A15" w:rsidP="00DC3A15">
      <w:pPr>
        <w:spacing w:after="120" w:line="240" w:lineRule="auto"/>
        <w:jc w:val="both"/>
        <w:rPr>
          <w:rFonts w:ascii="Arial" w:hAnsi="Arial" w:cs="Arial"/>
          <w:sz w:val="20"/>
        </w:rPr>
      </w:pPr>
      <w:r w:rsidRPr="0096462D">
        <w:rPr>
          <w:rFonts w:ascii="Arial" w:hAnsi="Arial" w:cs="Arial"/>
          <w:sz w:val="20"/>
        </w:rPr>
        <w:t>In linea con i</w:t>
      </w:r>
      <w:r>
        <w:rPr>
          <w:rFonts w:ascii="Arial" w:hAnsi="Arial" w:cs="Arial"/>
          <w:sz w:val="20"/>
        </w:rPr>
        <w:t xml:space="preserve">l sistema dei </w:t>
      </w:r>
      <w:r w:rsidRPr="0096462D">
        <w:rPr>
          <w:rFonts w:ascii="Arial" w:hAnsi="Arial" w:cs="Arial"/>
          <w:sz w:val="20"/>
        </w:rPr>
        <w:t>registri</w:t>
      </w:r>
      <w:r>
        <w:rPr>
          <w:rFonts w:ascii="Arial" w:hAnsi="Arial" w:cs="Arial"/>
          <w:sz w:val="20"/>
        </w:rPr>
        <w:t xml:space="preserve"> Asia</w:t>
      </w:r>
      <w:r w:rsidRPr="0096462D">
        <w:rPr>
          <w:rFonts w:ascii="Arial" w:hAnsi="Arial" w:cs="Arial"/>
          <w:sz w:val="20"/>
        </w:rPr>
        <w:t xml:space="preserve">, per </w:t>
      </w:r>
      <w:r>
        <w:rPr>
          <w:rFonts w:ascii="Arial" w:hAnsi="Arial" w:cs="Arial"/>
          <w:sz w:val="20"/>
        </w:rPr>
        <w:t xml:space="preserve">la stima e </w:t>
      </w:r>
      <w:r w:rsidRPr="0096462D">
        <w:rPr>
          <w:rFonts w:ascii="Arial" w:hAnsi="Arial" w:cs="Arial"/>
          <w:sz w:val="20"/>
        </w:rPr>
        <w:t>il consolidamento delle variabili economiche</w:t>
      </w:r>
      <w:r>
        <w:rPr>
          <w:rFonts w:ascii="Arial" w:hAnsi="Arial" w:cs="Arial"/>
          <w:sz w:val="20"/>
        </w:rPr>
        <w:t xml:space="preserve"> ai fini del Regolamento </w:t>
      </w:r>
      <w:r w:rsidRPr="00742417">
        <w:rPr>
          <w:rFonts w:ascii="Arial" w:hAnsi="Arial" w:cs="Arial"/>
          <w:sz w:val="20"/>
        </w:rPr>
        <w:t xml:space="preserve">SBS, è stato creato </w:t>
      </w:r>
      <w:r>
        <w:rPr>
          <w:rFonts w:ascii="Arial" w:hAnsi="Arial" w:cs="Arial"/>
          <w:sz w:val="20"/>
        </w:rPr>
        <w:t>il</w:t>
      </w:r>
      <w:r w:rsidRPr="00742417">
        <w:rPr>
          <w:rFonts w:ascii="Arial" w:hAnsi="Arial" w:cs="Arial"/>
          <w:sz w:val="20"/>
        </w:rPr>
        <w:t xml:space="preserve"> registro statistico esteso, denominato Frame-Ent, che dal concetto di impresa identificata</w:t>
      </w:r>
      <w:r>
        <w:rPr>
          <w:rFonts w:ascii="Arial" w:hAnsi="Arial" w:cs="Arial"/>
          <w:sz w:val="20"/>
        </w:rPr>
        <w:t xml:space="preserve"> sempre come singola </w:t>
      </w:r>
      <w:r w:rsidRPr="0096462D">
        <w:rPr>
          <w:rFonts w:ascii="Arial" w:hAnsi="Arial" w:cs="Arial"/>
          <w:sz w:val="20"/>
        </w:rPr>
        <w:t xml:space="preserve">unità giuridica passa alla nuova definizione di </w:t>
      </w:r>
      <w:r>
        <w:rPr>
          <w:rFonts w:ascii="Arial" w:hAnsi="Arial" w:cs="Arial"/>
          <w:sz w:val="20"/>
        </w:rPr>
        <w:t>impresa</w:t>
      </w:r>
      <w:r w:rsidRPr="0096462D">
        <w:rPr>
          <w:rFonts w:ascii="Arial" w:hAnsi="Arial" w:cs="Arial"/>
          <w:sz w:val="20"/>
        </w:rPr>
        <w:t xml:space="preserve">. </w:t>
      </w:r>
    </w:p>
    <w:p w14:paraId="405F55D6" w14:textId="77777777" w:rsidR="00DC3A15" w:rsidRPr="00DA769C" w:rsidRDefault="00DC3A15" w:rsidP="00DC3A15">
      <w:pPr>
        <w:spacing w:after="120" w:line="240" w:lineRule="auto"/>
        <w:jc w:val="both"/>
        <w:rPr>
          <w:rFonts w:ascii="Arial" w:hAnsi="Arial" w:cs="Arial"/>
          <w:sz w:val="20"/>
          <w:szCs w:val="20"/>
        </w:rPr>
      </w:pPr>
      <w:r w:rsidRPr="00DA769C">
        <w:rPr>
          <w:rFonts w:ascii="Arial" w:hAnsi="Arial" w:cs="Arial"/>
          <w:sz w:val="20"/>
          <w:szCs w:val="20"/>
        </w:rPr>
        <w:t xml:space="preserve">Le modifiche impattano sulle sole unità giuridiche appartenenti a gruppi, coinvolte dalla nuova concezione di impresa. Il passaggio alla nuova unità statistica, comporta un flusso prevalente delle unità giuridiche dei servizi, svolgenti attività </w:t>
      </w:r>
      <w:r w:rsidRPr="00DA769C">
        <w:rPr>
          <w:rFonts w:ascii="Arial" w:hAnsi="Arial" w:cs="Arial"/>
          <w:i/>
          <w:sz w:val="20"/>
          <w:szCs w:val="20"/>
        </w:rPr>
        <w:t>‘serventi’</w:t>
      </w:r>
      <w:r w:rsidRPr="00DA769C">
        <w:rPr>
          <w:rFonts w:ascii="Arial" w:hAnsi="Arial" w:cs="Arial"/>
          <w:sz w:val="20"/>
          <w:szCs w:val="20"/>
        </w:rPr>
        <w:t xml:space="preserve">, nelle </w:t>
      </w:r>
      <w:r w:rsidRPr="00DA769C">
        <w:rPr>
          <w:rFonts w:ascii="Arial" w:hAnsi="Arial" w:cs="Arial"/>
          <w:i/>
          <w:sz w:val="20"/>
          <w:szCs w:val="20"/>
        </w:rPr>
        <w:t>Ent</w:t>
      </w:r>
      <w:r w:rsidRPr="00DA769C">
        <w:rPr>
          <w:rFonts w:ascii="Arial" w:hAnsi="Arial" w:cs="Arial"/>
          <w:sz w:val="20"/>
          <w:szCs w:val="20"/>
        </w:rPr>
        <w:t xml:space="preserve"> dell’industria. Alcune unità giuridiche possono anche essere serventi a più </w:t>
      </w:r>
      <w:r w:rsidRPr="00DA769C">
        <w:rPr>
          <w:rFonts w:ascii="Arial" w:hAnsi="Arial" w:cs="Arial"/>
          <w:i/>
          <w:sz w:val="20"/>
          <w:szCs w:val="20"/>
        </w:rPr>
        <w:t xml:space="preserve">imprese </w:t>
      </w:r>
      <w:r w:rsidRPr="00DA769C">
        <w:rPr>
          <w:rFonts w:ascii="Arial" w:hAnsi="Arial" w:cs="Arial"/>
          <w:sz w:val="20"/>
          <w:szCs w:val="20"/>
        </w:rPr>
        <w:t xml:space="preserve">dello stesso gruppo proporzionalmente ai flussi scambiati. </w:t>
      </w:r>
      <w:r>
        <w:rPr>
          <w:rFonts w:ascii="Arial" w:hAnsi="Arial" w:cs="Arial"/>
          <w:sz w:val="20"/>
          <w:szCs w:val="20"/>
        </w:rPr>
        <w:t>N</w:t>
      </w:r>
      <w:r w:rsidRPr="00DA769C">
        <w:rPr>
          <w:rFonts w:ascii="Arial" w:hAnsi="Arial" w:cs="Arial"/>
          <w:sz w:val="20"/>
          <w:szCs w:val="20"/>
        </w:rPr>
        <w:t>el 2017, il passaggio alla nuova definizione e la conseguente elisione dei flussi</w:t>
      </w:r>
      <w:r>
        <w:rPr>
          <w:rFonts w:ascii="Arial" w:hAnsi="Arial" w:cs="Arial"/>
          <w:sz w:val="20"/>
          <w:szCs w:val="20"/>
        </w:rPr>
        <w:t xml:space="preserve"> economici</w:t>
      </w:r>
      <w:r w:rsidRPr="00DA769C">
        <w:rPr>
          <w:rFonts w:ascii="Arial" w:hAnsi="Arial" w:cs="Arial"/>
          <w:sz w:val="20"/>
          <w:szCs w:val="20"/>
        </w:rPr>
        <w:t xml:space="preserve"> tra le unità giuridiche, </w:t>
      </w:r>
      <w:r>
        <w:rPr>
          <w:rFonts w:ascii="Arial" w:hAnsi="Arial" w:cs="Arial"/>
          <w:sz w:val="20"/>
          <w:szCs w:val="20"/>
        </w:rPr>
        <w:t>h</w:t>
      </w:r>
      <w:r w:rsidRPr="00DA769C">
        <w:rPr>
          <w:rFonts w:ascii="Arial" w:hAnsi="Arial" w:cs="Arial"/>
          <w:sz w:val="20"/>
          <w:szCs w:val="20"/>
        </w:rPr>
        <w:t>a determinato un abbattimento del fatturato dell’1,7%, con una contrazione nei servizi di 84 miliardi circa e un’espansione nell’industria di circa 33 miliardi.</w:t>
      </w:r>
    </w:p>
    <w:p w14:paraId="246CD593" w14:textId="77777777" w:rsidR="00DC3A15" w:rsidRDefault="00DC3A15" w:rsidP="00DC3A15">
      <w:pPr>
        <w:spacing w:after="120" w:line="240" w:lineRule="auto"/>
        <w:jc w:val="both"/>
        <w:rPr>
          <w:rFonts w:ascii="Arial" w:hAnsi="Arial" w:cs="Arial"/>
          <w:sz w:val="20"/>
          <w:szCs w:val="20"/>
        </w:rPr>
      </w:pPr>
      <w:r w:rsidRPr="00DA769C">
        <w:rPr>
          <w:rFonts w:ascii="Arial" w:hAnsi="Arial" w:cs="Arial"/>
          <w:sz w:val="20"/>
          <w:szCs w:val="20"/>
        </w:rPr>
        <w:t>La ricollocazione per settori si riflette sulle variabili economiche non additive</w:t>
      </w:r>
      <w:r>
        <w:rPr>
          <w:rFonts w:ascii="Arial" w:hAnsi="Arial" w:cs="Arial"/>
          <w:sz w:val="20"/>
          <w:szCs w:val="20"/>
        </w:rPr>
        <w:t>,</w:t>
      </w:r>
      <w:r w:rsidRPr="00DA769C">
        <w:rPr>
          <w:rFonts w:ascii="Arial" w:hAnsi="Arial" w:cs="Arial"/>
          <w:sz w:val="20"/>
          <w:szCs w:val="20"/>
        </w:rPr>
        <w:t xml:space="preserve"> quali il fatturato</w:t>
      </w:r>
      <w:r>
        <w:rPr>
          <w:rFonts w:ascii="Arial" w:hAnsi="Arial" w:cs="Arial"/>
          <w:sz w:val="20"/>
          <w:szCs w:val="20"/>
        </w:rPr>
        <w:t>,</w:t>
      </w:r>
      <w:r w:rsidRPr="00DA769C">
        <w:rPr>
          <w:rFonts w:ascii="Arial" w:hAnsi="Arial" w:cs="Arial"/>
          <w:sz w:val="20"/>
          <w:szCs w:val="20"/>
        </w:rPr>
        <w:t xml:space="preserve"> con un duplice effetto: un effetto di riallocazione e un effetto di consolidamento dovuto all’elisione dei flussi economici intra-Ent. La riallocazione delle unità verso il settore industriale produce un aumento del fatturato di questo settore (effetto riallocazione); tale incremento è attenuato dal consolidamento dei flussi economici delle unità serventi. Nei settori serventi, commercio e servizi, l’effetto riallocazione è minore mentre l’effetto consolidamento si ha principalmente nel settore industriale. </w:t>
      </w:r>
    </w:p>
    <w:p w14:paraId="7F77D1BD" w14:textId="77777777" w:rsidR="00DC3A15" w:rsidRPr="00DA6AA4" w:rsidRDefault="00DC3A15" w:rsidP="00DC3A15">
      <w:pPr>
        <w:spacing w:after="120" w:line="240" w:lineRule="auto"/>
        <w:jc w:val="both"/>
        <w:rPr>
          <w:rFonts w:ascii="Arial" w:hAnsi="Arial" w:cs="Arial"/>
          <w:b/>
          <w:color w:val="1F497D"/>
          <w:sz w:val="22"/>
          <w:szCs w:val="22"/>
        </w:rPr>
      </w:pPr>
      <w:r w:rsidRPr="00DA6AA4">
        <w:rPr>
          <w:rFonts w:ascii="Arial" w:hAnsi="Arial" w:cs="Arial"/>
          <w:b/>
          <w:color w:val="1F497D"/>
          <w:sz w:val="22"/>
          <w:szCs w:val="22"/>
        </w:rPr>
        <w:t>Il disegno di campionamento</w:t>
      </w:r>
    </w:p>
    <w:p w14:paraId="32B63AEB" w14:textId="77777777" w:rsidR="00DC3A15" w:rsidRDefault="00DC3A15" w:rsidP="00DC3A15">
      <w:pPr>
        <w:spacing w:after="120" w:line="240" w:lineRule="auto"/>
        <w:jc w:val="both"/>
        <w:rPr>
          <w:rFonts w:ascii="Arial" w:hAnsi="Arial" w:cs="Arial"/>
          <w:sz w:val="20"/>
        </w:rPr>
      </w:pPr>
      <w:r w:rsidRPr="009D7DA8">
        <w:rPr>
          <w:rFonts w:ascii="Arial" w:hAnsi="Arial" w:cs="Arial"/>
          <w:sz w:val="20"/>
        </w:rPr>
        <w:t xml:space="preserve">A partire dall’anno 2012 </w:t>
      </w:r>
      <w:r>
        <w:rPr>
          <w:rFonts w:ascii="Arial" w:hAnsi="Arial" w:cs="Arial"/>
          <w:sz w:val="20"/>
        </w:rPr>
        <w:t xml:space="preserve">e fino all’anno 2016, </w:t>
      </w:r>
      <w:r w:rsidRPr="009D7DA8">
        <w:rPr>
          <w:rFonts w:ascii="Arial" w:hAnsi="Arial" w:cs="Arial"/>
          <w:sz w:val="20"/>
        </w:rPr>
        <w:t xml:space="preserve">il Regolamento SBS </w:t>
      </w:r>
      <w:r>
        <w:rPr>
          <w:rFonts w:ascii="Arial" w:hAnsi="Arial" w:cs="Arial"/>
          <w:sz w:val="20"/>
        </w:rPr>
        <w:t xml:space="preserve">veniva </w:t>
      </w:r>
      <w:r w:rsidRPr="009D7DA8">
        <w:rPr>
          <w:rFonts w:ascii="Arial" w:hAnsi="Arial" w:cs="Arial"/>
          <w:sz w:val="20"/>
        </w:rPr>
        <w:t>soddisfatto attraverso l’elaborazione del sistema informativo Frame - una base di microdati di fonte amministrativa trattati statisticamente e combinati con quelli della rilevazione campionaria PMI - e dell’insieme dei risultati della rilevazione totale SCI</w:t>
      </w:r>
      <w:r>
        <w:rPr>
          <w:rFonts w:ascii="Arial" w:hAnsi="Arial" w:cs="Arial"/>
          <w:sz w:val="20"/>
        </w:rPr>
        <w:t xml:space="preserve"> (SCI e PMI sono gli acronimi utilizzati per identificare le due componenti della </w:t>
      </w:r>
      <w:r w:rsidRPr="00742417">
        <w:rPr>
          <w:rFonts w:ascii="Arial" w:hAnsi="Arial" w:cs="Arial"/>
          <w:bCs/>
          <w:sz w:val="20"/>
        </w:rPr>
        <w:t>Rilevazione dei conti economici delle imprese e per l'esercizio di arti e professioni</w:t>
      </w:r>
      <w:r>
        <w:rPr>
          <w:rFonts w:ascii="Arial" w:hAnsi="Arial" w:cs="Arial"/>
          <w:bCs/>
          <w:sz w:val="20"/>
        </w:rPr>
        <w:t>).</w:t>
      </w:r>
      <w:r>
        <w:rPr>
          <w:rFonts w:ascii="Arial" w:hAnsi="Arial" w:cs="Arial"/>
          <w:sz w:val="20"/>
        </w:rPr>
        <w:t xml:space="preserve"> A partire dall’anno 2017 per soddisfare il Regolamento è stata introdotta la </w:t>
      </w:r>
      <w:r w:rsidRPr="009D7DA8">
        <w:rPr>
          <w:rFonts w:ascii="Arial" w:hAnsi="Arial" w:cs="Arial"/>
          <w:sz w:val="20"/>
        </w:rPr>
        <w:t>rilevazione campionaria sui flussi intragruppo (</w:t>
      </w:r>
      <w:r w:rsidRPr="00696501">
        <w:rPr>
          <w:rFonts w:ascii="Arial" w:hAnsi="Arial" w:cs="Arial"/>
          <w:sz w:val="20"/>
        </w:rPr>
        <w:t>Rilevazione sui flussi infragruppo dei principali gruppi di imprese per implementa</w:t>
      </w:r>
      <w:r>
        <w:rPr>
          <w:rFonts w:ascii="Arial" w:hAnsi="Arial" w:cs="Arial"/>
          <w:sz w:val="20"/>
        </w:rPr>
        <w:t xml:space="preserve">zione di </w:t>
      </w:r>
      <w:r w:rsidRPr="00742417">
        <w:rPr>
          <w:rFonts w:ascii="Arial" w:hAnsi="Arial" w:cs="Arial"/>
          <w:i/>
          <w:sz w:val="20"/>
        </w:rPr>
        <w:t>Action Plan SBS</w:t>
      </w:r>
      <w:r>
        <w:rPr>
          <w:rFonts w:ascii="Arial" w:hAnsi="Arial" w:cs="Arial"/>
          <w:sz w:val="20"/>
        </w:rPr>
        <w:t xml:space="preserve"> - </w:t>
      </w:r>
      <w:r w:rsidRPr="009D7DA8">
        <w:rPr>
          <w:rFonts w:ascii="Arial" w:hAnsi="Arial" w:cs="Arial"/>
          <w:sz w:val="20"/>
        </w:rPr>
        <w:t xml:space="preserve">RFI). </w:t>
      </w:r>
    </w:p>
    <w:p w14:paraId="13FF1B92" w14:textId="77777777" w:rsidR="00DC3A15" w:rsidRPr="00247BB6" w:rsidRDefault="00DC3A15" w:rsidP="00DC3A15">
      <w:pPr>
        <w:spacing w:after="120" w:line="240" w:lineRule="auto"/>
        <w:jc w:val="both"/>
        <w:rPr>
          <w:rFonts w:ascii="Arial" w:hAnsi="Arial" w:cs="Arial"/>
          <w:sz w:val="20"/>
          <w:highlight w:val="yellow"/>
        </w:rPr>
      </w:pPr>
      <w:r w:rsidRPr="009D7DA8">
        <w:rPr>
          <w:rFonts w:ascii="Arial" w:hAnsi="Arial" w:cs="Arial"/>
          <w:sz w:val="20"/>
        </w:rPr>
        <w:t>La base informativa Frame insieme ai dati della rilevazione SCI prende il nome di Frame-SBS. Fino all’edizione 2016, il Frame è stato costruito per le sole unità giuridiche con meno di 100 addetti</w:t>
      </w:r>
      <w:r>
        <w:rPr>
          <w:rFonts w:ascii="Arial" w:hAnsi="Arial" w:cs="Arial"/>
          <w:sz w:val="20"/>
        </w:rPr>
        <w:t>;</w:t>
      </w:r>
      <w:r w:rsidRPr="009D7DA8">
        <w:rPr>
          <w:rFonts w:ascii="Arial" w:hAnsi="Arial" w:cs="Arial"/>
          <w:sz w:val="20"/>
        </w:rPr>
        <w:t xml:space="preserve"> a partire dall’edizione 2017 è costruito per le unità giuridiche</w:t>
      </w:r>
      <w:r>
        <w:rPr>
          <w:rFonts w:ascii="Arial" w:hAnsi="Arial" w:cs="Arial"/>
          <w:sz w:val="20"/>
        </w:rPr>
        <w:t xml:space="preserve"> fino a 250 addetti e per le stime SBS finali è stato utilizzato il Frame-Ent, integrando al Frame-SBS i dati della rilevazione RFI.</w:t>
      </w:r>
    </w:p>
    <w:p w14:paraId="5F43A958" w14:textId="77777777" w:rsidR="004B0BB5" w:rsidRDefault="004B0BB5" w:rsidP="004B0BB5">
      <w:pPr>
        <w:spacing w:after="120" w:line="240" w:lineRule="auto"/>
        <w:jc w:val="both"/>
        <w:rPr>
          <w:rFonts w:ascii="Arial" w:hAnsi="Arial" w:cs="Arial"/>
          <w:sz w:val="20"/>
        </w:rPr>
      </w:pPr>
      <w:r w:rsidRPr="004B0BB5">
        <w:rPr>
          <w:rFonts w:ascii="Arial" w:hAnsi="Arial" w:cs="Arial"/>
          <w:sz w:val="20"/>
        </w:rPr>
        <w:t>Il sistema Frame-SBS per le unità giuridiche con meno di 250 addetti (in numero di 4.627.098) è basato sul trattamento statistico delle informazioni provenienti dalle seguenti fonti amministrative: Bilanci civilistici (19,8%), Indici Sintetici di Affidabilità (ISA) – ex Studi di Settore (38,3%), Modello Redditi – ex Modello Unico (36,4%), Modello Irap (2,2%) – altre fonti (3,0%). Una quota di unità giuridiche (0,3%) non risulta coperto dalle fonti amministrative e viene integrata sulla base di un processo di stima statistica, a livello di microdati, basato sull’uso combinato di diversi metodi di imputazione. La progettazione del processo di raccolta dati a partire dall’anno 2017 e la conseguente produzione di</w:t>
      </w:r>
      <w:r w:rsidRPr="00A96C64">
        <w:rPr>
          <w:rFonts w:ascii="Arial" w:hAnsi="Arial" w:cs="Arial"/>
          <w:sz w:val="20"/>
        </w:rPr>
        <w:t xml:space="preserve"> stime finali si basano sulla corretta implementazione della nuova unità statistica impresa che prevede di considerare, per le unità appartenenti a gruppi, l'aggregazione delle unità legali secondo il principio dell'autonomia decisionale tenendo conto dei flussi che intervengono fra le unità giuridiche di uno stesso gruppo.</w:t>
      </w:r>
      <w:r w:rsidRPr="00103E63">
        <w:rPr>
          <w:rFonts w:ascii="Arial" w:hAnsi="Arial" w:cs="Arial"/>
          <w:sz w:val="20"/>
        </w:rPr>
        <w:t xml:space="preserve"> </w:t>
      </w:r>
    </w:p>
    <w:p w14:paraId="4961DF6D" w14:textId="77777777" w:rsidR="00DC3A15" w:rsidRPr="009D0635" w:rsidRDefault="00DC3A15" w:rsidP="00DC3A15">
      <w:pPr>
        <w:spacing w:after="120" w:line="240" w:lineRule="auto"/>
        <w:jc w:val="both"/>
        <w:rPr>
          <w:rFonts w:ascii="Arial" w:hAnsi="Arial" w:cs="Arial"/>
          <w:sz w:val="20"/>
        </w:rPr>
      </w:pPr>
      <w:r w:rsidRPr="00103E63">
        <w:rPr>
          <w:rFonts w:ascii="Arial" w:hAnsi="Arial" w:cs="Arial"/>
          <w:sz w:val="20"/>
        </w:rPr>
        <w:t>La costruzione del sistema prevede inoltre l’uso della fonte Racli (Registro Annuale del Costo del lavoro per Impresa), ottenuto sulla base della fonte Inps-Emens, come informazione ausiliaria relativamente al costo del lavoro per le unità giuridiche con dipendenti. Le variabili non presenti nel Frame, ma richieste dal regolamento SBS, vengono infine integrate per dominio con i dati della rilevazione PMI.</w:t>
      </w:r>
      <w:r>
        <w:rPr>
          <w:rFonts w:ascii="Arial" w:hAnsi="Arial" w:cs="Arial"/>
          <w:sz w:val="20"/>
        </w:rPr>
        <w:t xml:space="preserve"> </w:t>
      </w:r>
    </w:p>
    <w:p w14:paraId="4AC526F9" w14:textId="77777777" w:rsidR="00DC3A15" w:rsidRPr="00171AE9" w:rsidRDefault="00DC3A15" w:rsidP="00DC3A15">
      <w:pPr>
        <w:spacing w:after="120" w:line="240" w:lineRule="auto"/>
        <w:jc w:val="both"/>
        <w:rPr>
          <w:rFonts w:ascii="Arial" w:hAnsi="Arial" w:cs="Arial"/>
          <w:sz w:val="20"/>
        </w:rPr>
      </w:pPr>
      <w:r w:rsidRPr="009D0635">
        <w:rPr>
          <w:rFonts w:ascii="Arial" w:hAnsi="Arial" w:cs="Arial"/>
          <w:sz w:val="20"/>
        </w:rPr>
        <w:t>Ai fini di un ulteriore ampliamento delle variabili del registro Frame-SBS disponibili a livello micro per tutte le unità giuridiche contenute nel registro Asia, dal 2014 le ore lavorate per lavoro dipendente sono state prodotte sfruttando congiuntamente sia i dati amministrativi sull’input di lavoro del registro Racli sia le informazioni provenienti dalla Rilevazione mensile sull’occupazione, gli orari di lavoro, le retribuzioni e il costo del lavoro nelle grandi imprese (GI)</w:t>
      </w:r>
      <w:r>
        <w:rPr>
          <w:rFonts w:ascii="Arial" w:hAnsi="Arial" w:cs="Arial"/>
          <w:sz w:val="20"/>
        </w:rPr>
        <w:t>, dal</w:t>
      </w:r>
      <w:r w:rsidRPr="009D0635">
        <w:rPr>
          <w:rFonts w:ascii="Arial" w:hAnsi="Arial" w:cs="Arial"/>
          <w:sz w:val="20"/>
        </w:rPr>
        <w:t>l’Indagine trimestrale sui posti vacanti e le ore lavorate (Vela) e da</w:t>
      </w:r>
      <w:r>
        <w:rPr>
          <w:rFonts w:ascii="Arial" w:hAnsi="Arial" w:cs="Arial"/>
          <w:sz w:val="20"/>
        </w:rPr>
        <w:t xml:space="preserve">lle </w:t>
      </w:r>
      <w:r w:rsidRPr="00171AE9">
        <w:rPr>
          <w:rFonts w:ascii="Arial" w:hAnsi="Arial" w:cs="Arial"/>
          <w:sz w:val="20"/>
        </w:rPr>
        <w:t xml:space="preserve">rilevazioni strutturali SCI e PMI. </w:t>
      </w:r>
    </w:p>
    <w:p w14:paraId="15E1C7D7" w14:textId="77777777" w:rsidR="004B0BB5" w:rsidRPr="004B0BB5" w:rsidRDefault="004B0BB5" w:rsidP="004B0BB5">
      <w:pPr>
        <w:spacing w:after="120" w:line="240" w:lineRule="auto"/>
        <w:jc w:val="both"/>
        <w:rPr>
          <w:rFonts w:ascii="Arial" w:hAnsi="Arial" w:cs="Arial"/>
          <w:sz w:val="20"/>
        </w:rPr>
      </w:pPr>
      <w:r w:rsidRPr="004B0BB5">
        <w:rPr>
          <w:rFonts w:ascii="Arial" w:hAnsi="Arial" w:cs="Arial"/>
          <w:sz w:val="20"/>
        </w:rPr>
        <w:t>Integrando i dati della rilevazione RFI al Frame-SBS, laddove disponibili, e utilizzando alcuni modelli di stima dei flussi di valore intra-impresa, si ottengono le informazioni necessarie per ottenere il Frame-Ent costituito, nel 2024, da 4.532.053 imprese per quanto riguarda la popolazione di riferimento.</w:t>
      </w:r>
    </w:p>
    <w:p w14:paraId="11BC43EC" w14:textId="77777777" w:rsidR="004B0BB5" w:rsidRPr="004B0BB5" w:rsidRDefault="004B0BB5" w:rsidP="004B0BB5">
      <w:pPr>
        <w:spacing w:after="120" w:line="240" w:lineRule="auto"/>
        <w:jc w:val="both"/>
        <w:rPr>
          <w:rFonts w:ascii="Arial" w:hAnsi="Arial" w:cs="Arial"/>
          <w:sz w:val="20"/>
        </w:rPr>
      </w:pPr>
      <w:r w:rsidRPr="004B0BB5">
        <w:rPr>
          <w:rFonts w:ascii="Arial" w:hAnsi="Arial" w:cs="Arial"/>
          <w:sz w:val="20"/>
        </w:rPr>
        <w:t xml:space="preserve">Il disegno di campionamento della rilevazione PMI è a uno stadio stratificato; gli strati sono definiti dalla combinazione delle modalità identificative dei settori di attività economica (codici a quattro cifre della classificazione Nace Rev.2), delle classi di addetti (0-1, 2-9, 10-19, 20-49, 50-99, 99-249) e delle ripartizioni geografiche di localizzazione delle imprese. Il campione teorico della rilevazione PMI, riferito all’anno 2024, è costituito da 79.996 unità giuridiche, l’1,7% del complesso delle unità giuridiche italiane appartenenti al campo di osservazione. Per le stime sono state considerate le 30.682 unità rispondenti e le 7.676 unità integrate utilizzando le informazioni provenienti dalle fonti amministrative, per un totale di 38.358 unità, il 48% del campione teorico. </w:t>
      </w:r>
    </w:p>
    <w:p w14:paraId="7E866CC7" w14:textId="77777777" w:rsidR="004B0BB5" w:rsidRPr="00875EF4" w:rsidRDefault="004B0BB5" w:rsidP="004B0BB5">
      <w:pPr>
        <w:spacing w:after="120" w:line="240" w:lineRule="auto"/>
        <w:jc w:val="both"/>
        <w:rPr>
          <w:rFonts w:ascii="Arial" w:hAnsi="Arial" w:cs="Arial"/>
          <w:sz w:val="20"/>
        </w:rPr>
      </w:pPr>
      <w:r w:rsidRPr="004B0BB5">
        <w:rPr>
          <w:rFonts w:ascii="Arial" w:hAnsi="Arial" w:cs="Arial"/>
          <w:sz w:val="20"/>
        </w:rPr>
        <w:t>La rilevazione totale SCI è rivolta alle imprese con 250 addetti e oltre. Alle imprese che svolgono un’attività secondaria significativa vengono inviati ulteriori questionari ad hoc al fine di raccogliere le informazioni distinte per le diverse attività economiche in cui opera l’impresa. La rilevazione, con riferimento all’anno 2024, riguarda un universo di 4.652 imprese dell’industria e dei servizi con 250 addetti e oltre, presenti nel registro di riferimento (Asia). I questionari ricevuti e utilizzabili sono stati 3.770. Il tasso di risposta riferito alla lista di partenza è stato dell’85%. L'integrazione delle mancate risposte totali è stata effettuata per la totalità delle imprese non rispondenti sulla base dell’utilizzo dei dati di fonte amministrativa.</w:t>
      </w:r>
      <w:r w:rsidRPr="00875EF4">
        <w:rPr>
          <w:rFonts w:ascii="Arial" w:hAnsi="Arial" w:cs="Arial"/>
          <w:sz w:val="20"/>
        </w:rPr>
        <w:t xml:space="preserve"> </w:t>
      </w:r>
    </w:p>
    <w:p w14:paraId="38BAEA7D" w14:textId="4BA0A76F" w:rsidR="00875EF4" w:rsidRDefault="00875EF4" w:rsidP="00875EF4">
      <w:pPr>
        <w:spacing w:after="120" w:line="240" w:lineRule="auto"/>
        <w:jc w:val="both"/>
        <w:rPr>
          <w:rFonts w:ascii="Arial" w:hAnsi="Arial" w:cs="Arial"/>
          <w:sz w:val="20"/>
        </w:rPr>
      </w:pPr>
      <w:r w:rsidRPr="00875EF4">
        <w:rPr>
          <w:rFonts w:ascii="Arial" w:hAnsi="Arial" w:cs="Arial"/>
          <w:sz w:val="20"/>
        </w:rPr>
        <w:t xml:space="preserve">La rilevazione RFI è rivolta a grandi gruppi italiani selezionati secondo criteri dimensionali (numero di unità giuridiche, numero di imprese - </w:t>
      </w:r>
      <w:r w:rsidRPr="00875EF4">
        <w:rPr>
          <w:rFonts w:ascii="Arial" w:hAnsi="Arial" w:cs="Arial"/>
          <w:i/>
          <w:sz w:val="20"/>
        </w:rPr>
        <w:t>Ent</w:t>
      </w:r>
      <w:r w:rsidRPr="00875EF4">
        <w:rPr>
          <w:rFonts w:ascii="Arial" w:hAnsi="Arial" w:cs="Arial"/>
          <w:sz w:val="20"/>
        </w:rPr>
        <w:t xml:space="preserve"> - e numero di addetti) e di copertura di diversi settori di attività economica. Per ciascun gruppo è selezionata l’unità giuridica ‘capogruppo’ alla quale viene inviato il questionario e che dovrà fornire le informazioni per tutte le unità di analisi. In particolare sono richiesti i valori degli scambi tra unità legali appartenenti alla stessa impresa. </w:t>
      </w:r>
      <w:r w:rsidRPr="003F2F5E">
        <w:rPr>
          <w:rFonts w:ascii="Arial" w:hAnsi="Arial" w:cs="Arial"/>
          <w:sz w:val="20"/>
        </w:rPr>
        <w:t>La rilevazione riferita all’anno 202</w:t>
      </w:r>
      <w:r w:rsidR="003F2F5E" w:rsidRPr="003F2F5E">
        <w:rPr>
          <w:rFonts w:ascii="Arial" w:hAnsi="Arial" w:cs="Arial"/>
          <w:sz w:val="20"/>
        </w:rPr>
        <w:t>4</w:t>
      </w:r>
      <w:r w:rsidRPr="003F2F5E">
        <w:rPr>
          <w:rFonts w:ascii="Arial" w:hAnsi="Arial" w:cs="Arial"/>
          <w:sz w:val="20"/>
        </w:rPr>
        <w:t xml:space="preserve"> ha coinvolto </w:t>
      </w:r>
      <w:r w:rsidR="003F2F5E" w:rsidRPr="003F2F5E">
        <w:rPr>
          <w:rFonts w:ascii="Arial" w:hAnsi="Arial" w:cs="Arial"/>
          <w:sz w:val="20"/>
        </w:rPr>
        <w:t xml:space="preserve">86 </w:t>
      </w:r>
      <w:r w:rsidRPr="003F2F5E">
        <w:rPr>
          <w:rFonts w:ascii="Arial" w:hAnsi="Arial" w:cs="Arial"/>
          <w:sz w:val="20"/>
        </w:rPr>
        <w:t>gruppi e 2.</w:t>
      </w:r>
      <w:r w:rsidR="003F2F5E" w:rsidRPr="003F2F5E">
        <w:rPr>
          <w:rFonts w:ascii="Arial" w:hAnsi="Arial" w:cs="Arial"/>
          <w:sz w:val="20"/>
        </w:rPr>
        <w:t>198</w:t>
      </w:r>
      <w:r w:rsidRPr="003F2F5E">
        <w:rPr>
          <w:rFonts w:ascii="Arial" w:hAnsi="Arial" w:cs="Arial"/>
          <w:sz w:val="20"/>
        </w:rPr>
        <w:t xml:space="preserve"> unità giuridiche e i questionari ricevuti e utilizzabili sono stati </w:t>
      </w:r>
      <w:r w:rsidR="003F2F5E" w:rsidRPr="003F2F5E">
        <w:rPr>
          <w:rFonts w:ascii="Arial" w:hAnsi="Arial" w:cs="Arial"/>
          <w:sz w:val="20"/>
        </w:rPr>
        <w:t>83</w:t>
      </w:r>
      <w:r w:rsidRPr="003F2F5E">
        <w:rPr>
          <w:rFonts w:ascii="Arial" w:hAnsi="Arial" w:cs="Arial"/>
          <w:sz w:val="20"/>
        </w:rPr>
        <w:t>.</w:t>
      </w:r>
    </w:p>
    <w:p w14:paraId="59F7EA01" w14:textId="33115D2E" w:rsidR="00DC3A15" w:rsidRDefault="00DC3A15" w:rsidP="00DC3A15">
      <w:pPr>
        <w:spacing w:after="120" w:line="240" w:lineRule="auto"/>
        <w:jc w:val="both"/>
        <w:rPr>
          <w:rFonts w:ascii="Arial" w:hAnsi="Arial" w:cs="Arial"/>
          <w:b/>
          <w:color w:val="1F497D"/>
          <w:sz w:val="22"/>
          <w:szCs w:val="22"/>
        </w:rPr>
      </w:pPr>
      <w:r w:rsidRPr="00626A34">
        <w:rPr>
          <w:rFonts w:ascii="Arial" w:hAnsi="Arial" w:cs="Arial"/>
          <w:b/>
          <w:color w:val="1F497D"/>
          <w:sz w:val="22"/>
          <w:szCs w:val="22"/>
        </w:rPr>
        <w:t>La raccolta delle informazioni</w:t>
      </w:r>
    </w:p>
    <w:p w14:paraId="16D91D8E" w14:textId="0A3D7118" w:rsidR="00DC3A15" w:rsidRPr="00D91ECF" w:rsidRDefault="00DC3A15" w:rsidP="00DC3A15">
      <w:pPr>
        <w:autoSpaceDE w:val="0"/>
        <w:autoSpaceDN w:val="0"/>
        <w:adjustRightInd w:val="0"/>
        <w:spacing w:after="120" w:line="240" w:lineRule="auto"/>
        <w:jc w:val="both"/>
        <w:rPr>
          <w:bCs/>
        </w:rPr>
      </w:pPr>
      <w:r w:rsidRPr="004B0BB5">
        <w:rPr>
          <w:rFonts w:ascii="Arial" w:hAnsi="Arial" w:cs="Arial"/>
          <w:sz w:val="20"/>
        </w:rPr>
        <w:t>Per l’anno 202</w:t>
      </w:r>
      <w:r w:rsidR="0046478B" w:rsidRPr="004B0BB5">
        <w:rPr>
          <w:rFonts w:ascii="Arial" w:hAnsi="Arial" w:cs="Arial"/>
          <w:sz w:val="20"/>
        </w:rPr>
        <w:t>4</w:t>
      </w:r>
      <w:r w:rsidRPr="004B0BB5">
        <w:rPr>
          <w:rFonts w:ascii="Arial" w:hAnsi="Arial" w:cs="Arial"/>
          <w:sz w:val="20"/>
        </w:rPr>
        <w:t xml:space="preserve"> le rilevazioni PMI e SCI sono state condotte mediante autocompilazione di un questionario on-line accessibile dal portale delle imprese. Esse raccolgono dati dettagliati sui risultati economici, sull’occupazione, sul costo del personale, sugli investimenti e su altre caratteristiche rilevanti delle unità legali. La rilevazione RFI, che rileva i flussi tra le unità giuridiche appartenenti allo stesso gruppo, è stata condotta nel 202</w:t>
      </w:r>
      <w:r w:rsidR="0046478B" w:rsidRPr="004B0BB5">
        <w:rPr>
          <w:rFonts w:ascii="Arial" w:hAnsi="Arial" w:cs="Arial"/>
          <w:sz w:val="20"/>
        </w:rPr>
        <w:t>4</w:t>
      </w:r>
      <w:r w:rsidRPr="004B0BB5">
        <w:rPr>
          <w:rFonts w:ascii="Arial" w:hAnsi="Arial" w:cs="Arial"/>
          <w:sz w:val="20"/>
        </w:rPr>
        <w:t xml:space="preserve"> mediante autocompilazione di</w:t>
      </w:r>
      <w:r w:rsidRPr="00626A34">
        <w:rPr>
          <w:rFonts w:ascii="Arial" w:hAnsi="Arial" w:cs="Arial"/>
          <w:sz w:val="20"/>
        </w:rPr>
        <w:t xml:space="preserve"> un questionario elettronic</w:t>
      </w:r>
      <w:r>
        <w:rPr>
          <w:rFonts w:ascii="Arial" w:hAnsi="Arial" w:cs="Arial"/>
          <w:sz w:val="20"/>
        </w:rPr>
        <w:t>o scaricabile dal web.</w:t>
      </w:r>
    </w:p>
    <w:p w14:paraId="224F875C" w14:textId="77777777" w:rsidR="00DC3A15" w:rsidRPr="00427FDB" w:rsidRDefault="00DC3A15" w:rsidP="00DC3A15">
      <w:pPr>
        <w:spacing w:after="120" w:line="240" w:lineRule="auto"/>
        <w:jc w:val="both"/>
        <w:rPr>
          <w:rFonts w:ascii="Arial" w:hAnsi="Arial" w:cs="Arial"/>
          <w:b/>
          <w:color w:val="1F497D"/>
          <w:sz w:val="22"/>
          <w:szCs w:val="22"/>
        </w:rPr>
      </w:pPr>
      <w:r w:rsidRPr="00626A34">
        <w:rPr>
          <w:rFonts w:ascii="Arial" w:hAnsi="Arial" w:cs="Arial"/>
          <w:b/>
          <w:color w:val="1F497D"/>
          <w:sz w:val="22"/>
          <w:szCs w:val="22"/>
        </w:rPr>
        <w:t>L’elaborazione dei dati: fonti, processo, strumenti e tecniche</w:t>
      </w:r>
    </w:p>
    <w:p w14:paraId="6008A5CB" w14:textId="77777777" w:rsidR="00DC3A15" w:rsidRPr="00DA6AA4" w:rsidRDefault="00DC3A15" w:rsidP="00DC3A15">
      <w:pPr>
        <w:autoSpaceDE w:val="0"/>
        <w:autoSpaceDN w:val="0"/>
        <w:adjustRightInd w:val="0"/>
        <w:spacing w:after="120" w:line="240" w:lineRule="auto"/>
        <w:jc w:val="both"/>
        <w:rPr>
          <w:rFonts w:ascii="Arial" w:hAnsi="Arial" w:cs="Arial"/>
          <w:sz w:val="20"/>
        </w:rPr>
      </w:pPr>
      <w:r w:rsidRPr="0092795A">
        <w:rPr>
          <w:rFonts w:ascii="Arial" w:hAnsi="Arial" w:cs="Arial"/>
          <w:sz w:val="20"/>
        </w:rPr>
        <w:t xml:space="preserve">Per le </w:t>
      </w:r>
      <w:r>
        <w:rPr>
          <w:rFonts w:ascii="Arial" w:hAnsi="Arial" w:cs="Arial"/>
          <w:sz w:val="20"/>
        </w:rPr>
        <w:t>unità giuridiche</w:t>
      </w:r>
      <w:r w:rsidRPr="0092795A">
        <w:rPr>
          <w:rFonts w:ascii="Arial" w:hAnsi="Arial" w:cs="Arial"/>
          <w:sz w:val="20"/>
        </w:rPr>
        <w:t xml:space="preserve"> con meno di 250 addetti, le stime di variabili direttamente disponibili nelle fonti amministrative sono ottenute dal Frame per somma, mentre quelle non disponibili da fonte amministrativa sono ottenute dalle stime prodotte dalla rilevazione PMI in base alla metodologia di riporto all’universo degli ‘stimatori di ponderazione vincolata’. Con tale metodologia le stime campionarie convergono alle variabili ausiliarie del registro Asia (numero di </w:t>
      </w:r>
      <w:r>
        <w:rPr>
          <w:rFonts w:ascii="Arial" w:hAnsi="Arial" w:cs="Arial"/>
          <w:sz w:val="20"/>
        </w:rPr>
        <w:t>unità giuridiche</w:t>
      </w:r>
      <w:r w:rsidRPr="0092795A">
        <w:rPr>
          <w:rFonts w:ascii="Arial" w:hAnsi="Arial" w:cs="Arial"/>
          <w:sz w:val="20"/>
        </w:rPr>
        <w:t xml:space="preserve"> e numero di addetti) per i diversi domini di stima richiesti dal </w:t>
      </w:r>
      <w:r>
        <w:rPr>
          <w:rFonts w:ascii="Arial" w:hAnsi="Arial" w:cs="Arial"/>
          <w:sz w:val="20"/>
        </w:rPr>
        <w:t>R</w:t>
      </w:r>
      <w:r w:rsidRPr="0092795A">
        <w:rPr>
          <w:rFonts w:ascii="Arial" w:hAnsi="Arial" w:cs="Arial"/>
          <w:sz w:val="20"/>
        </w:rPr>
        <w:t xml:space="preserve">egolamento SBS. Per le </w:t>
      </w:r>
      <w:r>
        <w:rPr>
          <w:rFonts w:ascii="Arial" w:hAnsi="Arial" w:cs="Arial"/>
          <w:sz w:val="20"/>
        </w:rPr>
        <w:t>unità giuridiche</w:t>
      </w:r>
      <w:r w:rsidRPr="0092795A">
        <w:rPr>
          <w:rFonts w:ascii="Arial" w:hAnsi="Arial" w:cs="Arial"/>
          <w:sz w:val="20"/>
        </w:rPr>
        <w:t xml:space="preserve"> con 250 addetti </w:t>
      </w:r>
      <w:r w:rsidRPr="00DA6AA4">
        <w:rPr>
          <w:rFonts w:ascii="Arial" w:hAnsi="Arial" w:cs="Arial"/>
          <w:sz w:val="20"/>
        </w:rPr>
        <w:t>e oltre le stime delle variabili sono ottenute per somma dalla rilevazione SCI.</w:t>
      </w:r>
    </w:p>
    <w:p w14:paraId="46CD40A0" w14:textId="77777777" w:rsidR="00DC3A15" w:rsidRPr="00DA6AA4" w:rsidRDefault="00DC3A15" w:rsidP="00DC3A15">
      <w:pPr>
        <w:autoSpaceDE w:val="0"/>
        <w:autoSpaceDN w:val="0"/>
        <w:adjustRightInd w:val="0"/>
        <w:spacing w:after="120" w:line="240" w:lineRule="auto"/>
        <w:jc w:val="both"/>
        <w:rPr>
          <w:rFonts w:ascii="Arial" w:hAnsi="Arial" w:cs="Arial"/>
          <w:sz w:val="20"/>
        </w:rPr>
      </w:pPr>
      <w:r w:rsidRPr="00DA6AA4">
        <w:rPr>
          <w:rFonts w:ascii="Arial" w:hAnsi="Arial" w:cs="Arial"/>
          <w:sz w:val="20"/>
        </w:rPr>
        <w:t xml:space="preserve">Le informazioni utilizzate per la costruzione del Registro statistico dei gruppi di impresa provengono tutte da fonti amministrative e specificatamente da: 1) le dichiarazioni sulla struttura delle partecipazioni rilevanti rese alla Commissione Nazionale per le Società e la Borsa; 2) le dichiarazioni degli elenchi dei soci delle società di capitale iscritti al Registro delle imprese, gestito dalle Camere di </w:t>
      </w:r>
      <w:r w:rsidRPr="003C43A9">
        <w:rPr>
          <w:rFonts w:ascii="Arial" w:hAnsi="Arial" w:cs="Arial"/>
          <w:sz w:val="20"/>
        </w:rPr>
        <w:t>Commercio</w:t>
      </w:r>
      <w:r w:rsidRPr="004C29CB">
        <w:rPr>
          <w:rFonts w:ascii="Arial" w:hAnsi="Arial" w:cs="Arial"/>
          <w:sz w:val="20"/>
        </w:rPr>
        <w:t>; 3) le informazioni desumibili dai bilanci civilistici e consolidati delle società di capitale.</w:t>
      </w:r>
      <w:r w:rsidRPr="00DA6AA4">
        <w:rPr>
          <w:rFonts w:ascii="Arial" w:hAnsi="Arial" w:cs="Arial"/>
          <w:sz w:val="20"/>
        </w:rPr>
        <w:t xml:space="preserve"> </w:t>
      </w:r>
    </w:p>
    <w:p w14:paraId="4B3518D6" w14:textId="0739DE01" w:rsidR="00DC3A15" w:rsidRDefault="00DC3A15" w:rsidP="00DC3A15">
      <w:pPr>
        <w:autoSpaceDE w:val="0"/>
        <w:autoSpaceDN w:val="0"/>
        <w:adjustRightInd w:val="0"/>
        <w:spacing w:after="120" w:line="240" w:lineRule="auto"/>
        <w:jc w:val="both"/>
        <w:rPr>
          <w:rFonts w:ascii="Arial" w:hAnsi="Arial" w:cs="Arial"/>
          <w:sz w:val="20"/>
        </w:rPr>
      </w:pPr>
      <w:r w:rsidRPr="00DA6AA4">
        <w:rPr>
          <w:rFonts w:ascii="Arial" w:hAnsi="Arial" w:cs="Arial"/>
          <w:sz w:val="20"/>
        </w:rPr>
        <w:t>Il riferimento normativo della prima fonte è l'articolo 120</w:t>
      </w:r>
      <w:r>
        <w:rPr>
          <w:rFonts w:ascii="Arial" w:hAnsi="Arial" w:cs="Arial"/>
          <w:sz w:val="20"/>
        </w:rPr>
        <w:t xml:space="preserve"> del Testo Unico Finanziario, D.l</w:t>
      </w:r>
      <w:r w:rsidRPr="00DA6AA4">
        <w:rPr>
          <w:rFonts w:ascii="Arial" w:hAnsi="Arial" w:cs="Arial"/>
          <w:sz w:val="20"/>
        </w:rPr>
        <w:t xml:space="preserve">gs. n.58/1998, relativo agli obblighi di comunicazione delle partecipazioni rilevanti alla Consob. L’obbligo riguarda tutti “coloro che partecipano in una società con azioni quotate in misura superiore al 2% del capitale” (comma 2) e “tutte le società con azioni quotate che partecipano in misura superiore al 10% del capitale in una società con azioni non quotate o in una società a responsabilità limitata, anche estere” (comma 3). La seconda fonte si basa sul terzo comma dall'articolo 2435 del </w:t>
      </w:r>
      <w:r w:rsidR="00DB414F" w:rsidRPr="00DA6AA4">
        <w:rPr>
          <w:rFonts w:ascii="Arial" w:hAnsi="Arial" w:cs="Arial"/>
          <w:sz w:val="20"/>
        </w:rPr>
        <w:t>Codice civile</w:t>
      </w:r>
      <w:r w:rsidRPr="00DA6AA4">
        <w:rPr>
          <w:rFonts w:ascii="Arial" w:hAnsi="Arial" w:cs="Arial"/>
          <w:sz w:val="20"/>
        </w:rPr>
        <w:t xml:space="preserve"> relativo all’obbligo di pubblicazione dell’elenco soci e dei titolari di diritti su azioni o quote delle società residenti in Italia non quotate in mercati regolamentati. </w:t>
      </w:r>
    </w:p>
    <w:p w14:paraId="4F0693FF" w14:textId="38C206AE" w:rsidR="00DC3A15" w:rsidRPr="007B29D2" w:rsidRDefault="00DC3A15" w:rsidP="00DC3A15">
      <w:pPr>
        <w:autoSpaceDE w:val="0"/>
        <w:autoSpaceDN w:val="0"/>
        <w:adjustRightInd w:val="0"/>
        <w:spacing w:after="120" w:line="240" w:lineRule="auto"/>
        <w:jc w:val="both"/>
        <w:rPr>
          <w:rFonts w:ascii="Arial" w:hAnsi="Arial" w:cs="Arial"/>
          <w:sz w:val="20"/>
        </w:rPr>
      </w:pPr>
      <w:r w:rsidRPr="00DA6AA4">
        <w:rPr>
          <w:rFonts w:ascii="Arial" w:hAnsi="Arial" w:cs="Arial"/>
          <w:sz w:val="20"/>
        </w:rPr>
        <w:t xml:space="preserve">Gli amministratori sono tenuti a depositare presso le Camere di Commercio “l’elenco dei soci (persone fisiche e giuridiche, residenti e non), riferito alla data di approvazione del bilancio con l'indicazione del numero delle azioni o quote possedute, nonché dei soggetti diversi dai soci che sono titolari di diritti o beneficiari di vincoli sulle azioni medesime”. La dichiarazione deve essere resa la prima volta in fase di costituzione della società e annualmente entro 30 giorni dall’approvazione del bilancio. Queste due prime fonti coprono tutta la popolazione delle società di capitali (quotate e non) e forniscono una base di dati in cui l’informazione sulla struttura proprietaria è organizzata secondo un sistema di tipo </w:t>
      </w:r>
      <w:r w:rsidRPr="006B23BA">
        <w:rPr>
          <w:rFonts w:ascii="Arial" w:hAnsi="Arial" w:cs="Arial"/>
          <w:i/>
          <w:sz w:val="20"/>
        </w:rPr>
        <w:t>bottom-up</w:t>
      </w:r>
      <w:r w:rsidRPr="00DA6AA4">
        <w:rPr>
          <w:rFonts w:ascii="Arial" w:hAnsi="Arial" w:cs="Arial"/>
          <w:sz w:val="20"/>
        </w:rPr>
        <w:t xml:space="preserve">.  La terza fonte informativa utilizzata per la realizzazione dell’archivio dei gruppi è costituita dai bilanci civilistici e consolidati delle società di capitale. </w:t>
      </w:r>
      <w:r>
        <w:rPr>
          <w:rFonts w:ascii="Arial" w:hAnsi="Arial" w:cs="Arial"/>
          <w:sz w:val="20"/>
        </w:rPr>
        <w:t>P</w:t>
      </w:r>
      <w:r w:rsidRPr="00DA6AA4">
        <w:rPr>
          <w:rFonts w:ascii="Arial" w:hAnsi="Arial" w:cs="Arial"/>
          <w:sz w:val="20"/>
        </w:rPr>
        <w:t xml:space="preserve">er quanto attiene alle informazioni sulle partecipazioni dirette e indirette in essi riportate, secondo quanto richiesto dall’articolo 2427, punto 5) del </w:t>
      </w:r>
      <w:r>
        <w:rPr>
          <w:rFonts w:ascii="Arial" w:hAnsi="Arial" w:cs="Arial"/>
          <w:sz w:val="20"/>
        </w:rPr>
        <w:t>C</w:t>
      </w:r>
      <w:r w:rsidRPr="00DA6AA4">
        <w:rPr>
          <w:rFonts w:ascii="Arial" w:hAnsi="Arial" w:cs="Arial"/>
          <w:sz w:val="20"/>
        </w:rPr>
        <w:t xml:space="preserve">odice civile e l’articolo 39 del D.lgs. n.127/1991. Rispetto alle due precedenti fonti quest’ultima presenta una struttura di tipo </w:t>
      </w:r>
      <w:r w:rsidRPr="006B23BA">
        <w:rPr>
          <w:rFonts w:ascii="Arial" w:hAnsi="Arial" w:cs="Arial"/>
          <w:i/>
          <w:sz w:val="20"/>
        </w:rPr>
        <w:t>top-down</w:t>
      </w:r>
      <w:r w:rsidRPr="00DA6AA4">
        <w:rPr>
          <w:rFonts w:ascii="Arial" w:hAnsi="Arial" w:cs="Arial"/>
          <w:sz w:val="20"/>
        </w:rPr>
        <w:t xml:space="preserve"> delle informazioni, che consente non solo un raffronto immediato, ma anche il recupero, ai fini della copertura, di alcune unità inadempienti rispetto </w:t>
      </w:r>
      <w:r w:rsidRPr="007B29D2">
        <w:rPr>
          <w:rFonts w:ascii="Arial" w:hAnsi="Arial" w:cs="Arial"/>
          <w:sz w:val="20"/>
        </w:rPr>
        <w:t xml:space="preserve">all’obbligo di dichiarazione dell’elenco soci. </w:t>
      </w:r>
      <w:r w:rsidR="00DB414F" w:rsidRPr="007B29D2">
        <w:rPr>
          <w:rFonts w:ascii="Arial" w:hAnsi="Arial" w:cs="Arial"/>
          <w:sz w:val="20"/>
        </w:rPr>
        <w:t>Inoltre,</w:t>
      </w:r>
      <w:r w:rsidRPr="007B29D2">
        <w:rPr>
          <w:rFonts w:ascii="Arial" w:hAnsi="Arial" w:cs="Arial"/>
          <w:sz w:val="20"/>
        </w:rPr>
        <w:t xml:space="preserve"> i bilanci consolidati forniscono l’elenco delle partecipazioni di controllo dei principali gruppi italiani in società estere e indicazioni di carattere qualitativo per l’individuazione del controllo di fatto nel caso di </w:t>
      </w:r>
      <w:r w:rsidRPr="006B23BA">
        <w:rPr>
          <w:rFonts w:ascii="Arial" w:hAnsi="Arial" w:cs="Arial"/>
          <w:i/>
          <w:sz w:val="20"/>
        </w:rPr>
        <w:t>Joint Ventures</w:t>
      </w:r>
      <w:r w:rsidRPr="007B29D2">
        <w:rPr>
          <w:rFonts w:ascii="Arial" w:hAnsi="Arial" w:cs="Arial"/>
          <w:sz w:val="20"/>
        </w:rPr>
        <w:t xml:space="preserve">. </w:t>
      </w:r>
    </w:p>
    <w:p w14:paraId="4A6877B3" w14:textId="77777777" w:rsidR="00DC3A15" w:rsidRPr="007B29D2" w:rsidRDefault="00DC3A15" w:rsidP="00DC3A15">
      <w:pPr>
        <w:autoSpaceDE w:val="0"/>
        <w:autoSpaceDN w:val="0"/>
        <w:adjustRightInd w:val="0"/>
        <w:spacing w:after="120" w:line="240" w:lineRule="auto"/>
        <w:jc w:val="both"/>
        <w:rPr>
          <w:rFonts w:ascii="Arial" w:hAnsi="Arial" w:cs="Arial"/>
          <w:sz w:val="20"/>
        </w:rPr>
      </w:pPr>
      <w:r w:rsidRPr="007B29D2">
        <w:rPr>
          <w:rFonts w:ascii="Arial" w:hAnsi="Arial" w:cs="Arial"/>
          <w:sz w:val="20"/>
        </w:rPr>
        <w:t>La metodologia di integrazione delle diverse fonti amministrative, partendo dai dati elementari sulla struttura delle partecipazioni dirette di tutte le società di capitale, individua i legami di controllo, esercitati sia direttamente che indirettamente, cui è soggetta ogni società di capitale.</w:t>
      </w:r>
    </w:p>
    <w:p w14:paraId="24C4F49B" w14:textId="77777777" w:rsidR="00DC3A15" w:rsidRPr="007B29D2" w:rsidRDefault="00DC3A15" w:rsidP="00DC3A15">
      <w:pPr>
        <w:autoSpaceDE w:val="0"/>
        <w:autoSpaceDN w:val="0"/>
        <w:adjustRightInd w:val="0"/>
        <w:spacing w:after="120" w:line="240" w:lineRule="auto"/>
        <w:jc w:val="both"/>
        <w:rPr>
          <w:rFonts w:ascii="Arial" w:hAnsi="Arial" w:cs="Arial"/>
          <w:sz w:val="20"/>
        </w:rPr>
      </w:pPr>
      <w:r w:rsidRPr="007B29D2">
        <w:rPr>
          <w:rFonts w:ascii="Arial" w:hAnsi="Arial" w:cs="Arial"/>
          <w:sz w:val="20"/>
        </w:rPr>
        <w:t>Per ciascuna società controllata viene individuata la sua controllante prossima definita come “il primo soggetto fisico o giuridico che in linea gerarchica esercita per prima su di essa un controllo diretto o indiretto”. La struttura del gruppo è infine ricostruita attraverso la sequenza continua dei legami tra le controllanti prossime e i relativi livelli di controllo, fino alla attribuzione del vertice ultimo all’intero gruppo. Vengono esclusi dalla popolazione dei gruppi, in quan</w:t>
      </w:r>
      <w:r>
        <w:rPr>
          <w:rFonts w:ascii="Arial" w:hAnsi="Arial" w:cs="Arial"/>
          <w:sz w:val="20"/>
        </w:rPr>
        <w:t>to considerati gruppi impropri,</w:t>
      </w:r>
      <w:r w:rsidRPr="007B29D2">
        <w:rPr>
          <w:rFonts w:ascii="Arial" w:hAnsi="Arial" w:cs="Arial"/>
          <w:sz w:val="20"/>
        </w:rPr>
        <w:t xml:space="preserve"> quei gruppi costituiti da un solo legame di controllo prossimo, in cui la controllante è una persona fisica. </w:t>
      </w:r>
    </w:p>
    <w:p w14:paraId="32E8AB56" w14:textId="77777777" w:rsidR="00DC3A15" w:rsidRDefault="00DC3A15" w:rsidP="00DC3A15">
      <w:pPr>
        <w:autoSpaceDE w:val="0"/>
        <w:autoSpaceDN w:val="0"/>
        <w:adjustRightInd w:val="0"/>
        <w:spacing w:after="120" w:line="240" w:lineRule="auto"/>
        <w:jc w:val="both"/>
        <w:rPr>
          <w:rFonts w:ascii="Arial" w:hAnsi="Arial" w:cs="Arial"/>
          <w:sz w:val="20"/>
        </w:rPr>
      </w:pPr>
      <w:r w:rsidRPr="007B29D2">
        <w:rPr>
          <w:rFonts w:ascii="Arial" w:hAnsi="Arial" w:cs="Arial"/>
          <w:sz w:val="20"/>
        </w:rPr>
        <w:t>Nel caso di gruppi multinazionali a controllo ultimo estero la catena di controllo ricostruibile attraverso questa metodologia si interrompe alla prima controllante prossima non residente. In questo caso si parla di gruppi multinazionali troncati presenti nel</w:t>
      </w:r>
      <w:r>
        <w:rPr>
          <w:rFonts w:ascii="Arial" w:hAnsi="Arial" w:cs="Arial"/>
          <w:sz w:val="20"/>
        </w:rPr>
        <w:t xml:space="preserve"> Registro Gruppi</w:t>
      </w:r>
      <w:r w:rsidRPr="007B29D2">
        <w:rPr>
          <w:rFonts w:ascii="Arial" w:hAnsi="Arial" w:cs="Arial"/>
          <w:sz w:val="20"/>
        </w:rPr>
        <w:t>. Queste strutture costituiscono la popolazione di riferimento della Rilevazione sulle Attività Internazionali delle Imprese (</w:t>
      </w:r>
      <w:r w:rsidRPr="00F71E76">
        <w:rPr>
          <w:rFonts w:ascii="Arial" w:hAnsi="Arial" w:cs="Arial"/>
          <w:i/>
          <w:sz w:val="20"/>
        </w:rPr>
        <w:t>Inward FATS</w:t>
      </w:r>
      <w:r w:rsidRPr="007B29D2">
        <w:rPr>
          <w:rFonts w:ascii="Arial" w:hAnsi="Arial" w:cs="Arial"/>
          <w:sz w:val="20"/>
        </w:rPr>
        <w:t>) svolta dall’Istat a partire da un campione selezionato da</w:t>
      </w:r>
      <w:r>
        <w:rPr>
          <w:rFonts w:ascii="Arial" w:hAnsi="Arial" w:cs="Arial"/>
          <w:sz w:val="20"/>
        </w:rPr>
        <w:t>l Registro Gruppi</w:t>
      </w:r>
      <w:r w:rsidRPr="007B29D2">
        <w:rPr>
          <w:rFonts w:ascii="Arial" w:hAnsi="Arial" w:cs="Arial"/>
          <w:sz w:val="20"/>
        </w:rPr>
        <w:t xml:space="preserve">, che rileva l’informazione sul controllo ultimo estero. Tale informazione, di natura statistica, è utilizzata per aggiornare - relativamente alle imprese comprese nel campione e rispondenti alla rilevazione </w:t>
      </w:r>
      <w:r>
        <w:rPr>
          <w:rFonts w:ascii="Arial" w:hAnsi="Arial" w:cs="Arial"/>
          <w:sz w:val="20"/>
        </w:rPr>
        <w:t>–</w:t>
      </w:r>
      <w:r w:rsidRPr="007B29D2">
        <w:rPr>
          <w:rFonts w:ascii="Arial" w:hAnsi="Arial" w:cs="Arial"/>
          <w:sz w:val="20"/>
        </w:rPr>
        <w:t xml:space="preserve"> </w:t>
      </w:r>
      <w:r>
        <w:rPr>
          <w:rFonts w:ascii="Arial" w:hAnsi="Arial" w:cs="Arial"/>
          <w:sz w:val="20"/>
        </w:rPr>
        <w:t>il registro</w:t>
      </w:r>
      <w:r w:rsidRPr="007B29D2">
        <w:rPr>
          <w:rFonts w:ascii="Arial" w:hAnsi="Arial" w:cs="Arial"/>
          <w:sz w:val="20"/>
        </w:rPr>
        <w:t xml:space="preserve"> stesso per quanto riguarda il vertice ultimo dei gruppi e la loro nazionalità estera. I gruppi multinazionali sono inoltre integrati, a partire dall’anno di riferimento 2010 e per le relazioni </w:t>
      </w:r>
      <w:r w:rsidRPr="0096462D">
        <w:rPr>
          <w:rFonts w:ascii="Arial" w:hAnsi="Arial" w:cs="Arial"/>
          <w:i/>
          <w:sz w:val="20"/>
        </w:rPr>
        <w:t>cross-border</w:t>
      </w:r>
      <w:r w:rsidRPr="007B29D2">
        <w:rPr>
          <w:rFonts w:ascii="Arial" w:hAnsi="Arial" w:cs="Arial"/>
          <w:sz w:val="20"/>
        </w:rPr>
        <w:t xml:space="preserve">, con le informazioni </w:t>
      </w:r>
      <w:r>
        <w:rPr>
          <w:rFonts w:ascii="Arial" w:hAnsi="Arial" w:cs="Arial"/>
          <w:sz w:val="20"/>
        </w:rPr>
        <w:t>d</w:t>
      </w:r>
      <w:r w:rsidRPr="007B29D2">
        <w:rPr>
          <w:rFonts w:ascii="Arial" w:hAnsi="Arial" w:cs="Arial"/>
          <w:sz w:val="20"/>
        </w:rPr>
        <w:t>el Registro dei gruppi multinazionali (EGR</w:t>
      </w:r>
      <w:r>
        <w:rPr>
          <w:rFonts w:ascii="Arial" w:hAnsi="Arial" w:cs="Arial"/>
          <w:sz w:val="20"/>
        </w:rPr>
        <w:t xml:space="preserve"> </w:t>
      </w:r>
      <w:r w:rsidRPr="007B29D2">
        <w:rPr>
          <w:rFonts w:ascii="Arial" w:hAnsi="Arial" w:cs="Arial"/>
          <w:sz w:val="20"/>
        </w:rPr>
        <w:t xml:space="preserve">- </w:t>
      </w:r>
      <w:r w:rsidRPr="0096462D">
        <w:rPr>
          <w:rFonts w:ascii="Arial" w:hAnsi="Arial" w:cs="Arial"/>
          <w:i/>
          <w:sz w:val="20"/>
        </w:rPr>
        <w:t>EuroGroups Register</w:t>
      </w:r>
      <w:r w:rsidRPr="007B29D2">
        <w:rPr>
          <w:rFonts w:ascii="Arial" w:hAnsi="Arial" w:cs="Arial"/>
          <w:sz w:val="20"/>
        </w:rPr>
        <w:t xml:space="preserve">) coordinato da Eurostat. </w:t>
      </w:r>
    </w:p>
    <w:p w14:paraId="2301D198" w14:textId="77777777" w:rsidR="00DC3A15" w:rsidRDefault="00DC3A15" w:rsidP="00DC3A15">
      <w:pPr>
        <w:autoSpaceDE w:val="0"/>
        <w:autoSpaceDN w:val="0"/>
        <w:adjustRightInd w:val="0"/>
        <w:spacing w:after="120" w:line="240" w:lineRule="auto"/>
        <w:jc w:val="both"/>
        <w:rPr>
          <w:rFonts w:ascii="Arial" w:hAnsi="Arial" w:cs="Arial"/>
          <w:sz w:val="20"/>
          <w:szCs w:val="24"/>
        </w:rPr>
      </w:pPr>
      <w:r>
        <w:rPr>
          <w:rFonts w:ascii="Arial" w:hAnsi="Arial" w:cs="Arial"/>
          <w:sz w:val="20"/>
          <w:szCs w:val="24"/>
        </w:rPr>
        <w:t>La variabile ‘</w:t>
      </w:r>
      <w:r w:rsidRPr="00F71E76">
        <w:rPr>
          <w:rFonts w:ascii="Arial" w:hAnsi="Arial" w:cs="Arial"/>
          <w:i/>
          <w:sz w:val="20"/>
          <w:szCs w:val="24"/>
        </w:rPr>
        <w:t>Governance</w:t>
      </w:r>
      <w:r>
        <w:rPr>
          <w:rFonts w:ascii="Arial" w:hAnsi="Arial" w:cs="Arial"/>
          <w:sz w:val="20"/>
          <w:szCs w:val="24"/>
        </w:rPr>
        <w:t>’</w:t>
      </w:r>
      <w:r w:rsidRPr="00D50C37">
        <w:rPr>
          <w:rFonts w:ascii="Arial" w:hAnsi="Arial" w:cs="Arial"/>
          <w:sz w:val="20"/>
          <w:szCs w:val="24"/>
        </w:rPr>
        <w:t xml:space="preserve"> del gruppo</w:t>
      </w:r>
      <w:r>
        <w:rPr>
          <w:rFonts w:ascii="Arial" w:hAnsi="Arial" w:cs="Arial"/>
          <w:sz w:val="20"/>
          <w:szCs w:val="24"/>
        </w:rPr>
        <w:t xml:space="preserve"> è costruita considerando l’effettivo</w:t>
      </w:r>
      <w:r w:rsidRPr="00D50C37">
        <w:rPr>
          <w:rFonts w:ascii="Arial" w:hAnsi="Arial" w:cs="Arial"/>
          <w:sz w:val="20"/>
          <w:szCs w:val="24"/>
        </w:rPr>
        <w:t xml:space="preserve"> controllo del gruppo a prescindere dalla residenza del vertice ultimo, distinguendo i gruppi a controllo italiano da quelli a controllo estero. La sua individuazione è possibile grazie all’integrazione delle informazioni puntuali provenienti dall</w:t>
      </w:r>
      <w:r>
        <w:rPr>
          <w:rFonts w:ascii="Arial" w:hAnsi="Arial" w:cs="Arial"/>
          <w:sz w:val="20"/>
          <w:szCs w:val="24"/>
        </w:rPr>
        <w:t>a</w:t>
      </w:r>
      <w:r w:rsidRPr="00D50C37">
        <w:rPr>
          <w:rFonts w:ascii="Arial" w:hAnsi="Arial" w:cs="Arial"/>
          <w:sz w:val="20"/>
          <w:szCs w:val="24"/>
        </w:rPr>
        <w:t xml:space="preserve"> </w:t>
      </w:r>
      <w:r>
        <w:rPr>
          <w:rFonts w:ascii="Arial" w:hAnsi="Arial" w:cs="Arial"/>
          <w:sz w:val="20"/>
          <w:szCs w:val="24"/>
        </w:rPr>
        <w:t>R</w:t>
      </w:r>
      <w:r w:rsidRPr="007F35F4">
        <w:rPr>
          <w:rFonts w:ascii="Arial" w:hAnsi="Arial" w:cs="Arial"/>
          <w:sz w:val="20"/>
          <w:szCs w:val="24"/>
        </w:rPr>
        <w:t xml:space="preserve">ilevazione sulle attività estere delle imprese a controllo nazionale </w:t>
      </w:r>
      <w:r>
        <w:rPr>
          <w:rFonts w:ascii="Arial" w:hAnsi="Arial" w:cs="Arial"/>
          <w:sz w:val="20"/>
          <w:szCs w:val="24"/>
        </w:rPr>
        <w:t>(</w:t>
      </w:r>
      <w:r w:rsidRPr="00F71E76">
        <w:rPr>
          <w:rFonts w:ascii="Arial" w:hAnsi="Arial" w:cs="Arial"/>
          <w:i/>
          <w:sz w:val="20"/>
          <w:szCs w:val="24"/>
        </w:rPr>
        <w:t>Outward Fats</w:t>
      </w:r>
      <w:r>
        <w:rPr>
          <w:rFonts w:ascii="Arial" w:hAnsi="Arial" w:cs="Arial"/>
          <w:sz w:val="20"/>
          <w:szCs w:val="24"/>
        </w:rPr>
        <w:t>)</w:t>
      </w:r>
      <w:r w:rsidRPr="00D50C37">
        <w:rPr>
          <w:rFonts w:ascii="Arial" w:hAnsi="Arial" w:cs="Arial"/>
          <w:sz w:val="20"/>
          <w:szCs w:val="24"/>
        </w:rPr>
        <w:t xml:space="preserve"> con i risultati delle attività di controllo effettuate dal team di </w:t>
      </w:r>
      <w:r w:rsidRPr="007438B9">
        <w:rPr>
          <w:rFonts w:ascii="Arial" w:hAnsi="Arial" w:cs="Arial"/>
          <w:i/>
          <w:sz w:val="20"/>
          <w:szCs w:val="24"/>
        </w:rPr>
        <w:t>profilers</w:t>
      </w:r>
      <w:r>
        <w:rPr>
          <w:sz w:val="20"/>
          <w:szCs w:val="24"/>
        </w:rPr>
        <w:t>.</w:t>
      </w:r>
    </w:p>
    <w:p w14:paraId="17D27569" w14:textId="230A5604" w:rsidR="00DC3A15" w:rsidRDefault="00DC3A15" w:rsidP="00DC3A15">
      <w:pPr>
        <w:autoSpaceDE w:val="0"/>
        <w:autoSpaceDN w:val="0"/>
        <w:adjustRightInd w:val="0"/>
        <w:spacing w:after="120" w:line="240" w:lineRule="auto"/>
        <w:jc w:val="both"/>
        <w:rPr>
          <w:rFonts w:ascii="Arial" w:hAnsi="Arial" w:cs="Arial"/>
          <w:sz w:val="20"/>
          <w:szCs w:val="20"/>
        </w:rPr>
      </w:pPr>
      <w:r>
        <w:rPr>
          <w:rFonts w:ascii="Arial" w:hAnsi="Arial" w:cs="Arial"/>
          <w:sz w:val="20"/>
          <w:szCs w:val="24"/>
        </w:rPr>
        <w:t xml:space="preserve">A partire dalla nota </w:t>
      </w:r>
      <w:r w:rsidRPr="00D50C37">
        <w:rPr>
          <w:rFonts w:ascii="Arial" w:hAnsi="Arial" w:cs="Arial"/>
          <w:sz w:val="20"/>
          <w:szCs w:val="24"/>
        </w:rPr>
        <w:t>diffusa con Asia-Imprese 2020</w:t>
      </w:r>
      <w:r>
        <w:rPr>
          <w:rFonts w:ascii="Arial" w:hAnsi="Arial" w:cs="Arial"/>
          <w:sz w:val="20"/>
          <w:szCs w:val="24"/>
        </w:rPr>
        <w:t xml:space="preserve"> il sistema dei registri offre</w:t>
      </w:r>
      <w:r w:rsidRPr="00D50C37">
        <w:rPr>
          <w:rFonts w:ascii="Arial" w:hAnsi="Arial" w:cs="Arial"/>
          <w:sz w:val="20"/>
          <w:szCs w:val="24"/>
        </w:rPr>
        <w:t xml:space="preserve"> un’ulteriore fotografia</w:t>
      </w:r>
      <w:r>
        <w:rPr>
          <w:rFonts w:ascii="Arial" w:hAnsi="Arial" w:cs="Arial"/>
          <w:sz w:val="20"/>
          <w:szCs w:val="24"/>
        </w:rPr>
        <w:t xml:space="preserve"> della struttura organizzativa dei gruppi d’impresa</w:t>
      </w:r>
      <w:r w:rsidRPr="00D50C37">
        <w:rPr>
          <w:rFonts w:ascii="Arial" w:hAnsi="Arial" w:cs="Arial"/>
          <w:sz w:val="20"/>
          <w:szCs w:val="24"/>
        </w:rPr>
        <w:t>: gruppi con strutture organizzative orizzontali (o semplici, o a pettine), gruppi con strutture organizzative verticali e gruppi con strutture diversificate o matriciali. Nei gruppi con strutture organizzative verticali le diverse unità giuridiche gestiscono fasi diverse del processo produttivo in modo da potersi espandere in attività diverse, note come attività a monte o a valle. Al contrario, i gruppi con strutture orizzontali, coinvolgono imprese che svolgono la stessa attività economica o attività</w:t>
      </w:r>
      <w:r>
        <w:t xml:space="preserve"> </w:t>
      </w:r>
      <w:r w:rsidRPr="00D50C37">
        <w:rPr>
          <w:rFonts w:ascii="Arial" w:hAnsi="Arial" w:cs="Arial"/>
          <w:sz w:val="20"/>
          <w:szCs w:val="20"/>
        </w:rPr>
        <w:t xml:space="preserve">economiche simili. I gruppi con una struttura più semplice hanno solitamente una struttura caratteristica in cui il potere di controllo è detenuto direttamente dalla società madre o da una persona fisica collocata al vertice della struttura; se le unità controllate sono molteplici, possono essere rappresentate come una stella o un pettine. I gruppi con una struttura più complessa o </w:t>
      </w:r>
      <w:r w:rsidRPr="00D50C37">
        <w:rPr>
          <w:rFonts w:ascii="Arial" w:hAnsi="Arial" w:cs="Arial"/>
          <w:i/>
          <w:sz w:val="20"/>
          <w:szCs w:val="20"/>
        </w:rPr>
        <w:t>matriciale</w:t>
      </w:r>
      <w:r w:rsidRPr="00D50C37">
        <w:rPr>
          <w:rFonts w:ascii="Arial" w:hAnsi="Arial" w:cs="Arial"/>
          <w:sz w:val="20"/>
          <w:szCs w:val="20"/>
        </w:rPr>
        <w:t>, presentano delle strutture organizzative più articolate, identificate dalla presenza di sottogruppi dotati o meno di un certo grado di autonomia decisionale, operanti in diversi settori produttivi (gruppi “multi</w:t>
      </w:r>
      <w:r w:rsidRPr="00D50C37">
        <w:rPr>
          <w:rFonts w:ascii="Arial" w:hAnsi="Arial" w:cs="Arial"/>
          <w:iCs/>
          <w:sz w:val="20"/>
          <w:szCs w:val="20"/>
        </w:rPr>
        <w:t>-attività”)</w:t>
      </w:r>
      <w:r w:rsidRPr="00D50C37">
        <w:rPr>
          <w:rFonts w:ascii="Arial" w:hAnsi="Arial" w:cs="Arial"/>
          <w:sz w:val="20"/>
          <w:szCs w:val="20"/>
        </w:rPr>
        <w:t xml:space="preserve">. Queste strutture sono tipiche delle Multinazionali in cui le affiliate sono spesso controllate attraverso controlli multipli, che creano strutture aziendali sempre più profonde e complesse, con una moltitudine di legami e livelli di controllo, diretti e indiretti, con partecipazioni disperse e quote reciproche. Nel registro dei gruppi di imprese sono registrate tutte le relazioni di controllo tra le unità appartenenti al gruppo (residenti e non residenti) in modo tale che il gruppo sia ricostruito nella sua struttura ad albero, partendo dal vertice fino all’ultima unità controllata, rappresentando sia i livelli di controllo diretti che indiretti. L’indicatore che sintetizza la struttura organizzativa del gruppo è stato costruito tracciando il numero di unità presenti per ogni livello di controllo, a partire dal vertice del gruppo fino all’ultimo livello della catena (Figura </w:t>
      </w:r>
      <w:r>
        <w:rPr>
          <w:rFonts w:ascii="Arial" w:hAnsi="Arial" w:cs="Arial"/>
          <w:sz w:val="20"/>
          <w:szCs w:val="20"/>
        </w:rPr>
        <w:t>A</w:t>
      </w:r>
      <w:r w:rsidRPr="00D50C37">
        <w:rPr>
          <w:rFonts w:ascii="Arial" w:hAnsi="Arial" w:cs="Arial"/>
          <w:sz w:val="20"/>
          <w:szCs w:val="20"/>
        </w:rPr>
        <w:t>).</w:t>
      </w:r>
    </w:p>
    <w:p w14:paraId="7FEEF1AA" w14:textId="297CC2AF" w:rsidR="00DC3A15" w:rsidRDefault="00DC3A15" w:rsidP="00DC3A15">
      <w:pPr>
        <w:autoSpaceDE w:val="0"/>
        <w:autoSpaceDN w:val="0"/>
        <w:adjustRightInd w:val="0"/>
        <w:spacing w:after="120" w:line="240" w:lineRule="auto"/>
        <w:jc w:val="both"/>
        <w:rPr>
          <w:rFonts w:ascii="Arial" w:hAnsi="Arial" w:cs="Arial"/>
          <w:sz w:val="20"/>
          <w:szCs w:val="20"/>
        </w:rPr>
      </w:pPr>
      <w:r w:rsidRPr="00D50C37">
        <w:rPr>
          <w:rFonts w:ascii="Arial" w:hAnsi="Arial" w:cs="Arial"/>
          <w:sz w:val="20"/>
          <w:szCs w:val="20"/>
        </w:rPr>
        <w:t xml:space="preserve">L’indicatore della </w:t>
      </w:r>
      <w:r w:rsidRPr="00D50C37">
        <w:rPr>
          <w:rFonts w:ascii="Arial" w:hAnsi="Arial" w:cs="Arial"/>
          <w:i/>
          <w:sz w:val="20"/>
          <w:szCs w:val="20"/>
        </w:rPr>
        <w:t>dimensione del gruppo (Size)</w:t>
      </w:r>
      <w:r w:rsidRPr="00D50C37">
        <w:rPr>
          <w:rFonts w:ascii="Arial" w:hAnsi="Arial" w:cs="Arial"/>
          <w:sz w:val="20"/>
          <w:szCs w:val="20"/>
        </w:rPr>
        <w:t xml:space="preserve"> prende in considerazione le unità residenti sul territorio italiano e le relative informazioni prodotte dal gruppo sul territorio nazionale, in termini di addetti, fatturato e totale attivo; le soglie considerate sono quelle previste dalla Direttiva Europea 2013/34/UE del Parlamento Europeo e del Consiglio del 26 giugno 2013, che distingue i gruppi di imprese in piccoli, medi e grandi. </w:t>
      </w:r>
    </w:p>
    <w:p w14:paraId="32457297" w14:textId="6AEF5306" w:rsidR="004C29CB" w:rsidRDefault="004C29CB" w:rsidP="00DC3A15">
      <w:pPr>
        <w:autoSpaceDE w:val="0"/>
        <w:autoSpaceDN w:val="0"/>
        <w:adjustRightInd w:val="0"/>
        <w:spacing w:after="120" w:line="240" w:lineRule="auto"/>
        <w:jc w:val="both"/>
        <w:rPr>
          <w:rFonts w:ascii="Arial" w:hAnsi="Arial" w:cs="Arial"/>
          <w:sz w:val="20"/>
          <w:szCs w:val="20"/>
        </w:rPr>
      </w:pPr>
    </w:p>
    <w:p w14:paraId="7A51030A" w14:textId="15BF501F" w:rsidR="004C29CB" w:rsidRDefault="004C29CB" w:rsidP="00DC3A15">
      <w:pPr>
        <w:autoSpaceDE w:val="0"/>
        <w:autoSpaceDN w:val="0"/>
        <w:adjustRightInd w:val="0"/>
        <w:spacing w:after="120" w:line="240" w:lineRule="auto"/>
        <w:jc w:val="both"/>
        <w:rPr>
          <w:rFonts w:ascii="Arial" w:hAnsi="Arial" w:cs="Arial"/>
          <w:sz w:val="20"/>
          <w:szCs w:val="20"/>
        </w:rPr>
      </w:pPr>
    </w:p>
    <w:p w14:paraId="67716C08" w14:textId="5FC1D086" w:rsidR="004C29CB" w:rsidRDefault="004C29CB" w:rsidP="00DC3A15">
      <w:pPr>
        <w:autoSpaceDE w:val="0"/>
        <w:autoSpaceDN w:val="0"/>
        <w:adjustRightInd w:val="0"/>
        <w:spacing w:after="120" w:line="240" w:lineRule="auto"/>
        <w:jc w:val="both"/>
        <w:rPr>
          <w:rFonts w:ascii="Arial" w:hAnsi="Arial" w:cs="Arial"/>
          <w:sz w:val="20"/>
          <w:szCs w:val="20"/>
        </w:rPr>
      </w:pPr>
    </w:p>
    <w:p w14:paraId="29699A65" w14:textId="6C622343" w:rsidR="004C29CB" w:rsidRDefault="004C29CB" w:rsidP="00DC3A15">
      <w:pPr>
        <w:autoSpaceDE w:val="0"/>
        <w:autoSpaceDN w:val="0"/>
        <w:adjustRightInd w:val="0"/>
        <w:spacing w:after="120" w:line="240" w:lineRule="auto"/>
        <w:jc w:val="both"/>
        <w:rPr>
          <w:rFonts w:ascii="Arial" w:hAnsi="Arial" w:cs="Arial"/>
          <w:sz w:val="20"/>
          <w:szCs w:val="20"/>
        </w:rPr>
      </w:pPr>
    </w:p>
    <w:p w14:paraId="0BEFA84B" w14:textId="5E92998A" w:rsidR="004C29CB" w:rsidRDefault="004C29CB" w:rsidP="00DC3A15">
      <w:pPr>
        <w:autoSpaceDE w:val="0"/>
        <w:autoSpaceDN w:val="0"/>
        <w:adjustRightInd w:val="0"/>
        <w:spacing w:after="120" w:line="240" w:lineRule="auto"/>
        <w:jc w:val="both"/>
        <w:rPr>
          <w:rFonts w:ascii="Arial" w:hAnsi="Arial" w:cs="Arial"/>
          <w:sz w:val="20"/>
          <w:szCs w:val="20"/>
        </w:rPr>
      </w:pPr>
    </w:p>
    <w:p w14:paraId="391924EA" w14:textId="14AA006C" w:rsidR="00243DDC" w:rsidRDefault="00243DDC" w:rsidP="00DC3A15">
      <w:pPr>
        <w:autoSpaceDE w:val="0"/>
        <w:autoSpaceDN w:val="0"/>
        <w:adjustRightInd w:val="0"/>
        <w:spacing w:after="120" w:line="240" w:lineRule="auto"/>
        <w:jc w:val="both"/>
        <w:rPr>
          <w:rFonts w:ascii="Arial" w:hAnsi="Arial" w:cs="Arial"/>
          <w:sz w:val="20"/>
          <w:szCs w:val="20"/>
        </w:rPr>
      </w:pPr>
    </w:p>
    <w:p w14:paraId="58DEF9C9" w14:textId="7D2189F4" w:rsidR="00243DDC" w:rsidRDefault="00243DDC" w:rsidP="00DC3A15">
      <w:pPr>
        <w:autoSpaceDE w:val="0"/>
        <w:autoSpaceDN w:val="0"/>
        <w:adjustRightInd w:val="0"/>
        <w:spacing w:after="120" w:line="240" w:lineRule="auto"/>
        <w:jc w:val="both"/>
        <w:rPr>
          <w:rFonts w:ascii="Arial" w:hAnsi="Arial" w:cs="Arial"/>
          <w:sz w:val="20"/>
          <w:szCs w:val="20"/>
        </w:rPr>
      </w:pPr>
    </w:p>
    <w:p w14:paraId="0AB6521A" w14:textId="0F7857AF" w:rsidR="00243DDC" w:rsidRDefault="00243DDC" w:rsidP="00DC3A15">
      <w:pPr>
        <w:autoSpaceDE w:val="0"/>
        <w:autoSpaceDN w:val="0"/>
        <w:adjustRightInd w:val="0"/>
        <w:spacing w:after="120" w:line="240" w:lineRule="auto"/>
        <w:jc w:val="both"/>
        <w:rPr>
          <w:rFonts w:ascii="Arial" w:hAnsi="Arial" w:cs="Arial"/>
          <w:sz w:val="20"/>
          <w:szCs w:val="20"/>
        </w:rPr>
      </w:pPr>
    </w:p>
    <w:p w14:paraId="16C89CCF" w14:textId="77777777" w:rsidR="00243DDC" w:rsidRDefault="00243DDC" w:rsidP="00DC3A15">
      <w:pPr>
        <w:autoSpaceDE w:val="0"/>
        <w:autoSpaceDN w:val="0"/>
        <w:adjustRightInd w:val="0"/>
        <w:spacing w:after="120" w:line="240" w:lineRule="auto"/>
        <w:jc w:val="both"/>
        <w:rPr>
          <w:rFonts w:ascii="Arial" w:hAnsi="Arial" w:cs="Arial"/>
          <w:sz w:val="20"/>
          <w:szCs w:val="20"/>
        </w:rPr>
      </w:pPr>
    </w:p>
    <w:p w14:paraId="754A19B7" w14:textId="58460BF9" w:rsidR="009F53CA" w:rsidRDefault="009F53CA">
      <w:pPr>
        <w:rPr>
          <w:rFonts w:ascii="Arial" w:hAnsi="Arial" w:cs="Arial"/>
          <w:sz w:val="20"/>
          <w:szCs w:val="20"/>
        </w:rPr>
      </w:pPr>
      <w:r>
        <w:rPr>
          <w:rFonts w:ascii="Arial" w:hAnsi="Arial" w:cs="Arial"/>
          <w:sz w:val="20"/>
          <w:szCs w:val="20"/>
        </w:rPr>
        <w:br w:type="page"/>
      </w:r>
    </w:p>
    <w:p w14:paraId="12463703" w14:textId="77777777" w:rsidR="004C29CB" w:rsidRDefault="004C29CB" w:rsidP="00DC3A15">
      <w:pPr>
        <w:autoSpaceDE w:val="0"/>
        <w:autoSpaceDN w:val="0"/>
        <w:adjustRightInd w:val="0"/>
        <w:spacing w:after="120" w:line="240" w:lineRule="auto"/>
        <w:jc w:val="both"/>
        <w:rPr>
          <w:rFonts w:ascii="Arial" w:hAnsi="Arial" w:cs="Arial"/>
          <w:sz w:val="20"/>
          <w:szCs w:val="20"/>
        </w:rPr>
      </w:pPr>
    </w:p>
    <w:p w14:paraId="0CBA13A0" w14:textId="77777777" w:rsidR="00DC3A15" w:rsidRPr="00F71E76" w:rsidRDefault="00DC3A15" w:rsidP="00DC3A15">
      <w:pPr>
        <w:spacing w:after="0"/>
        <w:rPr>
          <w:rFonts w:ascii="Arial Narrow" w:hAnsi="Arial Narrow" w:cs="Arial"/>
          <w:b/>
          <w:iCs/>
          <w:noProof/>
          <w:color w:val="1F497D" w:themeColor="text2"/>
          <w:sz w:val="22"/>
          <w:szCs w:val="22"/>
        </w:rPr>
      </w:pPr>
      <w:r w:rsidRPr="00F71E76">
        <w:rPr>
          <w:rFonts w:ascii="Arial Black" w:hAnsi="Arial Black" w:cs="Arial"/>
          <w:b/>
          <w:iCs/>
          <w:noProof/>
          <w:color w:val="1F497D" w:themeColor="text2"/>
          <w:sz w:val="22"/>
          <w:szCs w:val="22"/>
        </w:rPr>
        <w:t xml:space="preserve">Figura </w:t>
      </w:r>
      <w:r w:rsidRPr="008F0EC1">
        <w:rPr>
          <w:rFonts w:ascii="Arial Black" w:hAnsi="Arial Black" w:cs="Arial"/>
          <w:b/>
          <w:iCs/>
          <w:noProof/>
          <w:color w:val="1F497D" w:themeColor="text2"/>
          <w:sz w:val="22"/>
          <w:szCs w:val="22"/>
        </w:rPr>
        <w:t>A.</w:t>
      </w:r>
      <w:r w:rsidRPr="00F71E76">
        <w:rPr>
          <w:rFonts w:ascii="Arial Narrow" w:hAnsi="Arial Narrow" w:cs="Arial"/>
          <w:b/>
          <w:iCs/>
          <w:noProof/>
          <w:color w:val="1F497D" w:themeColor="text2"/>
          <w:sz w:val="22"/>
          <w:szCs w:val="22"/>
        </w:rPr>
        <w:t xml:space="preserve"> Strutture organizzative del gruppo</w:t>
      </w:r>
    </w:p>
    <w:p w14:paraId="598FA72F" w14:textId="77777777" w:rsidR="00DC3A15" w:rsidRDefault="00DC3A15" w:rsidP="00DC3A15">
      <w:pPr>
        <w:spacing w:after="120"/>
      </w:pPr>
      <w:r w:rsidRPr="004A6272">
        <w:rPr>
          <w:noProof/>
        </w:rPr>
        <w:drawing>
          <wp:inline distT="0" distB="0" distL="0" distR="0" wp14:anchorId="2F81A6AC" wp14:editId="1BE3D6CC">
            <wp:extent cx="5652000" cy="2525283"/>
            <wp:effectExtent l="19050" t="19050" r="25400" b="2794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52000" cy="2525283"/>
                    </a:xfrm>
                    <a:prstGeom prst="rect">
                      <a:avLst/>
                    </a:prstGeom>
                    <a:noFill/>
                    <a:ln>
                      <a:solidFill>
                        <a:schemeClr val="tx1"/>
                      </a:solidFill>
                    </a:ln>
                  </pic:spPr>
                </pic:pic>
              </a:graphicData>
            </a:graphic>
          </wp:inline>
        </w:drawing>
      </w:r>
    </w:p>
    <w:p w14:paraId="770D898B" w14:textId="77777777" w:rsidR="00DC3A15" w:rsidRDefault="00DC3A15" w:rsidP="00DC3A15">
      <w:pPr>
        <w:spacing w:after="120" w:line="240" w:lineRule="auto"/>
        <w:jc w:val="both"/>
        <w:rPr>
          <w:rFonts w:ascii="Arial" w:hAnsi="Arial" w:cs="Arial"/>
          <w:b/>
          <w:color w:val="1F497D"/>
          <w:sz w:val="22"/>
          <w:szCs w:val="22"/>
        </w:rPr>
      </w:pPr>
      <w:r w:rsidRPr="008A1DD1">
        <w:rPr>
          <w:rFonts w:ascii="Arial" w:hAnsi="Arial" w:cs="Arial"/>
          <w:b/>
          <w:color w:val="1F497D"/>
          <w:sz w:val="22"/>
          <w:szCs w:val="22"/>
        </w:rPr>
        <w:t>L’output: principali misure di analisi</w:t>
      </w:r>
    </w:p>
    <w:p w14:paraId="5D6280AC" w14:textId="77777777" w:rsidR="00DC3A15" w:rsidRDefault="00DC3A15" w:rsidP="00DC3A15">
      <w:pPr>
        <w:autoSpaceDE w:val="0"/>
        <w:autoSpaceDN w:val="0"/>
        <w:adjustRightInd w:val="0"/>
        <w:spacing w:after="120" w:line="240" w:lineRule="auto"/>
        <w:jc w:val="both"/>
        <w:rPr>
          <w:rFonts w:ascii="Arial" w:hAnsi="Arial" w:cs="Arial"/>
          <w:sz w:val="20"/>
        </w:rPr>
      </w:pPr>
      <w:r w:rsidRPr="008A1DD1">
        <w:rPr>
          <w:rFonts w:ascii="Arial" w:hAnsi="Arial" w:cs="Arial"/>
          <w:sz w:val="20"/>
        </w:rPr>
        <w:t>Le principali variabili prodotte dal sistema di indagini sui conti economici delle imprese e dal sistema dei registri sono finalizzate alla misurazione della struttura e competitività delle imprese e dei gruppi industriali e dei servizi.</w:t>
      </w:r>
    </w:p>
    <w:p w14:paraId="26EF24F9" w14:textId="77777777" w:rsidR="00DC3A15" w:rsidRDefault="00DC3A15" w:rsidP="00DC3A15">
      <w:pPr>
        <w:spacing w:after="120" w:line="240" w:lineRule="auto"/>
        <w:jc w:val="both"/>
        <w:rPr>
          <w:rFonts w:ascii="Arial" w:hAnsi="Arial" w:cs="Arial"/>
          <w:b/>
          <w:color w:val="1F497D"/>
          <w:sz w:val="22"/>
          <w:szCs w:val="22"/>
        </w:rPr>
      </w:pPr>
      <w:r w:rsidRPr="008A1DD1">
        <w:rPr>
          <w:rFonts w:ascii="Arial" w:hAnsi="Arial" w:cs="Arial"/>
          <w:b/>
          <w:color w:val="1F497D"/>
          <w:sz w:val="22"/>
          <w:szCs w:val="22"/>
        </w:rPr>
        <w:t>La precisione delle stime</w:t>
      </w:r>
    </w:p>
    <w:p w14:paraId="3D99B3B5" w14:textId="77777777" w:rsidR="00875EF4" w:rsidRPr="00240008" w:rsidRDefault="00875EF4" w:rsidP="00875EF4">
      <w:pPr>
        <w:spacing w:after="120" w:line="240" w:lineRule="auto"/>
        <w:jc w:val="both"/>
        <w:rPr>
          <w:rFonts w:ascii="Arial" w:hAnsi="Arial" w:cs="Arial"/>
          <w:sz w:val="20"/>
        </w:rPr>
      </w:pPr>
      <w:r w:rsidRPr="00240008">
        <w:rPr>
          <w:rFonts w:ascii="Arial" w:hAnsi="Arial" w:cs="Arial"/>
          <w:sz w:val="20"/>
        </w:rPr>
        <w:t>La dimensione del campione di PMI negli strati è stata calcolata risolvendo un problema di allocazione multivariata e multidominio, in cui la dimensione campionaria è quella minima che consente di ottenere simultaneamente predefiniti livelli di accuratezza delle stime dei parametri di interesse, entro diversi domini di stima pianificati. Si tratta di una generalizzazione al caso di più variabili di interesse e molteplici domini di stima della soluzione individuata da Neyman per il caso univariato. Le variabili per cui sono stati fissati gli errori campionari massimi (in termini di coefficienti di variazione percentuali) sono: il numero di addetti e il fatturato; la stima delle corrispondenti medie e varianze di strato necessaria al calcolo dell’allocazione ottima è stata calcolata utilizzando i dati dei rispondenti all’edizione precedente dell’indagine.</w:t>
      </w:r>
    </w:p>
    <w:p w14:paraId="0F192D69" w14:textId="77777777" w:rsidR="004B0BB5" w:rsidRPr="004B0BB5" w:rsidRDefault="004B0BB5" w:rsidP="004B0BB5">
      <w:pPr>
        <w:spacing w:after="120" w:line="240" w:lineRule="auto"/>
        <w:jc w:val="both"/>
        <w:rPr>
          <w:rFonts w:ascii="Arial" w:hAnsi="Arial" w:cs="Arial"/>
          <w:sz w:val="20"/>
        </w:rPr>
      </w:pPr>
      <w:r w:rsidRPr="004B0BB5">
        <w:rPr>
          <w:rFonts w:ascii="Arial" w:hAnsi="Arial" w:cs="Arial"/>
          <w:sz w:val="20"/>
        </w:rPr>
        <w:t>Il calcolo dell’allocazione ottima, effettuato mediante il software generalizzato R2BEAT implementato in Istat, ha dato luogo a una dimensione complessiva di 84.467 unità (di cui 4.471 per le unità giuridiche con 250 addetti e oltre) e al sistema di vincoli per gli errori campionari massimi dei parametri di interesse riportato nella seguente tabella: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5"/>
        <w:gridCol w:w="2728"/>
        <w:gridCol w:w="1340"/>
        <w:gridCol w:w="856"/>
      </w:tblGrid>
      <w:tr w:rsidR="00875EF4" w:rsidRPr="004B0BB5" w14:paraId="6DF7F24C" w14:textId="77777777" w:rsidTr="002C3DAF">
        <w:trPr>
          <w:trHeight w:val="353"/>
        </w:trPr>
        <w:tc>
          <w:tcPr>
            <w:tcW w:w="0" w:type="auto"/>
            <w:tcBorders>
              <w:top w:val="nil"/>
              <w:left w:val="nil"/>
              <w:bottom w:val="single" w:sz="4" w:space="0" w:color="auto"/>
              <w:right w:val="nil"/>
            </w:tcBorders>
            <w:vAlign w:val="center"/>
          </w:tcPr>
          <w:p w14:paraId="4A09692F" w14:textId="77777777" w:rsidR="00875EF4" w:rsidRPr="004B0BB5" w:rsidRDefault="00875EF4" w:rsidP="002C3DAF">
            <w:pPr>
              <w:autoSpaceDE w:val="0"/>
              <w:autoSpaceDN w:val="0"/>
              <w:adjustRightInd w:val="0"/>
              <w:spacing w:after="120" w:line="240" w:lineRule="atLeast"/>
              <w:rPr>
                <w:rFonts w:ascii="Arial" w:eastAsia="Calibri" w:hAnsi="Arial" w:cs="Arial"/>
                <w:b/>
                <w:bCs/>
                <w:color w:val="000000"/>
                <w:sz w:val="20"/>
                <w:szCs w:val="20"/>
                <w:lang w:eastAsia="en-US"/>
              </w:rPr>
            </w:pPr>
          </w:p>
        </w:tc>
        <w:tc>
          <w:tcPr>
            <w:tcW w:w="0" w:type="auto"/>
            <w:tcBorders>
              <w:top w:val="nil"/>
              <w:left w:val="nil"/>
              <w:bottom w:val="single" w:sz="4" w:space="0" w:color="auto"/>
              <w:right w:val="nil"/>
            </w:tcBorders>
            <w:vAlign w:val="center"/>
          </w:tcPr>
          <w:p w14:paraId="66151DFE" w14:textId="77777777" w:rsidR="00875EF4" w:rsidRPr="004B0BB5" w:rsidRDefault="00875EF4" w:rsidP="002C3DAF">
            <w:pPr>
              <w:autoSpaceDE w:val="0"/>
              <w:autoSpaceDN w:val="0"/>
              <w:adjustRightInd w:val="0"/>
              <w:spacing w:after="120" w:line="240" w:lineRule="atLeast"/>
              <w:jc w:val="center"/>
              <w:rPr>
                <w:rFonts w:ascii="Arial" w:eastAsia="Calibri" w:hAnsi="Arial" w:cs="Arial"/>
                <w:b/>
                <w:bCs/>
                <w:color w:val="000000"/>
                <w:sz w:val="20"/>
                <w:szCs w:val="20"/>
                <w:lang w:eastAsia="en-US"/>
              </w:rPr>
            </w:pPr>
          </w:p>
        </w:tc>
        <w:tc>
          <w:tcPr>
            <w:tcW w:w="2147" w:type="dxa"/>
            <w:gridSpan w:val="2"/>
            <w:tcBorders>
              <w:top w:val="nil"/>
              <w:left w:val="nil"/>
              <w:bottom w:val="single" w:sz="4" w:space="0" w:color="auto"/>
              <w:right w:val="nil"/>
            </w:tcBorders>
            <w:vAlign w:val="center"/>
          </w:tcPr>
          <w:p w14:paraId="532C8505" w14:textId="77777777" w:rsidR="00875EF4" w:rsidRPr="004B0BB5" w:rsidRDefault="00875EF4" w:rsidP="002C3DAF">
            <w:pPr>
              <w:autoSpaceDE w:val="0"/>
              <w:autoSpaceDN w:val="0"/>
              <w:adjustRightInd w:val="0"/>
              <w:spacing w:after="120" w:line="240" w:lineRule="atLeast"/>
              <w:jc w:val="center"/>
              <w:rPr>
                <w:rFonts w:ascii="Arial" w:eastAsia="Calibri" w:hAnsi="Arial" w:cs="Arial"/>
                <w:b/>
                <w:bCs/>
                <w:color w:val="000000"/>
                <w:sz w:val="20"/>
                <w:szCs w:val="20"/>
                <w:lang w:eastAsia="en-US"/>
              </w:rPr>
            </w:pPr>
            <w:r w:rsidRPr="004B0BB5">
              <w:rPr>
                <w:rFonts w:ascii="Arial" w:eastAsia="Calibri" w:hAnsi="Arial" w:cs="Arial"/>
                <w:b/>
                <w:bCs/>
                <w:color w:val="000000"/>
                <w:sz w:val="20"/>
                <w:szCs w:val="20"/>
                <w:lang w:eastAsia="en-US"/>
              </w:rPr>
              <w:t>Cv pianificati</w:t>
            </w:r>
          </w:p>
        </w:tc>
      </w:tr>
      <w:tr w:rsidR="00875EF4" w:rsidRPr="004B0BB5" w14:paraId="3B224675" w14:textId="77777777" w:rsidTr="002C3DAF">
        <w:trPr>
          <w:trHeight w:val="352"/>
        </w:trPr>
        <w:tc>
          <w:tcPr>
            <w:tcW w:w="0" w:type="auto"/>
            <w:tcBorders>
              <w:bottom w:val="single" w:sz="4" w:space="0" w:color="auto"/>
            </w:tcBorders>
            <w:vAlign w:val="center"/>
          </w:tcPr>
          <w:p w14:paraId="5C173383" w14:textId="77777777" w:rsidR="00875EF4" w:rsidRPr="004B0BB5" w:rsidRDefault="00875EF4" w:rsidP="002C3DAF">
            <w:pPr>
              <w:autoSpaceDE w:val="0"/>
              <w:autoSpaceDN w:val="0"/>
              <w:adjustRightInd w:val="0"/>
              <w:spacing w:after="120" w:line="240" w:lineRule="atLeast"/>
              <w:jc w:val="center"/>
              <w:rPr>
                <w:rFonts w:ascii="Arial Narrow" w:eastAsia="Calibri" w:hAnsi="Arial Narrow" w:cs="Arial"/>
                <w:color w:val="000000"/>
                <w:sz w:val="18"/>
                <w:szCs w:val="18"/>
                <w:lang w:eastAsia="en-US"/>
              </w:rPr>
            </w:pPr>
            <w:r w:rsidRPr="004B0BB5">
              <w:rPr>
                <w:rFonts w:ascii="Arial Narrow" w:eastAsia="Calibri" w:hAnsi="Arial Narrow" w:cs="Arial"/>
                <w:b/>
                <w:bCs/>
                <w:color w:val="000000"/>
                <w:sz w:val="18"/>
                <w:szCs w:val="18"/>
                <w:lang w:eastAsia="en-US"/>
              </w:rPr>
              <w:t>Tipo di dominio</w:t>
            </w:r>
          </w:p>
        </w:tc>
        <w:tc>
          <w:tcPr>
            <w:tcW w:w="0" w:type="auto"/>
            <w:tcBorders>
              <w:bottom w:val="single" w:sz="4" w:space="0" w:color="auto"/>
            </w:tcBorders>
            <w:vAlign w:val="center"/>
          </w:tcPr>
          <w:p w14:paraId="012003A2" w14:textId="77777777" w:rsidR="00875EF4" w:rsidRPr="004B0BB5" w:rsidRDefault="00875EF4" w:rsidP="002C3DAF">
            <w:pPr>
              <w:autoSpaceDE w:val="0"/>
              <w:autoSpaceDN w:val="0"/>
              <w:adjustRightInd w:val="0"/>
              <w:spacing w:after="120" w:line="240" w:lineRule="atLeast"/>
              <w:jc w:val="center"/>
              <w:rPr>
                <w:rFonts w:ascii="Arial Narrow" w:eastAsia="Calibri" w:hAnsi="Arial Narrow" w:cs="Arial"/>
                <w:color w:val="000000"/>
                <w:sz w:val="18"/>
                <w:szCs w:val="18"/>
                <w:lang w:eastAsia="en-US"/>
              </w:rPr>
            </w:pPr>
            <w:r w:rsidRPr="004B0BB5">
              <w:rPr>
                <w:rFonts w:ascii="Arial Narrow" w:eastAsia="Calibri" w:hAnsi="Arial Narrow" w:cs="Arial"/>
                <w:b/>
                <w:bCs/>
                <w:color w:val="000000"/>
                <w:sz w:val="18"/>
                <w:szCs w:val="18"/>
                <w:lang w:eastAsia="en-US"/>
              </w:rPr>
              <w:t>Descrizione</w:t>
            </w:r>
          </w:p>
        </w:tc>
        <w:tc>
          <w:tcPr>
            <w:tcW w:w="1340" w:type="dxa"/>
            <w:tcBorders>
              <w:bottom w:val="single" w:sz="4" w:space="0" w:color="auto"/>
            </w:tcBorders>
            <w:vAlign w:val="center"/>
          </w:tcPr>
          <w:p w14:paraId="44380590" w14:textId="16C035C6" w:rsidR="00875EF4" w:rsidRPr="004B0BB5" w:rsidRDefault="004B0BB5" w:rsidP="002C3DAF">
            <w:pPr>
              <w:autoSpaceDE w:val="0"/>
              <w:autoSpaceDN w:val="0"/>
              <w:adjustRightInd w:val="0"/>
              <w:spacing w:after="120" w:line="240" w:lineRule="atLeast"/>
              <w:jc w:val="center"/>
              <w:rPr>
                <w:rFonts w:ascii="Arial Narrow" w:eastAsia="Calibri" w:hAnsi="Arial Narrow" w:cs="Arial"/>
                <w:color w:val="000000"/>
                <w:sz w:val="18"/>
                <w:szCs w:val="18"/>
                <w:lang w:eastAsia="en-US"/>
              </w:rPr>
            </w:pPr>
            <w:r w:rsidRPr="004B0BB5">
              <w:rPr>
                <w:rFonts w:ascii="Arial Narrow" w:eastAsia="Calibri" w:hAnsi="Arial Narrow" w:cs="Arial"/>
                <w:b/>
                <w:bCs/>
                <w:color w:val="000000"/>
                <w:sz w:val="18"/>
                <w:szCs w:val="18"/>
                <w:lang w:eastAsia="en-US"/>
              </w:rPr>
              <w:t>Addetti</w:t>
            </w:r>
          </w:p>
        </w:tc>
        <w:tc>
          <w:tcPr>
            <w:tcW w:w="807" w:type="dxa"/>
            <w:tcBorders>
              <w:bottom w:val="single" w:sz="4" w:space="0" w:color="auto"/>
            </w:tcBorders>
            <w:vAlign w:val="center"/>
          </w:tcPr>
          <w:p w14:paraId="343A497E" w14:textId="79869B61" w:rsidR="00875EF4" w:rsidRPr="004B0BB5" w:rsidRDefault="004B0BB5" w:rsidP="002C3DAF">
            <w:pPr>
              <w:autoSpaceDE w:val="0"/>
              <w:autoSpaceDN w:val="0"/>
              <w:adjustRightInd w:val="0"/>
              <w:spacing w:after="120" w:line="240" w:lineRule="atLeast"/>
              <w:jc w:val="center"/>
              <w:rPr>
                <w:rFonts w:ascii="Arial Narrow" w:eastAsia="Calibri" w:hAnsi="Arial Narrow" w:cs="Arial"/>
                <w:b/>
                <w:bCs/>
                <w:color w:val="000000"/>
                <w:sz w:val="18"/>
                <w:szCs w:val="18"/>
                <w:lang w:eastAsia="en-US"/>
              </w:rPr>
            </w:pPr>
            <w:r w:rsidRPr="004B0BB5">
              <w:rPr>
                <w:rFonts w:ascii="Arial Narrow" w:eastAsia="Calibri" w:hAnsi="Arial Narrow" w:cs="Arial"/>
                <w:b/>
                <w:bCs/>
                <w:color w:val="000000"/>
                <w:sz w:val="18"/>
                <w:szCs w:val="18"/>
                <w:lang w:eastAsia="en-US"/>
              </w:rPr>
              <w:t>Fatturato</w:t>
            </w:r>
          </w:p>
        </w:tc>
      </w:tr>
      <w:tr w:rsidR="00875EF4" w:rsidRPr="004B0BB5" w14:paraId="1A6934CC" w14:textId="77777777" w:rsidTr="002C3DAF">
        <w:trPr>
          <w:trHeight w:val="174"/>
        </w:trPr>
        <w:tc>
          <w:tcPr>
            <w:tcW w:w="0" w:type="auto"/>
            <w:tcBorders>
              <w:top w:val="nil"/>
              <w:bottom w:val="single" w:sz="4" w:space="0" w:color="auto"/>
            </w:tcBorders>
            <w:vAlign w:val="center"/>
          </w:tcPr>
          <w:p w14:paraId="2CF5CE9F" w14:textId="77777777" w:rsidR="00875EF4" w:rsidRPr="004B0BB5" w:rsidRDefault="00875EF4" w:rsidP="002C3DAF">
            <w:pPr>
              <w:autoSpaceDE w:val="0"/>
              <w:autoSpaceDN w:val="0"/>
              <w:adjustRightInd w:val="0"/>
              <w:spacing w:after="120" w:line="240" w:lineRule="atLeast"/>
              <w:rPr>
                <w:rFonts w:ascii="Arial Narrow" w:eastAsia="Calibri" w:hAnsi="Arial Narrow" w:cs="Arial"/>
                <w:color w:val="000000"/>
                <w:sz w:val="18"/>
                <w:szCs w:val="18"/>
                <w:lang w:eastAsia="en-US"/>
              </w:rPr>
            </w:pPr>
            <w:r w:rsidRPr="004B0BB5">
              <w:rPr>
                <w:rFonts w:ascii="Arial Narrow" w:eastAsia="Calibri" w:hAnsi="Arial Narrow" w:cs="Arial"/>
                <w:color w:val="000000"/>
                <w:sz w:val="18"/>
                <w:szCs w:val="18"/>
                <w:lang w:eastAsia="en-US"/>
              </w:rPr>
              <w:t>DOM1</w:t>
            </w:r>
          </w:p>
        </w:tc>
        <w:tc>
          <w:tcPr>
            <w:tcW w:w="0" w:type="auto"/>
            <w:tcBorders>
              <w:top w:val="nil"/>
              <w:bottom w:val="single" w:sz="4" w:space="0" w:color="auto"/>
            </w:tcBorders>
            <w:vAlign w:val="center"/>
          </w:tcPr>
          <w:p w14:paraId="6D04749D" w14:textId="77777777" w:rsidR="00875EF4" w:rsidRPr="004B0BB5" w:rsidRDefault="00875EF4" w:rsidP="002C3DAF">
            <w:pPr>
              <w:autoSpaceDE w:val="0"/>
              <w:autoSpaceDN w:val="0"/>
              <w:adjustRightInd w:val="0"/>
              <w:spacing w:after="120" w:line="240" w:lineRule="atLeast"/>
              <w:jc w:val="both"/>
              <w:rPr>
                <w:rFonts w:ascii="Arial Narrow" w:eastAsia="Calibri" w:hAnsi="Arial Narrow" w:cs="Arial"/>
                <w:color w:val="000000"/>
                <w:sz w:val="18"/>
                <w:szCs w:val="18"/>
                <w:lang w:eastAsia="en-US"/>
              </w:rPr>
            </w:pPr>
            <w:r w:rsidRPr="004B0BB5">
              <w:rPr>
                <w:rFonts w:ascii="Arial Narrow" w:eastAsia="Calibri" w:hAnsi="Arial Narrow" w:cs="Arial"/>
                <w:color w:val="000000"/>
                <w:sz w:val="18"/>
                <w:szCs w:val="18"/>
                <w:lang w:eastAsia="en-US"/>
              </w:rPr>
              <w:t xml:space="preserve">Ateco 2007 (4 cifre) </w:t>
            </w:r>
          </w:p>
        </w:tc>
        <w:tc>
          <w:tcPr>
            <w:tcW w:w="1340" w:type="dxa"/>
            <w:tcBorders>
              <w:top w:val="nil"/>
              <w:bottom w:val="single" w:sz="4" w:space="0" w:color="auto"/>
            </w:tcBorders>
            <w:vAlign w:val="center"/>
          </w:tcPr>
          <w:p w14:paraId="5EFA967B" w14:textId="7776FCB1" w:rsidR="00875EF4" w:rsidRPr="004B0BB5" w:rsidRDefault="00875EF4" w:rsidP="002C3DAF">
            <w:pPr>
              <w:autoSpaceDE w:val="0"/>
              <w:autoSpaceDN w:val="0"/>
              <w:adjustRightInd w:val="0"/>
              <w:spacing w:after="120" w:line="240" w:lineRule="atLeast"/>
              <w:jc w:val="center"/>
              <w:rPr>
                <w:rFonts w:ascii="Arial Narrow" w:eastAsia="Calibri" w:hAnsi="Arial Narrow" w:cs="Arial"/>
                <w:color w:val="000000"/>
                <w:sz w:val="18"/>
                <w:szCs w:val="18"/>
                <w:lang w:eastAsia="en-US"/>
              </w:rPr>
            </w:pPr>
            <w:r w:rsidRPr="004B0BB5">
              <w:rPr>
                <w:rFonts w:ascii="Arial Narrow" w:eastAsia="Calibri" w:hAnsi="Arial Narrow" w:cs="Arial"/>
                <w:color w:val="000000"/>
                <w:sz w:val="18"/>
                <w:szCs w:val="18"/>
                <w:lang w:eastAsia="en-US"/>
              </w:rPr>
              <w:t>0,1</w:t>
            </w:r>
            <w:r w:rsidR="004B0BB5" w:rsidRPr="004B0BB5">
              <w:rPr>
                <w:rFonts w:ascii="Arial Narrow" w:eastAsia="Calibri" w:hAnsi="Arial Narrow" w:cs="Arial"/>
                <w:color w:val="000000"/>
                <w:sz w:val="18"/>
                <w:szCs w:val="18"/>
                <w:lang w:eastAsia="en-US"/>
              </w:rPr>
              <w:t>1</w:t>
            </w:r>
          </w:p>
        </w:tc>
        <w:tc>
          <w:tcPr>
            <w:tcW w:w="807" w:type="dxa"/>
            <w:tcBorders>
              <w:top w:val="nil"/>
              <w:bottom w:val="single" w:sz="4" w:space="0" w:color="auto"/>
            </w:tcBorders>
            <w:vAlign w:val="center"/>
          </w:tcPr>
          <w:p w14:paraId="4E6BD8CE" w14:textId="6F8DB4CD" w:rsidR="00875EF4" w:rsidRPr="004B0BB5" w:rsidRDefault="00875EF4" w:rsidP="002C3DAF">
            <w:pPr>
              <w:autoSpaceDE w:val="0"/>
              <w:autoSpaceDN w:val="0"/>
              <w:adjustRightInd w:val="0"/>
              <w:spacing w:after="120" w:line="240" w:lineRule="atLeast"/>
              <w:jc w:val="center"/>
              <w:rPr>
                <w:rFonts w:ascii="Arial Narrow" w:eastAsia="Calibri" w:hAnsi="Arial Narrow" w:cs="Arial"/>
                <w:color w:val="000000"/>
                <w:sz w:val="18"/>
                <w:szCs w:val="18"/>
                <w:lang w:eastAsia="en-US"/>
              </w:rPr>
            </w:pPr>
            <w:r w:rsidRPr="004B0BB5">
              <w:rPr>
                <w:rFonts w:ascii="Arial Narrow" w:eastAsia="Calibri" w:hAnsi="Arial Narrow" w:cs="Arial"/>
                <w:color w:val="000000"/>
                <w:sz w:val="18"/>
                <w:szCs w:val="18"/>
                <w:lang w:eastAsia="en-US"/>
              </w:rPr>
              <w:t>0,</w:t>
            </w:r>
            <w:r w:rsidR="004B0BB5" w:rsidRPr="004B0BB5">
              <w:rPr>
                <w:rFonts w:ascii="Arial Narrow" w:eastAsia="Calibri" w:hAnsi="Arial Narrow" w:cs="Arial"/>
                <w:color w:val="000000"/>
                <w:sz w:val="18"/>
                <w:szCs w:val="18"/>
                <w:lang w:eastAsia="en-US"/>
              </w:rPr>
              <w:t>27</w:t>
            </w:r>
          </w:p>
        </w:tc>
      </w:tr>
      <w:tr w:rsidR="00875EF4" w:rsidRPr="00240008" w14:paraId="210B712C" w14:textId="77777777" w:rsidTr="002C3DAF">
        <w:trPr>
          <w:trHeight w:val="219"/>
        </w:trPr>
        <w:tc>
          <w:tcPr>
            <w:tcW w:w="0" w:type="auto"/>
            <w:tcBorders>
              <w:top w:val="nil"/>
              <w:bottom w:val="single" w:sz="4" w:space="0" w:color="auto"/>
            </w:tcBorders>
            <w:vAlign w:val="center"/>
          </w:tcPr>
          <w:p w14:paraId="511B4768" w14:textId="77777777" w:rsidR="00875EF4" w:rsidRPr="004B0BB5" w:rsidRDefault="00875EF4" w:rsidP="002C3DAF">
            <w:pPr>
              <w:autoSpaceDE w:val="0"/>
              <w:autoSpaceDN w:val="0"/>
              <w:adjustRightInd w:val="0"/>
              <w:spacing w:after="120" w:line="240" w:lineRule="atLeast"/>
              <w:rPr>
                <w:rFonts w:ascii="Arial Narrow" w:eastAsia="Calibri" w:hAnsi="Arial Narrow" w:cs="Arial"/>
                <w:color w:val="000000"/>
                <w:sz w:val="18"/>
                <w:szCs w:val="18"/>
                <w:lang w:eastAsia="en-US"/>
              </w:rPr>
            </w:pPr>
            <w:r w:rsidRPr="004B0BB5">
              <w:rPr>
                <w:rFonts w:ascii="Arial Narrow" w:eastAsia="Calibri" w:hAnsi="Arial Narrow" w:cs="Arial"/>
                <w:color w:val="000000"/>
                <w:sz w:val="18"/>
                <w:szCs w:val="18"/>
                <w:lang w:eastAsia="en-US"/>
              </w:rPr>
              <w:t>DOM2</w:t>
            </w:r>
          </w:p>
        </w:tc>
        <w:tc>
          <w:tcPr>
            <w:tcW w:w="0" w:type="auto"/>
            <w:tcBorders>
              <w:top w:val="nil"/>
              <w:bottom w:val="single" w:sz="4" w:space="0" w:color="auto"/>
            </w:tcBorders>
            <w:vAlign w:val="center"/>
          </w:tcPr>
          <w:p w14:paraId="1E8F3DB2" w14:textId="77777777" w:rsidR="00875EF4" w:rsidRPr="004B0BB5" w:rsidRDefault="00875EF4" w:rsidP="002C3DAF">
            <w:pPr>
              <w:autoSpaceDE w:val="0"/>
              <w:autoSpaceDN w:val="0"/>
              <w:adjustRightInd w:val="0"/>
              <w:spacing w:after="120" w:line="240" w:lineRule="atLeast"/>
              <w:jc w:val="both"/>
              <w:rPr>
                <w:rFonts w:ascii="Arial Narrow" w:eastAsia="Calibri" w:hAnsi="Arial Narrow" w:cs="Arial"/>
                <w:color w:val="000000"/>
                <w:sz w:val="18"/>
                <w:szCs w:val="18"/>
                <w:lang w:eastAsia="en-US"/>
              </w:rPr>
            </w:pPr>
            <w:r w:rsidRPr="004B0BB5">
              <w:rPr>
                <w:rFonts w:ascii="Arial Narrow" w:eastAsia="Calibri" w:hAnsi="Arial Narrow" w:cs="Arial"/>
                <w:color w:val="000000"/>
                <w:sz w:val="18"/>
                <w:szCs w:val="18"/>
                <w:lang w:eastAsia="en-US"/>
              </w:rPr>
              <w:t>Ateco 2007 (3 cifre) e classe di addetti</w:t>
            </w:r>
          </w:p>
        </w:tc>
        <w:tc>
          <w:tcPr>
            <w:tcW w:w="1340" w:type="dxa"/>
            <w:tcBorders>
              <w:top w:val="nil"/>
              <w:bottom w:val="single" w:sz="4" w:space="0" w:color="auto"/>
            </w:tcBorders>
            <w:vAlign w:val="center"/>
          </w:tcPr>
          <w:p w14:paraId="783E9221" w14:textId="64C2D0E3" w:rsidR="00875EF4" w:rsidRPr="004B0BB5" w:rsidRDefault="00875EF4" w:rsidP="002C3DAF">
            <w:pPr>
              <w:autoSpaceDE w:val="0"/>
              <w:autoSpaceDN w:val="0"/>
              <w:adjustRightInd w:val="0"/>
              <w:spacing w:after="120" w:line="240" w:lineRule="atLeast"/>
              <w:jc w:val="center"/>
              <w:rPr>
                <w:rFonts w:ascii="Arial Narrow" w:eastAsia="Calibri" w:hAnsi="Arial Narrow" w:cs="Arial"/>
                <w:color w:val="000000"/>
                <w:sz w:val="18"/>
                <w:szCs w:val="18"/>
                <w:lang w:eastAsia="en-US"/>
              </w:rPr>
            </w:pPr>
            <w:r w:rsidRPr="004B0BB5">
              <w:rPr>
                <w:rFonts w:ascii="Arial Narrow" w:eastAsia="Calibri" w:hAnsi="Arial Narrow" w:cs="Arial"/>
                <w:color w:val="000000"/>
                <w:sz w:val="18"/>
                <w:szCs w:val="18"/>
                <w:lang w:eastAsia="en-US"/>
              </w:rPr>
              <w:t>0.</w:t>
            </w:r>
            <w:r w:rsidR="004B0BB5" w:rsidRPr="004B0BB5">
              <w:rPr>
                <w:rFonts w:ascii="Arial Narrow" w:eastAsia="Calibri" w:hAnsi="Arial Narrow" w:cs="Arial"/>
                <w:color w:val="000000"/>
                <w:sz w:val="18"/>
                <w:szCs w:val="18"/>
                <w:lang w:eastAsia="en-US"/>
              </w:rPr>
              <w:t>14</w:t>
            </w:r>
          </w:p>
        </w:tc>
        <w:tc>
          <w:tcPr>
            <w:tcW w:w="807" w:type="dxa"/>
            <w:tcBorders>
              <w:top w:val="nil"/>
              <w:bottom w:val="single" w:sz="4" w:space="0" w:color="auto"/>
            </w:tcBorders>
            <w:vAlign w:val="center"/>
          </w:tcPr>
          <w:p w14:paraId="1378EC3C" w14:textId="6ED67E17" w:rsidR="00875EF4" w:rsidRPr="00240008" w:rsidRDefault="00875EF4" w:rsidP="002C3DAF">
            <w:pPr>
              <w:autoSpaceDE w:val="0"/>
              <w:autoSpaceDN w:val="0"/>
              <w:adjustRightInd w:val="0"/>
              <w:spacing w:after="120" w:line="240" w:lineRule="atLeast"/>
              <w:jc w:val="center"/>
              <w:rPr>
                <w:rFonts w:ascii="Arial Narrow" w:eastAsia="Calibri" w:hAnsi="Arial Narrow" w:cs="Arial"/>
                <w:color w:val="000000"/>
                <w:sz w:val="18"/>
                <w:szCs w:val="18"/>
                <w:lang w:eastAsia="en-US"/>
              </w:rPr>
            </w:pPr>
            <w:r w:rsidRPr="004B0BB5">
              <w:rPr>
                <w:rFonts w:ascii="Arial Narrow" w:eastAsia="Calibri" w:hAnsi="Arial Narrow" w:cs="Arial"/>
                <w:color w:val="000000"/>
                <w:sz w:val="18"/>
                <w:szCs w:val="18"/>
                <w:lang w:eastAsia="en-US"/>
              </w:rPr>
              <w:t>0.</w:t>
            </w:r>
            <w:r w:rsidR="004B0BB5" w:rsidRPr="004B0BB5">
              <w:rPr>
                <w:rFonts w:ascii="Arial Narrow" w:eastAsia="Calibri" w:hAnsi="Arial Narrow" w:cs="Arial"/>
                <w:color w:val="000000"/>
                <w:sz w:val="18"/>
                <w:szCs w:val="18"/>
                <w:lang w:eastAsia="en-US"/>
              </w:rPr>
              <w:t>30</w:t>
            </w:r>
          </w:p>
        </w:tc>
      </w:tr>
    </w:tbl>
    <w:p w14:paraId="4F016160" w14:textId="77777777" w:rsidR="00875EF4" w:rsidRPr="00171AE9" w:rsidRDefault="00875EF4" w:rsidP="00875EF4">
      <w:pPr>
        <w:rPr>
          <w:rFonts w:ascii="Arial" w:hAnsi="Arial" w:cs="Arial"/>
          <w:sz w:val="20"/>
        </w:rPr>
      </w:pPr>
      <w:r w:rsidRPr="00240008">
        <w:br/>
      </w:r>
      <w:r w:rsidRPr="00240008">
        <w:rPr>
          <w:rFonts w:ascii="Arial" w:hAnsi="Arial" w:cs="Arial"/>
          <w:sz w:val="20"/>
        </w:rPr>
        <w:t>La selezione del campione è avvenuta utilizzando il metodo del cubo per ottenere un campione bilanciato a livello regionale e per Ateco 2007 (2 cifre).</w:t>
      </w:r>
    </w:p>
    <w:p w14:paraId="71F6F251" w14:textId="77777777" w:rsidR="00DC3A15" w:rsidRPr="00A61586" w:rsidRDefault="00DC3A15" w:rsidP="00DC3A15">
      <w:pPr>
        <w:spacing w:after="120" w:line="240" w:lineRule="auto"/>
        <w:jc w:val="both"/>
        <w:rPr>
          <w:rFonts w:ascii="Arial" w:hAnsi="Arial" w:cs="Arial"/>
          <w:b/>
          <w:color w:val="1F497D"/>
          <w:sz w:val="22"/>
          <w:szCs w:val="22"/>
        </w:rPr>
      </w:pPr>
      <w:r w:rsidRPr="00A61586">
        <w:rPr>
          <w:rFonts w:ascii="Arial" w:hAnsi="Arial" w:cs="Arial"/>
          <w:b/>
          <w:color w:val="1F497D"/>
          <w:sz w:val="22"/>
          <w:szCs w:val="22"/>
        </w:rPr>
        <w:t>Informazioni sulla riservatezza dei dati</w:t>
      </w:r>
    </w:p>
    <w:p w14:paraId="29BB0709" w14:textId="77777777" w:rsidR="00DC3A15" w:rsidRDefault="00DC3A15" w:rsidP="00DC3A15">
      <w:pPr>
        <w:spacing w:after="120" w:line="240" w:lineRule="auto"/>
        <w:jc w:val="both"/>
        <w:rPr>
          <w:rFonts w:ascii="Arial" w:hAnsi="Arial" w:cs="Arial"/>
          <w:sz w:val="20"/>
        </w:rPr>
      </w:pPr>
      <w:r w:rsidRPr="00A61586">
        <w:rPr>
          <w:rFonts w:ascii="Arial" w:hAnsi="Arial" w:cs="Arial"/>
          <w:sz w:val="20"/>
        </w:rPr>
        <w:t>I dati raccolti sono tutelati dal segreto statistico e sottoposti alla normativa sulla protezione dei dati personali. Questi possono essere utilizzati, anche per successivi trattamenti, esclusivamente per fini statistici dai soggetti del Sistema statistico nazionale e possono, altresì, essere comunicati per finalità di ricerca scientifica alle condizioni e secondo le modalità previste dall’art. 7 del Codice di deontologia per il trattamento di dati personali effettuato nell’ambito del Sistema statistico nazionale e dal regolamento comunitario n.</w:t>
      </w:r>
      <w:r>
        <w:rPr>
          <w:rFonts w:ascii="Arial" w:hAnsi="Arial" w:cs="Arial"/>
          <w:sz w:val="20"/>
        </w:rPr>
        <w:t xml:space="preserve"> </w:t>
      </w:r>
      <w:r w:rsidRPr="00A61586">
        <w:rPr>
          <w:rFonts w:ascii="Arial" w:hAnsi="Arial" w:cs="Arial"/>
          <w:sz w:val="20"/>
        </w:rPr>
        <w:t>831/2002. Le stime diffuse in forma aggregata, sono tali da non poter risalire ai soggetti che hanno fornito i dati o a cui si riferiscono.</w:t>
      </w:r>
    </w:p>
    <w:p w14:paraId="0709B69F" w14:textId="77777777" w:rsidR="00DC3A15" w:rsidRPr="00A61586" w:rsidRDefault="00DC3A15" w:rsidP="00DC3A15">
      <w:pPr>
        <w:spacing w:after="120" w:line="240" w:lineRule="auto"/>
        <w:jc w:val="both"/>
        <w:rPr>
          <w:rFonts w:ascii="Arial" w:hAnsi="Arial" w:cs="Arial"/>
          <w:b/>
          <w:color w:val="1F497D"/>
          <w:sz w:val="22"/>
          <w:szCs w:val="22"/>
        </w:rPr>
      </w:pPr>
      <w:r w:rsidRPr="00A61586">
        <w:rPr>
          <w:rFonts w:ascii="Arial" w:hAnsi="Arial" w:cs="Arial"/>
          <w:b/>
          <w:color w:val="1F497D"/>
          <w:sz w:val="22"/>
          <w:szCs w:val="22"/>
        </w:rPr>
        <w:t>Copertura e dettaglio territoriale</w:t>
      </w:r>
    </w:p>
    <w:p w14:paraId="1AAF96C7" w14:textId="77777777" w:rsidR="00DC3A15" w:rsidRDefault="00DC3A15" w:rsidP="00DC3A15">
      <w:pPr>
        <w:spacing w:after="120" w:line="240" w:lineRule="auto"/>
        <w:jc w:val="both"/>
        <w:rPr>
          <w:rFonts w:ascii="Arial" w:hAnsi="Arial" w:cs="Arial"/>
          <w:sz w:val="20"/>
        </w:rPr>
      </w:pPr>
      <w:r w:rsidRPr="00A61586">
        <w:rPr>
          <w:rFonts w:ascii="Arial" w:hAnsi="Arial" w:cs="Arial"/>
          <w:sz w:val="20"/>
        </w:rPr>
        <w:t xml:space="preserve">Le tavole della statistica report sono disponibili per le imprese solo per l’intero territorio nazionale mentre le stime con maggior dettaglio a livello di attività economica e territoriale saranno disponibili su </w:t>
      </w:r>
      <w:r>
        <w:rPr>
          <w:rFonts w:ascii="Arial" w:hAnsi="Arial" w:cs="Arial"/>
          <w:sz w:val="20"/>
        </w:rPr>
        <w:t>IstatData</w:t>
      </w:r>
      <w:r w:rsidRPr="00A61586">
        <w:rPr>
          <w:rFonts w:ascii="Arial" w:hAnsi="Arial" w:cs="Arial"/>
          <w:sz w:val="20"/>
        </w:rPr>
        <w:t>.</w:t>
      </w:r>
    </w:p>
    <w:p w14:paraId="5D381FCA" w14:textId="77777777" w:rsidR="00DC3A15" w:rsidRPr="008A1DD1" w:rsidRDefault="00DC3A15" w:rsidP="00DC3A15">
      <w:pPr>
        <w:spacing w:after="120" w:line="240" w:lineRule="auto"/>
        <w:jc w:val="both"/>
        <w:rPr>
          <w:rFonts w:ascii="Arial" w:hAnsi="Arial" w:cs="Arial"/>
          <w:b/>
          <w:color w:val="1F497D"/>
          <w:sz w:val="22"/>
          <w:szCs w:val="22"/>
        </w:rPr>
      </w:pPr>
      <w:r w:rsidRPr="008A1DD1">
        <w:rPr>
          <w:rFonts w:ascii="Arial" w:hAnsi="Arial" w:cs="Arial"/>
          <w:b/>
          <w:color w:val="1F497D"/>
          <w:sz w:val="22"/>
          <w:szCs w:val="22"/>
        </w:rPr>
        <w:t>Tempestività</w:t>
      </w:r>
    </w:p>
    <w:p w14:paraId="4D287DDF" w14:textId="77777777" w:rsidR="00DC3A15" w:rsidRDefault="00DC3A15" w:rsidP="00DC3A15">
      <w:pPr>
        <w:spacing w:after="120" w:line="240" w:lineRule="auto"/>
        <w:jc w:val="both"/>
        <w:rPr>
          <w:rFonts w:ascii="Arial" w:hAnsi="Arial" w:cs="Arial"/>
          <w:sz w:val="20"/>
        </w:rPr>
      </w:pPr>
      <w:r w:rsidRPr="008A1DD1">
        <w:rPr>
          <w:rFonts w:ascii="Arial" w:hAnsi="Arial" w:cs="Arial"/>
          <w:sz w:val="20"/>
        </w:rPr>
        <w:t xml:space="preserve">Le stime sono prodotte in conformità alla tempistica richiesta dai regolamenti </w:t>
      </w:r>
      <w:r>
        <w:rPr>
          <w:rFonts w:ascii="Arial" w:hAnsi="Arial" w:cs="Arial"/>
          <w:sz w:val="20"/>
        </w:rPr>
        <w:t xml:space="preserve">comunitari </w:t>
      </w:r>
      <w:r w:rsidRPr="008A1DD1">
        <w:rPr>
          <w:rFonts w:ascii="Arial" w:hAnsi="Arial" w:cs="Arial"/>
          <w:sz w:val="20"/>
        </w:rPr>
        <w:t>(t+18), e sono rese disponibili in concomitanza all’uscita di questa statistica report.</w:t>
      </w:r>
    </w:p>
    <w:p w14:paraId="2571A6A9" w14:textId="77777777" w:rsidR="00DC3A15" w:rsidRPr="0028727D" w:rsidRDefault="00DC3A15" w:rsidP="00DC3A15">
      <w:pPr>
        <w:spacing w:after="120" w:line="240" w:lineRule="auto"/>
        <w:jc w:val="both"/>
        <w:rPr>
          <w:rFonts w:ascii="Arial" w:hAnsi="Arial" w:cs="Arial"/>
          <w:b/>
          <w:color w:val="1F497D"/>
          <w:sz w:val="22"/>
          <w:szCs w:val="22"/>
        </w:rPr>
      </w:pPr>
      <w:r w:rsidRPr="0028727D">
        <w:rPr>
          <w:rFonts w:ascii="Arial" w:hAnsi="Arial" w:cs="Arial"/>
          <w:b/>
          <w:color w:val="1F497D"/>
          <w:sz w:val="22"/>
          <w:szCs w:val="22"/>
        </w:rPr>
        <w:t>Diffusione</w:t>
      </w:r>
    </w:p>
    <w:p w14:paraId="14136249" w14:textId="77777777" w:rsidR="00DC3A15" w:rsidRDefault="00DC3A15" w:rsidP="00DC3A15">
      <w:pPr>
        <w:spacing w:after="120" w:line="240" w:lineRule="auto"/>
        <w:jc w:val="both"/>
        <w:rPr>
          <w:rFonts w:ascii="Arial" w:hAnsi="Arial" w:cs="Arial"/>
          <w:sz w:val="20"/>
        </w:rPr>
      </w:pPr>
      <w:r w:rsidRPr="0028727D">
        <w:rPr>
          <w:rFonts w:ascii="Arial" w:hAnsi="Arial" w:cs="Arial"/>
          <w:sz w:val="20"/>
        </w:rPr>
        <w:t>I dati sul sistema delle indagini sui risultati delle imprese saranno disponibili presso il laboratorio Adele (Analisi dei Dati ELEmentari).</w:t>
      </w:r>
    </w:p>
    <w:p w14:paraId="46AE4989" w14:textId="77777777" w:rsidR="00DC3A15" w:rsidRPr="008F7ED5" w:rsidRDefault="00DC3A15" w:rsidP="00DC3A15">
      <w:pPr>
        <w:spacing w:after="120" w:line="240" w:lineRule="auto"/>
        <w:jc w:val="both"/>
        <w:rPr>
          <w:rFonts w:ascii="Arial" w:hAnsi="Arial" w:cs="Arial"/>
          <w:b/>
          <w:color w:val="1F497D"/>
          <w:sz w:val="22"/>
          <w:szCs w:val="22"/>
        </w:rPr>
      </w:pPr>
      <w:r w:rsidRPr="008F7ED5">
        <w:rPr>
          <w:rFonts w:ascii="Arial" w:hAnsi="Arial" w:cs="Arial"/>
          <w:b/>
          <w:color w:val="1F497D"/>
          <w:sz w:val="22"/>
          <w:szCs w:val="22"/>
        </w:rPr>
        <w:t>Riferimenti</w:t>
      </w:r>
    </w:p>
    <w:p w14:paraId="2747DD65" w14:textId="77777777" w:rsidR="00DC3A15" w:rsidRDefault="00DC3A15" w:rsidP="00DC3A15">
      <w:pPr>
        <w:spacing w:after="120" w:line="240" w:lineRule="auto"/>
        <w:jc w:val="both"/>
        <w:rPr>
          <w:rFonts w:ascii="Arial" w:hAnsi="Arial" w:cs="Arial"/>
          <w:sz w:val="20"/>
        </w:rPr>
      </w:pPr>
      <w:r w:rsidRPr="00582174">
        <w:rPr>
          <w:rFonts w:ascii="Arial" w:hAnsi="Arial" w:cs="Arial"/>
          <w:sz w:val="20"/>
          <w:szCs w:val="20"/>
        </w:rPr>
        <w:t>Maggiori dettagli sulla metodologia adottata e i risultati conseguiti nelle prime sperimentazioni dell’uso di una nuova definizione dell’unità statistica di analisi sono presentati nelle letture statistiche</w:t>
      </w:r>
      <w:r>
        <w:rPr>
          <w:rFonts w:ascii="Arial" w:hAnsi="Arial" w:cs="Arial"/>
          <w:sz w:val="20"/>
          <w:szCs w:val="20"/>
        </w:rPr>
        <w:t xml:space="preserve"> </w:t>
      </w:r>
      <w:r w:rsidRPr="00582174">
        <w:rPr>
          <w:rFonts w:ascii="Arial" w:hAnsi="Arial" w:cs="Arial"/>
          <w:sz w:val="20"/>
          <w:szCs w:val="20"/>
        </w:rPr>
        <w:t>-</w:t>
      </w:r>
      <w:r>
        <w:rPr>
          <w:rFonts w:ascii="Arial" w:hAnsi="Arial" w:cs="Arial"/>
          <w:sz w:val="20"/>
          <w:szCs w:val="20"/>
        </w:rPr>
        <w:t xml:space="preserve"> </w:t>
      </w:r>
      <w:r w:rsidRPr="00582174">
        <w:rPr>
          <w:rFonts w:ascii="Arial" w:hAnsi="Arial" w:cs="Arial"/>
          <w:sz w:val="20"/>
          <w:szCs w:val="20"/>
        </w:rPr>
        <w:t>Metodi</w:t>
      </w:r>
      <w:r>
        <w:rPr>
          <w:rFonts w:ascii="Arial" w:hAnsi="Arial" w:cs="Arial"/>
          <w:sz w:val="20"/>
          <w:szCs w:val="20"/>
        </w:rPr>
        <w:t xml:space="preserve">” </w:t>
      </w:r>
      <w:r w:rsidRPr="00582174">
        <w:rPr>
          <w:rFonts w:ascii="Arial" w:hAnsi="Arial" w:cs="Arial"/>
          <w:sz w:val="20"/>
          <w:szCs w:val="20"/>
        </w:rPr>
        <w:t>Il Profiling e la nuova unità statis</w:t>
      </w:r>
      <w:r>
        <w:rPr>
          <w:rFonts w:ascii="Arial" w:hAnsi="Arial" w:cs="Arial"/>
          <w:sz w:val="20"/>
          <w:szCs w:val="20"/>
        </w:rPr>
        <w:t xml:space="preserve">tica Ent: l’esperienza italiana” e </w:t>
      </w:r>
      <w:r w:rsidRPr="00582174">
        <w:rPr>
          <w:rFonts w:ascii="Arial" w:hAnsi="Arial" w:cs="Arial"/>
          <w:sz w:val="20"/>
          <w:szCs w:val="20"/>
        </w:rPr>
        <w:t>negli</w:t>
      </w:r>
      <w:r w:rsidRPr="0096462D">
        <w:rPr>
          <w:rFonts w:ascii="Arial" w:hAnsi="Arial" w:cs="Arial"/>
          <w:sz w:val="20"/>
        </w:rPr>
        <w:t xml:space="preserve"> articoli della collana Istat Working Papers (IWP 1/2016</w:t>
      </w:r>
      <w:r>
        <w:rPr>
          <w:rFonts w:ascii="Arial" w:hAnsi="Arial" w:cs="Arial"/>
          <w:sz w:val="20"/>
        </w:rPr>
        <w:t xml:space="preserve">; </w:t>
      </w:r>
      <w:r w:rsidRPr="0096462D">
        <w:rPr>
          <w:rFonts w:ascii="Arial" w:hAnsi="Arial" w:cs="Arial"/>
          <w:sz w:val="20"/>
        </w:rPr>
        <w:t>IWP 2/2016; IWP 3/2016; IWP 4/2016).</w:t>
      </w:r>
    </w:p>
    <w:p w14:paraId="0B053041" w14:textId="77777777" w:rsidR="00DC3A15" w:rsidRPr="0096462D" w:rsidRDefault="00901E95" w:rsidP="00DC3A15">
      <w:pPr>
        <w:spacing w:after="120" w:line="240" w:lineRule="auto"/>
        <w:jc w:val="both"/>
        <w:rPr>
          <w:rFonts w:ascii="Arial" w:hAnsi="Arial" w:cs="Arial"/>
          <w:sz w:val="20"/>
        </w:rPr>
      </w:pPr>
      <w:hyperlink r:id="rId21" w:history="1">
        <w:r w:rsidR="00DC3A15" w:rsidRPr="00023BF8">
          <w:rPr>
            <w:rStyle w:val="Collegamentoipertestuale"/>
            <w:rFonts w:ascii="Arial" w:hAnsi="Arial" w:cs="Arial"/>
            <w:sz w:val="20"/>
          </w:rPr>
          <w:t>https://www.istat.it/it/archivio/245778</w:t>
        </w:r>
      </w:hyperlink>
      <w:r w:rsidR="00DC3A15">
        <w:rPr>
          <w:rFonts w:ascii="Arial" w:hAnsi="Arial" w:cs="Arial"/>
          <w:sz w:val="20"/>
        </w:rPr>
        <w:t xml:space="preserve"> </w:t>
      </w:r>
    </w:p>
    <w:p w14:paraId="6118E8CE" w14:textId="77777777" w:rsidR="00DC3A15" w:rsidRPr="0096462D" w:rsidRDefault="00901E95" w:rsidP="00DC3A15">
      <w:pPr>
        <w:spacing w:after="120" w:line="240" w:lineRule="auto"/>
        <w:jc w:val="both"/>
        <w:rPr>
          <w:rFonts w:ascii="Arial" w:hAnsi="Arial" w:cs="Arial"/>
          <w:sz w:val="20"/>
        </w:rPr>
      </w:pPr>
      <w:hyperlink r:id="rId22" w:history="1">
        <w:r w:rsidR="00DC3A15" w:rsidRPr="0096462D">
          <w:rPr>
            <w:rStyle w:val="Collegamentoipertestuale"/>
            <w:rFonts w:ascii="Arial" w:hAnsi="Arial" w:cs="Arial"/>
            <w:sz w:val="20"/>
          </w:rPr>
          <w:t>https://www.istat.it/it/files//2016/03/IWP_1_2016.pdf</w:t>
        </w:r>
      </w:hyperlink>
    </w:p>
    <w:p w14:paraId="13A813B6" w14:textId="77777777" w:rsidR="00DC3A15" w:rsidRPr="0096462D" w:rsidRDefault="00901E95" w:rsidP="00DC3A15">
      <w:pPr>
        <w:spacing w:after="120" w:line="240" w:lineRule="auto"/>
        <w:jc w:val="both"/>
        <w:rPr>
          <w:rFonts w:ascii="Arial" w:hAnsi="Arial" w:cs="Arial"/>
          <w:sz w:val="20"/>
        </w:rPr>
      </w:pPr>
      <w:hyperlink r:id="rId23" w:history="1">
        <w:r w:rsidR="00DC3A15" w:rsidRPr="0096462D">
          <w:rPr>
            <w:rStyle w:val="Collegamentoipertestuale"/>
            <w:rFonts w:ascii="Arial" w:hAnsi="Arial" w:cs="Arial"/>
            <w:sz w:val="20"/>
          </w:rPr>
          <w:t>https://www.istat.it/it/files//2016/03/IWP_2_2016.pdf</w:t>
        </w:r>
      </w:hyperlink>
    </w:p>
    <w:p w14:paraId="3208DDAC" w14:textId="77777777" w:rsidR="00DC3A15" w:rsidRPr="0096462D" w:rsidRDefault="00901E95" w:rsidP="00DC3A15">
      <w:pPr>
        <w:spacing w:after="120" w:line="240" w:lineRule="auto"/>
        <w:jc w:val="both"/>
        <w:rPr>
          <w:rFonts w:ascii="Arial" w:hAnsi="Arial" w:cs="Arial"/>
          <w:sz w:val="20"/>
        </w:rPr>
      </w:pPr>
      <w:hyperlink r:id="rId24" w:history="1">
        <w:r w:rsidR="00DC3A15" w:rsidRPr="0096462D">
          <w:rPr>
            <w:rStyle w:val="Collegamentoipertestuale"/>
            <w:rFonts w:ascii="Arial" w:hAnsi="Arial" w:cs="Arial"/>
            <w:sz w:val="20"/>
          </w:rPr>
          <w:t>https://www.istat.it/it/files//2016/03/IWP_3_2016.pdf</w:t>
        </w:r>
      </w:hyperlink>
    </w:p>
    <w:p w14:paraId="192CDDF0" w14:textId="77777777" w:rsidR="00DC3A15" w:rsidRPr="0096462D" w:rsidRDefault="00901E95" w:rsidP="00DC3A15">
      <w:pPr>
        <w:spacing w:after="120" w:line="240" w:lineRule="auto"/>
        <w:jc w:val="both"/>
        <w:rPr>
          <w:rStyle w:val="Collegamentoipertestuale"/>
          <w:rFonts w:ascii="Arial" w:hAnsi="Arial" w:cs="Arial"/>
          <w:sz w:val="20"/>
        </w:rPr>
      </w:pPr>
      <w:hyperlink r:id="rId25" w:history="1">
        <w:r w:rsidR="00DC3A15" w:rsidRPr="0096462D">
          <w:rPr>
            <w:rStyle w:val="Collegamentoipertestuale"/>
            <w:rFonts w:ascii="Arial" w:hAnsi="Arial" w:cs="Arial"/>
            <w:sz w:val="20"/>
          </w:rPr>
          <w:t>https://www.istat.it/it/files//2016/03/IWP_4_2016.pdf</w:t>
        </w:r>
      </w:hyperlink>
    </w:p>
    <w:p w14:paraId="694AFA7B" w14:textId="77777777" w:rsidR="00DC3A15" w:rsidRPr="009B291A" w:rsidRDefault="00DC3A15" w:rsidP="00DC3A15">
      <w:pPr>
        <w:shd w:val="clear" w:color="auto" w:fill="FFFFFF"/>
        <w:spacing w:after="120" w:line="240" w:lineRule="auto"/>
        <w:jc w:val="both"/>
        <w:textAlignment w:val="center"/>
        <w:rPr>
          <w:rFonts w:ascii="Arial" w:hAnsi="Arial" w:cs="Arial"/>
          <w:sz w:val="12"/>
        </w:rPr>
      </w:pPr>
    </w:p>
    <w:p w14:paraId="7C7826A8" w14:textId="77777777" w:rsidR="00DC3A15" w:rsidRPr="005308CA" w:rsidRDefault="00DC3A15" w:rsidP="00DC3A15">
      <w:pPr>
        <w:pStyle w:val="NormaleWeb"/>
        <w:spacing w:before="120" w:beforeAutospacing="0" w:after="120" w:afterAutospacing="0"/>
        <w:rPr>
          <w:rFonts w:ascii="Arial" w:hAnsi="Arial" w:cs="Arial"/>
          <w:color w:val="000000" w:themeColor="text1"/>
          <w:sz w:val="36"/>
          <w:szCs w:val="36"/>
        </w:rPr>
      </w:pPr>
      <w:r w:rsidRPr="005308CA">
        <w:rPr>
          <w:rFonts w:ascii="Georgia" w:hAnsi="Georgia"/>
          <w:bCs/>
          <w:color w:val="1F497D" w:themeColor="text2"/>
          <w:sz w:val="36"/>
          <w:szCs w:val="36"/>
        </w:rPr>
        <w:t>Per chiarimenti tecnici e metodologici</w:t>
      </w:r>
    </w:p>
    <w:tbl>
      <w:tblPr>
        <w:tblStyle w:val="Grigliatabella"/>
        <w:tblW w:w="9923" w:type="dxa"/>
        <w:tblBorders>
          <w:top w:val="dotted"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962"/>
      </w:tblGrid>
      <w:tr w:rsidR="00DC3A15" w14:paraId="56F155FB" w14:textId="77777777" w:rsidTr="00DB0906">
        <w:tc>
          <w:tcPr>
            <w:tcW w:w="3398" w:type="dxa"/>
          </w:tcPr>
          <w:p w14:paraId="28700367" w14:textId="77777777" w:rsidR="00DC3A15" w:rsidRDefault="00DC3A15" w:rsidP="00DB0906">
            <w:pPr>
              <w:pStyle w:val="NormaleWeb"/>
              <w:spacing w:before="0" w:beforeAutospacing="0" w:after="0" w:afterAutospacing="0" w:line="240" w:lineRule="auto"/>
              <w:rPr>
                <w:rFonts w:ascii="Arial" w:hAnsi="Arial" w:cs="Arial"/>
                <w:b/>
                <w:bCs/>
                <w:color w:val="1F497D"/>
                <w:sz w:val="22"/>
                <w:szCs w:val="22"/>
              </w:rPr>
            </w:pPr>
          </w:p>
          <w:p w14:paraId="6C3F505F" w14:textId="77777777" w:rsidR="00DC3A15" w:rsidRPr="000C1B20" w:rsidRDefault="00DC3A15" w:rsidP="00DB0906">
            <w:pPr>
              <w:pStyle w:val="NormaleWeb"/>
              <w:spacing w:before="0" w:beforeAutospacing="0" w:after="0" w:afterAutospacing="0" w:line="240" w:lineRule="auto"/>
              <w:rPr>
                <w:rFonts w:ascii="Arial" w:hAnsi="Arial" w:cs="Arial"/>
                <w:b/>
                <w:bCs/>
                <w:color w:val="1F497D"/>
                <w:sz w:val="22"/>
                <w:szCs w:val="22"/>
              </w:rPr>
            </w:pPr>
            <w:r w:rsidRPr="000C1B20">
              <w:rPr>
                <w:rFonts w:ascii="Arial" w:hAnsi="Arial" w:cs="Arial"/>
                <w:b/>
                <w:bCs/>
                <w:color w:val="1F497D"/>
                <w:sz w:val="22"/>
                <w:szCs w:val="22"/>
              </w:rPr>
              <w:t>Simone Ambroselli</w:t>
            </w:r>
          </w:p>
          <w:p w14:paraId="53FB3111" w14:textId="77777777" w:rsidR="00DC3A15" w:rsidRPr="000C1B20" w:rsidRDefault="00DC3A15" w:rsidP="00DB0906">
            <w:pPr>
              <w:pStyle w:val="NormaleWeb"/>
              <w:spacing w:before="0" w:beforeAutospacing="0" w:after="0" w:afterAutospacing="0" w:line="240" w:lineRule="auto"/>
              <w:rPr>
                <w:rFonts w:ascii="Arial" w:hAnsi="Arial" w:cs="Arial"/>
                <w:bCs/>
                <w:color w:val="1F497D"/>
                <w:sz w:val="22"/>
                <w:szCs w:val="22"/>
              </w:rPr>
            </w:pPr>
            <w:r w:rsidRPr="000C1B20">
              <w:rPr>
                <w:rFonts w:ascii="Arial" w:hAnsi="Arial" w:cs="Arial"/>
                <w:bCs/>
                <w:color w:val="1F497D"/>
                <w:sz w:val="22"/>
                <w:szCs w:val="22"/>
              </w:rPr>
              <w:t>06/4673 6220</w:t>
            </w:r>
          </w:p>
          <w:p w14:paraId="66962A05" w14:textId="77777777" w:rsidR="00DC3A15" w:rsidRPr="000C1B20" w:rsidRDefault="00901E95" w:rsidP="00DB0906">
            <w:pPr>
              <w:pStyle w:val="NormaleWeb"/>
              <w:spacing w:before="0" w:beforeAutospacing="0" w:after="0" w:afterAutospacing="0" w:line="240" w:lineRule="auto"/>
              <w:rPr>
                <w:rFonts w:ascii="Arial" w:hAnsi="Arial" w:cs="Arial"/>
                <w:color w:val="1F497D"/>
                <w:sz w:val="22"/>
                <w:szCs w:val="22"/>
              </w:rPr>
            </w:pPr>
            <w:hyperlink r:id="rId26" w:history="1">
              <w:r w:rsidR="00DC3A15" w:rsidRPr="000C1B20">
                <w:rPr>
                  <w:rStyle w:val="Collegamentoipertestuale"/>
                  <w:rFonts w:ascii="Arial" w:hAnsi="Arial" w:cs="Arial"/>
                  <w:sz w:val="22"/>
                  <w:szCs w:val="22"/>
                </w:rPr>
                <w:t>ambrosel@istat.it</w:t>
              </w:r>
            </w:hyperlink>
          </w:p>
          <w:p w14:paraId="29D701A5" w14:textId="77777777" w:rsidR="00DC3A15" w:rsidRPr="000C1B20" w:rsidRDefault="00DC3A15" w:rsidP="00DB0906">
            <w:pPr>
              <w:pStyle w:val="NormaleWeb"/>
              <w:spacing w:before="0" w:beforeAutospacing="0" w:after="0" w:afterAutospacing="0" w:line="240" w:lineRule="auto"/>
              <w:rPr>
                <w:rFonts w:ascii="Arial" w:hAnsi="Arial" w:cs="Arial"/>
                <w:bCs/>
                <w:sz w:val="20"/>
                <w:szCs w:val="20"/>
              </w:rPr>
            </w:pPr>
          </w:p>
          <w:p w14:paraId="3866EC23" w14:textId="77777777" w:rsidR="00DC3A15" w:rsidRPr="000C1B20" w:rsidRDefault="00DC3A15" w:rsidP="00DB0906">
            <w:pPr>
              <w:pStyle w:val="NormaleWeb"/>
              <w:spacing w:before="0" w:beforeAutospacing="0" w:after="0" w:afterAutospacing="0" w:line="240" w:lineRule="auto"/>
              <w:rPr>
                <w:rFonts w:ascii="Arial" w:hAnsi="Arial" w:cs="Arial"/>
                <w:bCs/>
                <w:sz w:val="20"/>
                <w:szCs w:val="20"/>
              </w:rPr>
            </w:pPr>
          </w:p>
        </w:tc>
        <w:tc>
          <w:tcPr>
            <w:tcW w:w="3398" w:type="dxa"/>
          </w:tcPr>
          <w:p w14:paraId="5F7DC258" w14:textId="77777777" w:rsidR="00DC3A15" w:rsidRPr="000C1B20" w:rsidRDefault="00DC3A15" w:rsidP="00DB0906">
            <w:pPr>
              <w:pStyle w:val="NormaleWeb"/>
              <w:spacing w:before="0" w:beforeAutospacing="0" w:after="0" w:afterAutospacing="0" w:line="240" w:lineRule="auto"/>
              <w:rPr>
                <w:rFonts w:ascii="Arial" w:hAnsi="Arial" w:cs="Arial"/>
                <w:b/>
                <w:bCs/>
                <w:color w:val="1F497D"/>
                <w:sz w:val="22"/>
                <w:szCs w:val="22"/>
              </w:rPr>
            </w:pPr>
          </w:p>
          <w:p w14:paraId="76959CAE" w14:textId="77777777" w:rsidR="00DC3A15" w:rsidRPr="000C1B20" w:rsidRDefault="00DC3A15" w:rsidP="00DB0906">
            <w:pPr>
              <w:pStyle w:val="NormaleWeb"/>
              <w:spacing w:before="0" w:beforeAutospacing="0" w:after="0" w:afterAutospacing="0" w:line="240" w:lineRule="auto"/>
              <w:rPr>
                <w:rFonts w:ascii="Arial" w:hAnsi="Arial" w:cs="Arial"/>
                <w:b/>
                <w:bCs/>
                <w:color w:val="1F497D"/>
                <w:sz w:val="22"/>
                <w:szCs w:val="22"/>
              </w:rPr>
            </w:pPr>
            <w:r w:rsidRPr="000C1B20">
              <w:rPr>
                <w:rFonts w:ascii="Arial" w:hAnsi="Arial" w:cs="Arial"/>
                <w:b/>
                <w:bCs/>
                <w:color w:val="1F497D"/>
                <w:sz w:val="22"/>
                <w:szCs w:val="22"/>
              </w:rPr>
              <w:t>Serena Migliardo</w:t>
            </w:r>
          </w:p>
          <w:p w14:paraId="64A8C2EF" w14:textId="77777777" w:rsidR="00DC3A15" w:rsidRPr="000C1B20" w:rsidRDefault="00DC3A15" w:rsidP="00DB0906">
            <w:pPr>
              <w:pStyle w:val="NormaleWeb"/>
              <w:spacing w:before="0" w:beforeAutospacing="0" w:after="0" w:afterAutospacing="0" w:line="240" w:lineRule="auto"/>
              <w:rPr>
                <w:rFonts w:ascii="Arial" w:hAnsi="Arial" w:cs="Arial"/>
                <w:bCs/>
                <w:color w:val="1F497D"/>
                <w:sz w:val="22"/>
                <w:szCs w:val="22"/>
              </w:rPr>
            </w:pPr>
            <w:r w:rsidRPr="000C1B20">
              <w:rPr>
                <w:rFonts w:ascii="Arial" w:hAnsi="Arial" w:cs="Arial"/>
                <w:bCs/>
                <w:color w:val="1F497D"/>
                <w:sz w:val="22"/>
                <w:szCs w:val="22"/>
              </w:rPr>
              <w:t>06/4673 6223</w:t>
            </w:r>
          </w:p>
          <w:p w14:paraId="394B3140" w14:textId="77777777" w:rsidR="00DC3A15" w:rsidRDefault="00901E95" w:rsidP="00DB0906">
            <w:pPr>
              <w:autoSpaceDE w:val="0"/>
              <w:autoSpaceDN w:val="0"/>
              <w:adjustRightInd w:val="0"/>
              <w:spacing w:after="0" w:line="240" w:lineRule="auto"/>
              <w:jc w:val="both"/>
              <w:rPr>
                <w:rFonts w:ascii="Arial" w:hAnsi="Arial" w:cs="Arial"/>
                <w:color w:val="1F497D"/>
                <w:sz w:val="22"/>
                <w:szCs w:val="22"/>
              </w:rPr>
            </w:pPr>
            <w:hyperlink r:id="rId27" w:history="1">
              <w:r w:rsidR="00DC3A15" w:rsidRPr="000C1B20">
                <w:rPr>
                  <w:rStyle w:val="Collegamentoipertestuale"/>
                  <w:rFonts w:ascii="Arial" w:hAnsi="Arial" w:cs="Arial"/>
                  <w:sz w:val="22"/>
                  <w:szCs w:val="22"/>
                </w:rPr>
                <w:t>migliard@istat.it</w:t>
              </w:r>
            </w:hyperlink>
          </w:p>
          <w:p w14:paraId="14AD49B5" w14:textId="77777777" w:rsidR="00DC3A15" w:rsidRDefault="00DC3A15" w:rsidP="00DB0906">
            <w:pPr>
              <w:autoSpaceDE w:val="0"/>
              <w:autoSpaceDN w:val="0"/>
              <w:adjustRightInd w:val="0"/>
              <w:spacing w:after="0" w:line="240" w:lineRule="auto"/>
              <w:jc w:val="both"/>
              <w:rPr>
                <w:rFonts w:ascii="Arial" w:hAnsi="Arial" w:cs="Arial"/>
                <w:bCs/>
                <w:sz w:val="20"/>
                <w:szCs w:val="20"/>
              </w:rPr>
            </w:pPr>
          </w:p>
        </w:tc>
      </w:tr>
    </w:tbl>
    <w:p w14:paraId="037C64FD" w14:textId="77777777" w:rsidR="00DC3A15" w:rsidRDefault="00DC3A15" w:rsidP="00DC3A15">
      <w:pPr>
        <w:pStyle w:val="NormaleWeb"/>
        <w:spacing w:before="0" w:beforeAutospacing="0" w:after="0" w:afterAutospacing="0" w:line="240" w:lineRule="auto"/>
        <w:rPr>
          <w:rFonts w:ascii="Arial" w:hAnsi="Arial" w:cs="Arial"/>
          <w:b/>
          <w:bCs/>
          <w:color w:val="1F497D"/>
          <w:sz w:val="22"/>
          <w:szCs w:val="22"/>
        </w:rPr>
      </w:pPr>
    </w:p>
    <w:p w14:paraId="7ACE8166" w14:textId="4E75A8B4" w:rsidR="00706DA6" w:rsidRDefault="00706DA6" w:rsidP="00706DA6">
      <w:pPr>
        <w:spacing w:after="120"/>
        <w:jc w:val="both"/>
        <w:rPr>
          <w:rFonts w:ascii="Arial" w:hAnsi="Arial" w:cs="Arial"/>
          <w:bCs/>
          <w:sz w:val="20"/>
          <w:szCs w:val="20"/>
        </w:rPr>
      </w:pPr>
    </w:p>
    <w:sectPr w:rsidR="00706DA6" w:rsidSect="00D503B8">
      <w:footerReference w:type="default" r:id="rId28"/>
      <w:pgSz w:w="11906" w:h="16838" w:code="9"/>
      <w:pgMar w:top="567" w:right="707" w:bottom="680" w:left="851" w:header="0" w:footer="0"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1B354" w14:textId="77777777" w:rsidR="006F667A" w:rsidRDefault="006F667A">
      <w:r>
        <w:separator/>
      </w:r>
    </w:p>
  </w:endnote>
  <w:endnote w:type="continuationSeparator" w:id="0">
    <w:p w14:paraId="1A02884E" w14:textId="77777777" w:rsidR="006F667A" w:rsidRDefault="006F6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A33D1" w14:textId="77777777" w:rsidR="002A2E4A" w:rsidRDefault="002A2E4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5742A2E1" w14:textId="77777777" w:rsidR="002A2E4A" w:rsidRDefault="002A2E4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D6E70" w14:textId="77777777" w:rsidR="002A2E4A" w:rsidRDefault="002A2E4A" w:rsidP="00842757">
    <w:pPr>
      <w:pStyle w:val="Pidipagina"/>
      <w:tabs>
        <w:tab w:val="clear" w:pos="4819"/>
        <w:tab w:val="clear" w:pos="9638"/>
        <w:tab w:val="left" w:pos="7773"/>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E89D4" w14:textId="50981CA5" w:rsidR="002A2E4A" w:rsidRPr="00C469C4" w:rsidRDefault="002A2E4A" w:rsidP="00470FDD">
    <w:pPr>
      <w:pStyle w:val="Pidipagina"/>
      <w:spacing w:after="0"/>
      <w:ind w:left="-851"/>
      <w:rPr>
        <w:sz w:val="18"/>
      </w:rPr>
    </w:pPr>
    <w:r w:rsidRPr="00867DEB">
      <w:rPr>
        <w:noProof/>
        <w:sz w:val="18"/>
      </w:rPr>
      <mc:AlternateContent>
        <mc:Choice Requires="wps">
          <w:drawing>
            <wp:anchor distT="0" distB="0" distL="114300" distR="114300" simplePos="0" relativeHeight="251671040" behindDoc="0" locked="0" layoutInCell="1" allowOverlap="1" wp14:anchorId="1713802A" wp14:editId="1F0FD1DB">
              <wp:simplePos x="0" y="0"/>
              <wp:positionH relativeFrom="column">
                <wp:posOffset>-89535</wp:posOffset>
              </wp:positionH>
              <wp:positionV relativeFrom="paragraph">
                <wp:posOffset>655320</wp:posOffset>
              </wp:positionV>
              <wp:extent cx="3807736" cy="654050"/>
              <wp:effectExtent l="0" t="0" r="2540" b="12700"/>
              <wp:wrapNone/>
              <wp:docPr id="8" name="Casella di testo 8"/>
              <wp:cNvGraphicFramePr/>
              <a:graphic xmlns:a="http://schemas.openxmlformats.org/drawingml/2006/main">
                <a:graphicData uri="http://schemas.microsoft.com/office/word/2010/wordprocessingShape">
                  <wps:wsp>
                    <wps:cNvSpPr txBox="1"/>
                    <wps:spPr>
                      <a:xfrm>
                        <a:off x="0" y="0"/>
                        <a:ext cx="3807736" cy="654050"/>
                      </a:xfrm>
                      <a:prstGeom prst="rect">
                        <a:avLst/>
                      </a:prstGeom>
                      <a:noFill/>
                      <a:ln w="6350">
                        <a:noFill/>
                      </a:ln>
                    </wps:spPr>
                    <wps:txbx>
                      <w:txbxContent>
                        <w:tbl>
                          <w:tblPr>
                            <w:tblStyle w:val="Grigliatabella"/>
                            <w:tblW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126"/>
                          </w:tblGrid>
                          <w:tr w:rsidR="002A2E4A" w:rsidRPr="00B80DFE" w14:paraId="25958456" w14:textId="77777777" w:rsidTr="00CC45F3">
                            <w:trPr>
                              <w:trHeight w:val="1195"/>
                            </w:trPr>
                            <w:tc>
                              <w:tcPr>
                                <w:tcW w:w="3544" w:type="dxa"/>
                              </w:tcPr>
                              <w:p w14:paraId="1C61EAD6" w14:textId="77777777" w:rsidR="002A2E4A" w:rsidRPr="004649F8" w:rsidRDefault="002A2E4A" w:rsidP="00086381">
                                <w:pPr>
                                  <w:spacing w:after="0"/>
                                  <w:rPr>
                                    <w:rFonts w:ascii="Arial Narrow" w:hAnsi="Arial Narrow"/>
                                    <w:b/>
                                    <w:bCs/>
                                    <w:color w:val="1F497D"/>
                                  </w:rPr>
                                </w:pPr>
                                <w:r w:rsidRPr="004649F8">
                                  <w:rPr>
                                    <w:rFonts w:ascii="Arial Narrow" w:hAnsi="Arial Narrow"/>
                                    <w:b/>
                                    <w:bCs/>
                                    <w:color w:val="1F497D"/>
                                  </w:rPr>
                                  <w:t>UFFICIO STAMPA</w:t>
                                </w:r>
                              </w:p>
                              <w:p w14:paraId="737AD1C8" w14:textId="77777777" w:rsidR="002A2E4A" w:rsidRPr="004649F8" w:rsidRDefault="002A2E4A" w:rsidP="00086381">
                                <w:pPr>
                                  <w:spacing w:after="0"/>
                                  <w:rPr>
                                    <w:rFonts w:ascii="Arial Narrow" w:hAnsi="Arial Narrow"/>
                                    <w:color w:val="1F497D"/>
                                  </w:rPr>
                                </w:pPr>
                                <w:r w:rsidRPr="004649F8">
                                  <w:rPr>
                                    <w:rFonts w:ascii="Arial Narrow" w:hAnsi="Arial Narrow"/>
                                    <w:color w:val="1F497D"/>
                                  </w:rPr>
                                  <w:t>tel. +39 06 4673.2243/44</w:t>
                                </w:r>
                              </w:p>
                              <w:p w14:paraId="49CECEC8" w14:textId="77777777" w:rsidR="002A2E4A" w:rsidRPr="004649F8" w:rsidRDefault="00901E95" w:rsidP="00086381">
                                <w:pPr>
                                  <w:spacing w:after="0"/>
                                  <w:rPr>
                                    <w:rFonts w:ascii="Arial Narrow" w:hAnsi="Arial Narrow"/>
                                    <w:color w:val="1F497D"/>
                                  </w:rPr>
                                </w:pPr>
                                <w:hyperlink r:id="rId1" w:history="1">
                                  <w:r w:rsidR="002A2E4A" w:rsidRPr="002E68C4">
                                    <w:rPr>
                                      <w:rStyle w:val="Collegamentoipertestuale"/>
                                      <w:rFonts w:ascii="Arial Narrow" w:hAnsi="Arial Narrow"/>
                                      <w:color w:val="023859"/>
                                    </w:rPr>
                                    <w:t>ufficiostampa@istat.it</w:t>
                                  </w:r>
                                </w:hyperlink>
                              </w:p>
                            </w:tc>
                            <w:tc>
                              <w:tcPr>
                                <w:tcW w:w="2126" w:type="dxa"/>
                              </w:tcPr>
                              <w:p w14:paraId="2769EC28" w14:textId="3C176F2E" w:rsidR="002A2E4A" w:rsidRPr="002E68C4" w:rsidRDefault="002A2E4A" w:rsidP="00D34790">
                                <w:pPr>
                                  <w:spacing w:after="0"/>
                                  <w:rPr>
                                    <w:rFonts w:ascii="Arial Narrow" w:hAnsi="Arial Narrow"/>
                                    <w:color w:val="1F497D"/>
                                    <w:lang w:val="en-US"/>
                                  </w:rPr>
                                </w:pPr>
                                <w:r w:rsidRPr="002E68C4">
                                  <w:rPr>
                                    <w:rFonts w:ascii="Arial Narrow" w:hAnsi="Arial Narrow"/>
                                    <w:b/>
                                    <w:bCs/>
                                    <w:color w:val="1F497D"/>
                                    <w:lang w:val="en-US"/>
                                  </w:rPr>
                                  <w:t>CONTACT CENTRE</w:t>
                                </w:r>
                                <w:r w:rsidRPr="002E68C4">
                                  <w:rPr>
                                    <w:rFonts w:ascii="Arial Narrow" w:hAnsi="Arial Narrow"/>
                                    <w:color w:val="1F497D"/>
                                    <w:lang w:val="en-US"/>
                                  </w:rPr>
                                  <w:br/>
                                </w:r>
                                <w:hyperlink r:id="rId2" w:history="1">
                                  <w:r w:rsidRPr="007314B8">
                                    <w:rPr>
                                      <w:rStyle w:val="Collegamentoipertestuale"/>
                                      <w:rFonts w:ascii="Arial Narrow" w:hAnsi="Arial Narrow"/>
                                      <w:color w:val="023859"/>
                                      <w:lang w:val="fr-FR"/>
                                    </w:rPr>
                                    <w:t>contact.istat.it</w:t>
                                  </w:r>
                                </w:hyperlink>
                                <w:r w:rsidRPr="002E68C4">
                                  <w:rPr>
                                    <w:rFonts w:ascii="Arial Narrow" w:hAnsi="Arial Narrow"/>
                                    <w:color w:val="1F497D"/>
                                    <w:lang w:val="en-US"/>
                                  </w:rPr>
                                  <w:br/>
                                </w:r>
                              </w:p>
                            </w:tc>
                          </w:tr>
                        </w:tbl>
                        <w:p w14:paraId="7402ADDB" w14:textId="77777777" w:rsidR="002A2E4A" w:rsidRPr="004649F8" w:rsidRDefault="002A2E4A" w:rsidP="008F1908">
                          <w:pPr>
                            <w:rPr>
                              <w:rFonts w:ascii="Arial Narrow" w:hAnsi="Arial Narrow"/>
                              <w:color w:val="1F497D"/>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13802A" id="_x0000_t202" coordsize="21600,21600" o:spt="202" path="m,l,21600r21600,l21600,xe">
              <v:stroke joinstyle="miter"/>
              <v:path gradientshapeok="t" o:connecttype="rect"/>
            </v:shapetype>
            <v:shape id="Casella di testo 8" o:spid="_x0000_s1027" type="#_x0000_t202" style="position:absolute;left:0;text-align:left;margin-left:-7.05pt;margin-top:51.6pt;width:299.8pt;height:5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" filled="f" stroked="f" strokeweight=".5pt">
              <v:textbox inset="0,0,0,0">
                <w:txbxContent>
                  <w:tbl>
                    <w:tblPr>
                      <w:tblStyle w:val="Grigliatabella"/>
                      <w:tblW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126"/>
                    </w:tblGrid>
                    <w:tr w:rsidR="002A2E4A" w:rsidRPr="00B80DFE" w14:paraId="25958456" w14:textId="77777777" w:rsidTr="00CC45F3">
                      <w:trPr>
                        <w:trHeight w:val="1195"/>
                      </w:trPr>
                      <w:tc>
                        <w:tcPr>
                          <w:tcW w:w="3544" w:type="dxa"/>
                        </w:tcPr>
                        <w:p w14:paraId="1C61EAD6" w14:textId="77777777" w:rsidR="002A2E4A" w:rsidRPr="004649F8" w:rsidRDefault="002A2E4A" w:rsidP="00086381">
                          <w:pPr>
                            <w:spacing w:after="0"/>
                            <w:rPr>
                              <w:rFonts w:ascii="Arial Narrow" w:hAnsi="Arial Narrow"/>
                              <w:b/>
                              <w:bCs/>
                              <w:color w:val="1F497D"/>
                            </w:rPr>
                          </w:pPr>
                          <w:r w:rsidRPr="004649F8">
                            <w:rPr>
                              <w:rFonts w:ascii="Arial Narrow" w:hAnsi="Arial Narrow"/>
                              <w:b/>
                              <w:bCs/>
                              <w:color w:val="1F497D"/>
                            </w:rPr>
                            <w:t>UFFICIO STAMPA</w:t>
                          </w:r>
                        </w:p>
                        <w:p w14:paraId="737AD1C8" w14:textId="77777777" w:rsidR="002A2E4A" w:rsidRPr="004649F8" w:rsidRDefault="002A2E4A" w:rsidP="00086381">
                          <w:pPr>
                            <w:spacing w:after="0"/>
                            <w:rPr>
                              <w:rFonts w:ascii="Arial Narrow" w:hAnsi="Arial Narrow"/>
                              <w:color w:val="1F497D"/>
                            </w:rPr>
                          </w:pPr>
                          <w:r w:rsidRPr="004649F8">
                            <w:rPr>
                              <w:rFonts w:ascii="Arial Narrow" w:hAnsi="Arial Narrow"/>
                              <w:color w:val="1F497D"/>
                            </w:rPr>
                            <w:t>tel. +39 06 4673.2243/44</w:t>
                          </w:r>
                        </w:p>
                        <w:p w14:paraId="49CECEC8" w14:textId="77777777" w:rsidR="002A2E4A" w:rsidRPr="004649F8" w:rsidRDefault="00901E95" w:rsidP="00086381">
                          <w:pPr>
                            <w:spacing w:after="0"/>
                            <w:rPr>
                              <w:rFonts w:ascii="Arial Narrow" w:hAnsi="Arial Narrow"/>
                              <w:color w:val="1F497D"/>
                            </w:rPr>
                          </w:pPr>
                          <w:hyperlink r:id="rId3" w:history="1">
                            <w:r w:rsidR="002A2E4A" w:rsidRPr="002E68C4">
                              <w:rPr>
                                <w:rStyle w:val="Collegamentoipertestuale"/>
                                <w:rFonts w:ascii="Arial Narrow" w:hAnsi="Arial Narrow"/>
                                <w:color w:val="023859"/>
                              </w:rPr>
                              <w:t>ufficiostampa@istat.it</w:t>
                            </w:r>
                          </w:hyperlink>
                        </w:p>
                      </w:tc>
                      <w:tc>
                        <w:tcPr>
                          <w:tcW w:w="2126" w:type="dxa"/>
                        </w:tcPr>
                        <w:p w14:paraId="2769EC28" w14:textId="3C176F2E" w:rsidR="002A2E4A" w:rsidRPr="002E68C4" w:rsidRDefault="002A2E4A" w:rsidP="00D34790">
                          <w:pPr>
                            <w:spacing w:after="0"/>
                            <w:rPr>
                              <w:rFonts w:ascii="Arial Narrow" w:hAnsi="Arial Narrow"/>
                              <w:color w:val="1F497D"/>
                              <w:lang w:val="en-US"/>
                            </w:rPr>
                          </w:pPr>
                          <w:r w:rsidRPr="002E68C4">
                            <w:rPr>
                              <w:rFonts w:ascii="Arial Narrow" w:hAnsi="Arial Narrow"/>
                              <w:b/>
                              <w:bCs/>
                              <w:color w:val="1F497D"/>
                              <w:lang w:val="en-US"/>
                            </w:rPr>
                            <w:t>CONTACT CENTRE</w:t>
                          </w:r>
                          <w:r w:rsidRPr="002E68C4">
                            <w:rPr>
                              <w:rFonts w:ascii="Arial Narrow" w:hAnsi="Arial Narrow"/>
                              <w:color w:val="1F497D"/>
                              <w:lang w:val="en-US"/>
                            </w:rPr>
                            <w:br/>
                          </w:r>
                          <w:hyperlink r:id="rId4" w:history="1">
                            <w:r w:rsidRPr="007314B8">
                              <w:rPr>
                                <w:rStyle w:val="Collegamentoipertestuale"/>
                                <w:rFonts w:ascii="Arial Narrow" w:hAnsi="Arial Narrow"/>
                                <w:color w:val="023859"/>
                                <w:lang w:val="fr-FR"/>
                              </w:rPr>
                              <w:t>contact.istat.it</w:t>
                            </w:r>
                          </w:hyperlink>
                          <w:r w:rsidRPr="002E68C4">
                            <w:rPr>
                              <w:rFonts w:ascii="Arial Narrow" w:hAnsi="Arial Narrow"/>
                              <w:color w:val="1F497D"/>
                              <w:lang w:val="en-US"/>
                            </w:rPr>
                            <w:br/>
                          </w:r>
                        </w:p>
                      </w:tc>
                    </w:tr>
                  </w:tbl>
                  <w:p w14:paraId="7402ADDB" w14:textId="77777777" w:rsidR="002A2E4A" w:rsidRPr="004649F8" w:rsidRDefault="002A2E4A" w:rsidP="008F1908">
                    <w:pPr>
                      <w:rPr>
                        <w:rFonts w:ascii="Arial Narrow" w:hAnsi="Arial Narrow"/>
                        <w:color w:val="1F497D"/>
                        <w:lang w:val="en-US"/>
                      </w:rPr>
                    </w:pPr>
                  </w:p>
                </w:txbxContent>
              </v:textbox>
            </v:shape>
          </w:pict>
        </mc:Fallback>
      </mc:AlternateContent>
    </w:r>
    <w:r w:rsidRPr="00867DEB">
      <w:rPr>
        <w:noProof/>
        <w:sz w:val="18"/>
      </w:rPr>
      <w:drawing>
        <wp:inline distT="0" distB="0" distL="0" distR="0" wp14:anchorId="738F8315" wp14:editId="174744FE">
          <wp:extent cx="7562215" cy="1682750"/>
          <wp:effectExtent l="0" t="0" r="635"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TestateReport_Tavola disegno 1 copia.jpg"/>
                  <pic:cNvPicPr/>
                </pic:nvPicPr>
                <pic:blipFill>
                  <a:blip r:embed="rId5"/>
                  <a:stretch>
                    <a:fillRect/>
                  </a:stretch>
                </pic:blipFill>
                <pic:spPr>
                  <a:xfrm>
                    <a:off x="0" y="0"/>
                    <a:ext cx="7569348" cy="1684337"/>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highlight w:val="lightGray"/>
      </w:rPr>
      <w:id w:val="-358198784"/>
      <w:docPartObj>
        <w:docPartGallery w:val="Page Numbers (Bottom of Page)"/>
        <w:docPartUnique/>
      </w:docPartObj>
    </w:sdtPr>
    <w:sdtEndPr/>
    <w:sdtContent>
      <w:p w14:paraId="711DBEE7" w14:textId="3CE458DF" w:rsidR="002A2E4A" w:rsidRDefault="002A2E4A">
        <w:pPr>
          <w:rPr>
            <w:rFonts w:asciiTheme="majorHAnsi" w:eastAsiaTheme="majorEastAsia" w:hAnsiTheme="majorHAnsi" w:cstheme="majorBidi"/>
          </w:rPr>
        </w:pPr>
        <w:r>
          <w:rPr>
            <w:noProof/>
          </w:rPr>
          <w:drawing>
            <wp:anchor distT="0" distB="0" distL="114300" distR="114300" simplePos="0" relativeHeight="251681280" behindDoc="0" locked="0" layoutInCell="1" allowOverlap="1" wp14:anchorId="41E5CAA7" wp14:editId="1790599B">
              <wp:simplePos x="0" y="0"/>
              <wp:positionH relativeFrom="page">
                <wp:align>right</wp:align>
              </wp:positionH>
              <wp:positionV relativeFrom="paragraph">
                <wp:posOffset>-114935</wp:posOffset>
              </wp:positionV>
              <wp:extent cx="1256030" cy="788035"/>
              <wp:effectExtent l="0" t="0" r="1270" b="0"/>
              <wp:wrapNone/>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estateReport_Tavola disegno 1 copia 2.png"/>
                      <pic:cNvPicPr/>
                    </pic:nvPicPr>
                    <pic:blipFill>
                      <a:blip r:embed="rId1"/>
                      <a:stretch>
                        <a:fillRect/>
                      </a:stretch>
                    </pic:blipFill>
                    <pic:spPr>
                      <a:xfrm>
                        <a:off x="0" y="0"/>
                        <a:ext cx="1256030" cy="788035"/>
                      </a:xfrm>
                      <a:prstGeom prst="rect">
                        <a:avLst/>
                      </a:prstGeom>
                    </pic:spPr>
                  </pic:pic>
                </a:graphicData>
              </a:graphic>
              <wp14:sizeRelH relativeFrom="margin">
                <wp14:pctWidth>0</wp14:pctWidth>
              </wp14:sizeRelH>
              <wp14:sizeRelV relativeFrom="margin">
                <wp14:pctHeight>0</wp14:pctHeight>
              </wp14:sizeRelV>
            </wp:anchor>
          </w:drawing>
        </w:r>
        <w:r w:rsidRPr="00CA469E">
          <w:rPr>
            <w:noProof/>
            <w:sz w:val="28"/>
            <w:szCs w:val="28"/>
          </w:rPr>
          <mc:AlternateContent>
            <mc:Choice Requires="wps">
              <w:drawing>
                <wp:anchor distT="0" distB="0" distL="114300" distR="114300" simplePos="0" relativeHeight="251677184" behindDoc="0" locked="0" layoutInCell="1" allowOverlap="1" wp14:anchorId="4C2105EC" wp14:editId="77DFA301">
                  <wp:simplePos x="0" y="0"/>
                  <wp:positionH relativeFrom="column">
                    <wp:posOffset>-10160</wp:posOffset>
                  </wp:positionH>
                  <wp:positionV relativeFrom="paragraph">
                    <wp:posOffset>-114300</wp:posOffset>
                  </wp:positionV>
                  <wp:extent cx="6299835" cy="0"/>
                  <wp:effectExtent l="0" t="0" r="24765" b="19050"/>
                  <wp:wrapNone/>
                  <wp:docPr id="4" name="Connettore 1 28"/>
                  <wp:cNvGraphicFramePr/>
                  <a:graphic xmlns:a="http://schemas.openxmlformats.org/drawingml/2006/main">
                    <a:graphicData uri="http://schemas.microsoft.com/office/word/2010/wordprocessingShape">
                      <wps:wsp>
                        <wps:cNvCnPr/>
                        <wps:spPr>
                          <a:xfrm>
                            <a:off x="0" y="0"/>
                            <a:ext cx="6299835" cy="0"/>
                          </a:xfrm>
                          <a:prstGeom prst="line">
                            <a:avLst/>
                          </a:prstGeom>
                          <a:ln w="158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C9C81AE" id="Connettore 1 28" o:spid="_x0000_s1026" style="position:absolute;z-index:2516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pt,-9pt" to="495.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" strokecolor="white [3212]" strokeweight="1.25pt"/>
              </w:pict>
            </mc:Fallback>
          </mc:AlternateContent>
        </w:r>
        <w:r>
          <w:rPr>
            <w:rFonts w:asciiTheme="majorHAnsi" w:eastAsiaTheme="majorEastAsia" w:hAnsiTheme="majorHAnsi" w:cstheme="majorBidi"/>
            <w:noProof/>
          </w:rPr>
          <mc:AlternateContent>
            <mc:Choice Requires="wps">
              <w:drawing>
                <wp:anchor distT="0" distB="0" distL="114300" distR="114300" simplePos="0" relativeHeight="251657215" behindDoc="0" locked="0" layoutInCell="1" allowOverlap="1" wp14:anchorId="72D0AB58" wp14:editId="1364A5D9">
                  <wp:simplePos x="0" y="0"/>
                  <wp:positionH relativeFrom="column">
                    <wp:posOffset>-617220</wp:posOffset>
                  </wp:positionH>
                  <wp:positionV relativeFrom="paragraph">
                    <wp:posOffset>-3051175</wp:posOffset>
                  </wp:positionV>
                  <wp:extent cx="7627620" cy="3714750"/>
                  <wp:effectExtent l="0" t="0" r="0" b="0"/>
                  <wp:wrapNone/>
                  <wp:docPr id="3" name="Rettangolo 3"/>
                  <wp:cNvGraphicFramePr/>
                  <a:graphic xmlns:a="http://schemas.openxmlformats.org/drawingml/2006/main">
                    <a:graphicData uri="http://schemas.microsoft.com/office/word/2010/wordprocessingShape">
                      <wps:wsp>
                        <wps:cNvSpPr/>
                        <wps:spPr>
                          <a:xfrm>
                            <a:off x="0" y="0"/>
                            <a:ext cx="7627620" cy="371475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3E74B14" id="Rettangolo 3" o:spid="_x0000_s1026" style="position:absolute;margin-left:-48.6pt;margin-top:-240.25pt;width:600.6pt;height:292.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" fillcolor="#d8d8d8 [2732]" stroked="f" strokeweight="2pt"/>
              </w:pict>
            </mc:Fallback>
          </mc:AlternateContent>
        </w:r>
        <w:r w:rsidRPr="00CA469E">
          <w:rPr>
            <w:noProof/>
            <w:sz w:val="28"/>
            <w:szCs w:val="28"/>
          </w:rPr>
          <mc:AlternateContent>
            <mc:Choice Requires="wps">
              <w:drawing>
                <wp:anchor distT="0" distB="0" distL="114300" distR="114300" simplePos="0" relativeHeight="251679232" behindDoc="0" locked="0" layoutInCell="1" allowOverlap="1" wp14:anchorId="1B9ECCD8" wp14:editId="21D20384">
                  <wp:simplePos x="0" y="0"/>
                  <wp:positionH relativeFrom="column">
                    <wp:posOffset>-10160</wp:posOffset>
                  </wp:positionH>
                  <wp:positionV relativeFrom="paragraph">
                    <wp:posOffset>-2532397</wp:posOffset>
                  </wp:positionV>
                  <wp:extent cx="6300000" cy="0"/>
                  <wp:effectExtent l="0" t="0" r="24765" b="19050"/>
                  <wp:wrapNone/>
                  <wp:docPr id="12" name="Connettore 1 12"/>
                  <wp:cNvGraphicFramePr/>
                  <a:graphic xmlns:a="http://schemas.openxmlformats.org/drawingml/2006/main">
                    <a:graphicData uri="http://schemas.microsoft.com/office/word/2010/wordprocessingShape">
                      <wps:wsp>
                        <wps:cNvCnPr/>
                        <wps:spPr>
                          <a:xfrm>
                            <a:off x="0" y="0"/>
                            <a:ext cx="6300000" cy="0"/>
                          </a:xfrm>
                          <a:prstGeom prst="line">
                            <a:avLst/>
                          </a:prstGeom>
                          <a:ln w="158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0D15D85" id="Connettore 1 12" o:spid="_x0000_s1026" style="position:absolute;z-index:2516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pt,-199.4pt" to="495.25pt,-19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" strokecolor="white [3212]" strokeweight="1.25pt"/>
              </w:pict>
            </mc:Fallback>
          </mc:AlternateContent>
        </w:r>
        <w:r w:rsidRPr="00A17739">
          <w:rPr>
            <w:rFonts w:ascii="Arial" w:hAnsi="Arial" w:cs="Arial"/>
            <w:noProof/>
            <w:sz w:val="22"/>
            <w:szCs w:val="22"/>
          </w:rPr>
          <w:drawing>
            <wp:anchor distT="0" distB="0" distL="114300" distR="114300" simplePos="0" relativeHeight="251676160" behindDoc="0" locked="0" layoutInCell="1" allowOverlap="1" wp14:anchorId="043B2EEB" wp14:editId="6D838CFD">
              <wp:simplePos x="0" y="0"/>
              <wp:positionH relativeFrom="column">
                <wp:posOffset>-545465</wp:posOffset>
              </wp:positionH>
              <wp:positionV relativeFrom="paragraph">
                <wp:posOffset>-3345505</wp:posOffset>
              </wp:positionV>
              <wp:extent cx="466725" cy="483235"/>
              <wp:effectExtent l="0" t="0" r="9525" b="0"/>
              <wp:wrapNone/>
              <wp:docPr id="32" name="Immagin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466725" cy="483235"/>
                      </a:xfrm>
                      <a:prstGeom prst="rect">
                        <a:avLst/>
                      </a:prstGeom>
                    </pic:spPr>
                  </pic:pic>
                </a:graphicData>
              </a:graphic>
              <wp14:sizeRelH relativeFrom="margin">
                <wp14:pctWidth>0</wp14:pctWidth>
              </wp14:sizeRelH>
              <wp14:sizeRelV relativeFrom="margin">
                <wp14:pctHeight>0</wp14:pctHeight>
              </wp14:sizeRelV>
            </wp:anchor>
          </w:drawing>
        </w:r>
      </w:p>
    </w:sdtContent>
  </w:sdt>
  <w:p w14:paraId="1D318B9F" w14:textId="1F32398E" w:rsidR="002A2E4A" w:rsidRDefault="002A2E4A" w:rsidP="00F71E76">
    <w:pPr>
      <w:pStyle w:val="Pidipagina"/>
      <w:numPr>
        <w:ilvl w:val="0"/>
        <w:numId w:val="4"/>
      </w:numPr>
      <w:tabs>
        <w:tab w:val="clear" w:pos="4819"/>
        <w:tab w:val="clear" w:pos="9638"/>
        <w:tab w:val="left" w:pos="7773"/>
      </w:tabs>
    </w:pPr>
    <w:r w:rsidRPr="001B745D">
      <w:rPr>
        <w:rFonts w:ascii="Arial Narrow" w:hAnsi="Arial Narrow"/>
        <w:noProof/>
        <w:color w:val="FFFFFF" w:themeColor="background1"/>
      </w:rPr>
      <mc:AlternateContent>
        <mc:Choice Requires="wps">
          <w:drawing>
            <wp:anchor distT="0" distB="0" distL="114300" distR="114300" simplePos="0" relativeHeight="251683328" behindDoc="0" locked="0" layoutInCell="0" allowOverlap="1" wp14:anchorId="68C485D4" wp14:editId="0A86A3EC">
              <wp:simplePos x="0" y="0"/>
              <wp:positionH relativeFrom="rightMargin">
                <wp:posOffset>48260</wp:posOffset>
              </wp:positionH>
              <wp:positionV relativeFrom="page">
                <wp:posOffset>10375900</wp:posOffset>
              </wp:positionV>
              <wp:extent cx="398834" cy="329565"/>
              <wp:effectExtent l="0" t="0" r="0" b="0"/>
              <wp:wrapNone/>
              <wp:docPr id="5"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834" cy="329565"/>
                      </a:xfrm>
                      <a:prstGeom prst="rect">
                        <a:avLst/>
                      </a:prstGeom>
                      <a:noFill/>
                    </wps:spPr>
                    <wps:txbx>
                      <w:txbxContent>
                        <w:p w14:paraId="133430A3" w14:textId="26943906" w:rsidR="002A2E4A" w:rsidRPr="001B745D" w:rsidRDefault="002A2E4A" w:rsidP="009B291A">
                          <w:pPr>
                            <w:jc w:val="right"/>
                            <w:rPr>
                              <w:rFonts w:ascii="Arial" w:hAnsi="Arial" w:cs="Arial"/>
                              <w:b/>
                              <w:color w:val="244061" w:themeColor="accent1" w:themeShade="80"/>
                              <w:sz w:val="20"/>
                              <w:szCs w:val="20"/>
                            </w:rPr>
                          </w:pPr>
                          <w:r w:rsidRPr="00CA469E">
                            <w:rPr>
                              <w:rFonts w:ascii="Arial" w:hAnsi="Arial" w:cs="Arial"/>
                              <w:b/>
                              <w:color w:val="244061" w:themeColor="accent1" w:themeShade="80"/>
                              <w:sz w:val="20"/>
                              <w:szCs w:val="20"/>
                            </w:rPr>
                            <w:fldChar w:fldCharType="begin"/>
                          </w:r>
                          <w:r w:rsidRPr="00CA469E">
                            <w:rPr>
                              <w:rFonts w:ascii="Arial" w:hAnsi="Arial" w:cs="Arial"/>
                              <w:b/>
                              <w:color w:val="244061" w:themeColor="accent1" w:themeShade="80"/>
                              <w:sz w:val="20"/>
                              <w:szCs w:val="20"/>
                            </w:rPr>
                            <w:instrText>PAGE   \* MERGEFORMAT</w:instrText>
                          </w:r>
                          <w:r w:rsidRPr="00CA469E">
                            <w:rPr>
                              <w:rFonts w:ascii="Arial" w:hAnsi="Arial" w:cs="Arial"/>
                              <w:b/>
                              <w:color w:val="244061" w:themeColor="accent1" w:themeShade="80"/>
                              <w:sz w:val="20"/>
                              <w:szCs w:val="20"/>
                            </w:rPr>
                            <w:fldChar w:fldCharType="separate"/>
                          </w:r>
                          <w:r w:rsidR="00901E95">
                            <w:rPr>
                              <w:rFonts w:ascii="Arial" w:hAnsi="Arial" w:cs="Arial"/>
                              <w:b/>
                              <w:noProof/>
                              <w:color w:val="244061" w:themeColor="accent1" w:themeShade="80"/>
                              <w:sz w:val="20"/>
                              <w:szCs w:val="20"/>
                            </w:rPr>
                            <w:t>2</w:t>
                          </w:r>
                          <w:r w:rsidRPr="00CA469E">
                            <w:rPr>
                              <w:rFonts w:ascii="Arial" w:hAnsi="Arial" w:cs="Arial"/>
                              <w:b/>
                              <w:color w:val="244061" w:themeColor="accent1" w:themeShade="80"/>
                              <w:sz w:val="20"/>
                              <w:szCs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68C485D4" id="Rettangolo 4" o:spid="_x0000_s1028" style="position:absolute;left:0;text-align:left;margin-left:3.8pt;margin-top:817pt;width:31.4pt;height:25.95pt;z-index:2516833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" o:allowincell="f" filled="f" stroked="f">
              <v:textbox>
                <w:txbxContent>
                  <w:p w14:paraId="133430A3" w14:textId="26943906" w:rsidR="002A2E4A" w:rsidRPr="001B745D" w:rsidRDefault="002A2E4A" w:rsidP="009B291A">
                    <w:pPr>
                      <w:jc w:val="right"/>
                      <w:rPr>
                        <w:rFonts w:ascii="Arial" w:hAnsi="Arial" w:cs="Arial"/>
                        <w:b/>
                        <w:color w:val="244061" w:themeColor="accent1" w:themeShade="80"/>
                        <w:sz w:val="20"/>
                        <w:szCs w:val="20"/>
                      </w:rPr>
                    </w:pPr>
                    <w:r w:rsidRPr="00CA469E">
                      <w:rPr>
                        <w:rFonts w:ascii="Arial" w:hAnsi="Arial" w:cs="Arial"/>
                        <w:b/>
                        <w:color w:val="244061" w:themeColor="accent1" w:themeShade="80"/>
                        <w:sz w:val="20"/>
                        <w:szCs w:val="20"/>
                      </w:rPr>
                      <w:fldChar w:fldCharType="begin"/>
                    </w:r>
                    <w:r w:rsidRPr="00CA469E">
                      <w:rPr>
                        <w:rFonts w:ascii="Arial" w:hAnsi="Arial" w:cs="Arial"/>
                        <w:b/>
                        <w:color w:val="244061" w:themeColor="accent1" w:themeShade="80"/>
                        <w:sz w:val="20"/>
                        <w:szCs w:val="20"/>
                      </w:rPr>
                      <w:instrText>PAGE   \* MERGEFORMAT</w:instrText>
                    </w:r>
                    <w:r w:rsidRPr="00CA469E">
                      <w:rPr>
                        <w:rFonts w:ascii="Arial" w:hAnsi="Arial" w:cs="Arial"/>
                        <w:b/>
                        <w:color w:val="244061" w:themeColor="accent1" w:themeShade="80"/>
                        <w:sz w:val="20"/>
                        <w:szCs w:val="20"/>
                      </w:rPr>
                      <w:fldChar w:fldCharType="separate"/>
                    </w:r>
                    <w:r w:rsidR="00901E95">
                      <w:rPr>
                        <w:rFonts w:ascii="Arial" w:hAnsi="Arial" w:cs="Arial"/>
                        <w:b/>
                        <w:noProof/>
                        <w:color w:val="244061" w:themeColor="accent1" w:themeShade="80"/>
                        <w:sz w:val="20"/>
                        <w:szCs w:val="20"/>
                      </w:rPr>
                      <w:t>2</w:t>
                    </w:r>
                    <w:r w:rsidRPr="00CA469E">
                      <w:rPr>
                        <w:rFonts w:ascii="Arial" w:hAnsi="Arial" w:cs="Arial"/>
                        <w:b/>
                        <w:color w:val="244061" w:themeColor="accent1" w:themeShade="80"/>
                        <w:sz w:val="20"/>
                        <w:szCs w:val="20"/>
                      </w:rPr>
                      <w:fldChar w:fldCharType="end"/>
                    </w:r>
                  </w:p>
                </w:txbxContent>
              </v:textbox>
              <w10:wrap anchorx="margin" anchory="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826633191"/>
      <w:docPartObj>
        <w:docPartGallery w:val="Page Numbers (Bottom of Page)"/>
        <w:docPartUnique/>
      </w:docPartObj>
    </w:sdtPr>
    <w:sdtEndPr>
      <w:rPr>
        <w:rFonts w:ascii="Arial" w:hAnsi="Arial" w:cs="Arial"/>
        <w:sz w:val="20"/>
        <w:szCs w:val="20"/>
      </w:rPr>
    </w:sdtEndPr>
    <w:sdtContent>
      <w:p w14:paraId="14640DDB" w14:textId="42B65B6B" w:rsidR="002A2E4A" w:rsidRPr="009B291A" w:rsidRDefault="002A2E4A">
        <w:pPr>
          <w:pStyle w:val="Pidipagina"/>
          <w:jc w:val="right"/>
          <w:rPr>
            <w:rFonts w:ascii="Arial" w:hAnsi="Arial" w:cs="Arial"/>
            <w:b/>
            <w:sz w:val="20"/>
            <w:szCs w:val="20"/>
          </w:rPr>
        </w:pPr>
        <w:r w:rsidRPr="009B291A">
          <w:rPr>
            <w:b/>
            <w:noProof/>
          </w:rPr>
          <w:drawing>
            <wp:anchor distT="0" distB="0" distL="114300" distR="114300" simplePos="0" relativeHeight="251685376" behindDoc="0" locked="0" layoutInCell="1" allowOverlap="1" wp14:anchorId="1D232DED" wp14:editId="69A5A7F3">
              <wp:simplePos x="0" y="0"/>
              <wp:positionH relativeFrom="page">
                <wp:align>right</wp:align>
              </wp:positionH>
              <wp:positionV relativeFrom="paragraph">
                <wp:posOffset>-552450</wp:posOffset>
              </wp:positionV>
              <wp:extent cx="1576705" cy="989227"/>
              <wp:effectExtent l="0" t="0" r="4445" b="1905"/>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estateReport_Tavola disegno 1 copia 2.png"/>
                      <pic:cNvPicPr/>
                    </pic:nvPicPr>
                    <pic:blipFill>
                      <a:blip r:embed="rId1"/>
                      <a:stretch>
                        <a:fillRect/>
                      </a:stretch>
                    </pic:blipFill>
                    <pic:spPr>
                      <a:xfrm>
                        <a:off x="0" y="0"/>
                        <a:ext cx="1576705" cy="989227"/>
                      </a:xfrm>
                      <a:prstGeom prst="rect">
                        <a:avLst/>
                      </a:prstGeom>
                    </pic:spPr>
                  </pic:pic>
                </a:graphicData>
              </a:graphic>
              <wp14:sizeRelH relativeFrom="margin">
                <wp14:pctWidth>0</wp14:pctWidth>
              </wp14:sizeRelH>
              <wp14:sizeRelV relativeFrom="margin">
                <wp14:pctHeight>0</wp14:pctHeight>
              </wp14:sizeRelV>
            </wp:anchor>
          </w:drawing>
        </w:r>
        <w:r w:rsidRPr="009B291A">
          <w:rPr>
            <w:rFonts w:ascii="Arial" w:hAnsi="Arial" w:cs="Arial"/>
            <w:b/>
            <w:sz w:val="20"/>
            <w:szCs w:val="20"/>
          </w:rPr>
          <w:fldChar w:fldCharType="begin"/>
        </w:r>
        <w:r w:rsidRPr="009B291A">
          <w:rPr>
            <w:rFonts w:ascii="Arial" w:hAnsi="Arial" w:cs="Arial"/>
            <w:b/>
            <w:sz w:val="20"/>
            <w:szCs w:val="20"/>
          </w:rPr>
          <w:instrText>PAGE   \* MERGEFORMAT</w:instrText>
        </w:r>
        <w:r w:rsidRPr="009B291A">
          <w:rPr>
            <w:rFonts w:ascii="Arial" w:hAnsi="Arial" w:cs="Arial"/>
            <w:b/>
            <w:sz w:val="20"/>
            <w:szCs w:val="20"/>
          </w:rPr>
          <w:fldChar w:fldCharType="separate"/>
        </w:r>
        <w:r w:rsidR="00901E95">
          <w:rPr>
            <w:rFonts w:ascii="Arial" w:hAnsi="Arial" w:cs="Arial"/>
            <w:b/>
            <w:noProof/>
            <w:sz w:val="20"/>
            <w:szCs w:val="20"/>
          </w:rPr>
          <w:t>14</w:t>
        </w:r>
        <w:r w:rsidRPr="009B291A">
          <w:rPr>
            <w:rFonts w:ascii="Arial" w:hAnsi="Arial" w:cs="Arial"/>
            <w:b/>
            <w:sz w:val="20"/>
            <w:szCs w:val="20"/>
          </w:rPr>
          <w:fldChar w:fldCharType="end"/>
        </w:r>
      </w:p>
    </w:sdtContent>
  </w:sdt>
  <w:p w14:paraId="5D743D5C" w14:textId="77777777" w:rsidR="002A2E4A" w:rsidRPr="009B291A" w:rsidRDefault="002A2E4A" w:rsidP="009B291A">
    <w:pPr>
      <w:jc w:val="right"/>
      <w:rPr>
        <w:rFonts w:asciiTheme="majorHAnsi" w:eastAsiaTheme="majorEastAsia" w:hAnsiTheme="majorHAnsi" w:cstheme="majorBidi"/>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7AB86" w14:textId="77777777" w:rsidR="006F667A" w:rsidRDefault="006F667A">
      <w:r>
        <w:separator/>
      </w:r>
    </w:p>
  </w:footnote>
  <w:footnote w:type="continuationSeparator" w:id="0">
    <w:p w14:paraId="10A5C5AA" w14:textId="77777777" w:rsidR="006F667A" w:rsidRDefault="006F6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BFC5D" w14:textId="77777777" w:rsidR="002A2E4A" w:rsidRDefault="002A2E4A" w:rsidP="00DF2FE2">
    <w:pPr>
      <w:pStyle w:val="Intestazione"/>
      <w:tabs>
        <w:tab w:val="left" w:pos="0"/>
      </w:tabs>
      <w:ind w:left="-851"/>
    </w:pPr>
    <w:r>
      <w:rPr>
        <w:noProof/>
      </w:rPr>
      <mc:AlternateContent>
        <mc:Choice Requires="wps">
          <w:drawing>
            <wp:anchor distT="0" distB="0" distL="114300" distR="114300" simplePos="0" relativeHeight="251658240" behindDoc="0" locked="0" layoutInCell="1" allowOverlap="1" wp14:anchorId="199F4EE2" wp14:editId="1F6B1472">
              <wp:simplePos x="0" y="0"/>
              <wp:positionH relativeFrom="column">
                <wp:posOffset>5384165</wp:posOffset>
              </wp:positionH>
              <wp:positionV relativeFrom="paragraph">
                <wp:posOffset>-57149</wp:posOffset>
              </wp:positionV>
              <wp:extent cx="1625600" cy="43815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438150"/>
                      </a:xfrm>
                      <a:prstGeom prst="rect">
                        <a:avLst/>
                      </a:prstGeom>
                      <a:solidFill>
                        <a:schemeClr val="tx2"/>
                      </a:solidFill>
                      <a:ln>
                        <a:noFill/>
                      </a:ln>
                    </wps:spPr>
                    <wps:txbx>
                      <w:txbxContent>
                        <w:p w14:paraId="2C37A5C5" w14:textId="77777777" w:rsidR="002A2E4A" w:rsidRPr="00AA00B2" w:rsidRDefault="002A2E4A" w:rsidP="00DF2FE2">
                          <w:pPr>
                            <w:autoSpaceDE w:val="0"/>
                            <w:autoSpaceDN w:val="0"/>
                            <w:adjustRightInd w:val="0"/>
                            <w:jc w:val="center"/>
                            <w:rPr>
                              <w:rFonts w:ascii="Arial Narrow" w:hAnsi="Arial Narrow" w:cs="Arial"/>
                              <w:b/>
                              <w:bCs/>
                              <w:color w:val="FFFFFF" w:themeColor="background1"/>
                              <w:sz w:val="2"/>
                              <w:szCs w:val="26"/>
                            </w:rPr>
                          </w:pPr>
                        </w:p>
                        <w:p w14:paraId="6DDF37E7" w14:textId="4D32E27F" w:rsidR="002A2E4A" w:rsidRPr="00690C34" w:rsidRDefault="002A2E4A" w:rsidP="00C309B1">
                          <w:pPr>
                            <w:autoSpaceDE w:val="0"/>
                            <w:autoSpaceDN w:val="0"/>
                            <w:adjustRightInd w:val="0"/>
                            <w:spacing w:before="40"/>
                            <w:jc w:val="center"/>
                            <w:rPr>
                              <w:rFonts w:ascii="Arial Narrow" w:hAnsi="Arial Narrow" w:cs="Arial"/>
                              <w:b/>
                              <w:bCs/>
                              <w:color w:val="FFFFFF" w:themeColor="background1"/>
                              <w:sz w:val="26"/>
                              <w:szCs w:val="26"/>
                            </w:rPr>
                          </w:pPr>
                          <w:r>
                            <w:rPr>
                              <w:rFonts w:ascii="Arial Narrow" w:hAnsi="Arial Narrow" w:cs="Arial"/>
                              <w:b/>
                              <w:bCs/>
                              <w:color w:val="FFFFFF" w:themeColor="background1"/>
                              <w:sz w:val="26"/>
                              <w:szCs w:val="26"/>
                            </w:rPr>
                            <w:t xml:space="preserve">15 OTTOBRE </w:t>
                          </w:r>
                          <w:r w:rsidR="00752884">
                            <w:rPr>
                              <w:rFonts w:ascii="Arial Narrow" w:hAnsi="Arial Narrow" w:cs="Arial"/>
                              <w:b/>
                              <w:bCs/>
                              <w:color w:val="FFFFFF" w:themeColor="background1"/>
                              <w:sz w:val="26"/>
                              <w:szCs w:val="26"/>
                            </w:rPr>
                            <w:t>2026</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99F4EE2" id="_x0000_t202" coordsize="21600,21600" o:spt="202" path="m,l,21600r21600,l21600,xe">
              <v:stroke joinstyle="miter"/>
              <v:path gradientshapeok="t" o:connecttype="rect"/>
            </v:shapetype>
            <v:shape id="Text Box 2" o:spid="_x0000_s1026" type="#_x0000_t202" style="position:absolute;left:0;text-align:left;margin-left:423.95pt;margin-top:-4.5pt;width:128pt;height: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" fillcolor="#1f497d [3215]" stroked="f">
              <v:textbox inset="1.5mm,,1.5mm">
                <w:txbxContent>
                  <w:p w14:paraId="2C37A5C5" w14:textId="77777777" w:rsidR="002A2E4A" w:rsidRPr="00AA00B2" w:rsidRDefault="002A2E4A" w:rsidP="00DF2FE2">
                    <w:pPr>
                      <w:autoSpaceDE w:val="0"/>
                      <w:autoSpaceDN w:val="0"/>
                      <w:adjustRightInd w:val="0"/>
                      <w:jc w:val="center"/>
                      <w:rPr>
                        <w:rFonts w:ascii="Arial Narrow" w:hAnsi="Arial Narrow" w:cs="Arial"/>
                        <w:b/>
                        <w:bCs/>
                        <w:color w:val="FFFFFF" w:themeColor="background1"/>
                        <w:sz w:val="2"/>
                        <w:szCs w:val="26"/>
                      </w:rPr>
                    </w:pPr>
                  </w:p>
                  <w:p w14:paraId="6DDF37E7" w14:textId="4D32E27F" w:rsidR="002A2E4A" w:rsidRPr="00690C34" w:rsidRDefault="002A2E4A" w:rsidP="00C309B1">
                    <w:pPr>
                      <w:autoSpaceDE w:val="0"/>
                      <w:autoSpaceDN w:val="0"/>
                      <w:adjustRightInd w:val="0"/>
                      <w:spacing w:before="40"/>
                      <w:jc w:val="center"/>
                      <w:rPr>
                        <w:rFonts w:ascii="Arial Narrow" w:hAnsi="Arial Narrow" w:cs="Arial"/>
                        <w:b/>
                        <w:bCs/>
                        <w:color w:val="FFFFFF" w:themeColor="background1"/>
                        <w:sz w:val="26"/>
                        <w:szCs w:val="26"/>
                      </w:rPr>
                    </w:pPr>
                    <w:r>
                      <w:rPr>
                        <w:rFonts w:ascii="Arial Narrow" w:hAnsi="Arial Narrow" w:cs="Arial"/>
                        <w:b/>
                        <w:bCs/>
                        <w:color w:val="FFFFFF" w:themeColor="background1"/>
                        <w:sz w:val="26"/>
                        <w:szCs w:val="26"/>
                      </w:rPr>
                      <w:t xml:space="preserve">15 OTTOBRE </w:t>
                    </w:r>
                    <w:r w:rsidR="00752884">
                      <w:rPr>
                        <w:rFonts w:ascii="Arial Narrow" w:hAnsi="Arial Narrow" w:cs="Arial"/>
                        <w:b/>
                        <w:bCs/>
                        <w:color w:val="FFFFFF" w:themeColor="background1"/>
                        <w:sz w:val="26"/>
                        <w:szCs w:val="26"/>
                      </w:rPr>
                      <w:t>2026</w:t>
                    </w:r>
                  </w:p>
                </w:txbxContent>
              </v:textbox>
            </v:shape>
          </w:pict>
        </mc:Fallback>
      </mc:AlternateContent>
    </w:r>
    <w:r>
      <w:rPr>
        <w:noProof/>
      </w:rPr>
      <w:drawing>
        <wp:inline distT="0" distB="0" distL="0" distR="0" wp14:anchorId="508BB274" wp14:editId="4439C0BB">
          <wp:extent cx="7560000" cy="1645200"/>
          <wp:effectExtent l="0" t="0" r="0" b="635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estateReport_Tavola disegno 1.jpg"/>
                  <pic:cNvPicPr/>
                </pic:nvPicPr>
                <pic:blipFill>
                  <a:blip r:embed="rId1"/>
                  <a:stretch>
                    <a:fillRect/>
                  </a:stretch>
                </pic:blipFill>
                <pic:spPr>
                  <a:xfrm>
                    <a:off x="0" y="0"/>
                    <a:ext cx="7560000" cy="1645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1233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97D" w:themeFill="text2"/>
      <w:tblLook w:val="04A0" w:firstRow="1" w:lastRow="0" w:firstColumn="1" w:lastColumn="0" w:noHBand="0" w:noVBand="1"/>
    </w:tblPr>
    <w:tblGrid>
      <w:gridCol w:w="9323"/>
      <w:gridCol w:w="3016"/>
    </w:tblGrid>
    <w:tr w:rsidR="002A2E4A" w:rsidRPr="00DD6CCE" w14:paraId="35A30288" w14:textId="77777777" w:rsidTr="00FA6FBE">
      <w:trPr>
        <w:trHeight w:hRule="exact" w:val="567"/>
      </w:trPr>
      <w:tc>
        <w:tcPr>
          <w:tcW w:w="9323" w:type="dxa"/>
          <w:shd w:val="clear" w:color="auto" w:fill="1F497D" w:themeFill="text2"/>
          <w:vAlign w:val="center"/>
        </w:tcPr>
        <w:p w14:paraId="66D4B666" w14:textId="77777777" w:rsidR="002A2E4A" w:rsidRPr="005D6783" w:rsidRDefault="002A2E4A" w:rsidP="009F607D">
          <w:pPr>
            <w:pStyle w:val="Intestazione"/>
            <w:spacing w:before="120"/>
            <w:ind w:left="567"/>
            <w:jc w:val="left"/>
            <w:rPr>
              <w:rFonts w:ascii="Arial Narrow" w:hAnsi="Arial Narrow"/>
              <w:color w:val="FFFFFF" w:themeColor="background1"/>
              <w:sz w:val="24"/>
            </w:rPr>
          </w:pPr>
          <w:r w:rsidRPr="00DA4716">
            <w:rPr>
              <w:rFonts w:ascii="Arial Narrow" w:hAnsi="Arial Narrow"/>
              <w:color w:val="FFFFFF" w:themeColor="background1"/>
              <w:sz w:val="24"/>
            </w:rPr>
            <w:t>CONTI ECONOMICI DELLE IMPRESE E DEI GRUPPI DI IMPRESA</w:t>
          </w:r>
        </w:p>
      </w:tc>
      <w:tc>
        <w:tcPr>
          <w:tcW w:w="3016" w:type="dxa"/>
          <w:shd w:val="clear" w:color="auto" w:fill="1F497D" w:themeFill="text2"/>
          <w:vAlign w:val="center"/>
        </w:tcPr>
        <w:p w14:paraId="096653A1" w14:textId="77777777" w:rsidR="002A2E4A" w:rsidRPr="00DD6CCE" w:rsidRDefault="002A2E4A" w:rsidP="009F607D">
          <w:pPr>
            <w:pStyle w:val="Intestazione"/>
            <w:tabs>
              <w:tab w:val="left" w:pos="2160"/>
            </w:tabs>
            <w:ind w:left="284" w:hanging="100"/>
            <w:jc w:val="left"/>
            <w:rPr>
              <w:color w:val="FFFFFF" w:themeColor="background1"/>
            </w:rPr>
          </w:pPr>
          <w:r>
            <w:rPr>
              <w:noProof/>
              <w:color w:val="FFFFFF" w:themeColor="background1"/>
            </w:rPr>
            <w:drawing>
              <wp:anchor distT="0" distB="0" distL="114300" distR="114300" simplePos="0" relativeHeight="251678208" behindDoc="0" locked="0" layoutInCell="1" allowOverlap="1" wp14:anchorId="1A2909F8" wp14:editId="79274C1F">
                <wp:simplePos x="0" y="0"/>
                <wp:positionH relativeFrom="column">
                  <wp:posOffset>657860</wp:posOffset>
                </wp:positionH>
                <wp:positionV relativeFrom="paragraph">
                  <wp:posOffset>50165</wp:posOffset>
                </wp:positionV>
                <wp:extent cx="695325" cy="198120"/>
                <wp:effectExtent l="0" t="0" r="9525" b="0"/>
                <wp:wrapNone/>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AllWhite-01.png"/>
                        <pic:cNvPicPr/>
                      </pic:nvPicPr>
                      <pic:blipFill>
                        <a:blip r:embed="rId1"/>
                        <a:stretch>
                          <a:fillRect/>
                        </a:stretch>
                      </pic:blipFill>
                      <pic:spPr>
                        <a:xfrm>
                          <a:off x="0" y="0"/>
                          <a:ext cx="695325" cy="198120"/>
                        </a:xfrm>
                        <a:prstGeom prst="rect">
                          <a:avLst/>
                        </a:prstGeom>
                      </pic:spPr>
                    </pic:pic>
                  </a:graphicData>
                </a:graphic>
                <wp14:sizeRelH relativeFrom="margin">
                  <wp14:pctWidth>0</wp14:pctWidth>
                </wp14:sizeRelH>
                <wp14:sizeRelV relativeFrom="margin">
                  <wp14:pctHeight>0</wp14:pctHeight>
                </wp14:sizeRelV>
              </wp:anchor>
            </w:drawing>
          </w:r>
        </w:p>
      </w:tc>
    </w:tr>
  </w:tbl>
  <w:p w14:paraId="49A4FA57" w14:textId="126DF8F6" w:rsidR="002A2E4A" w:rsidRPr="007D0BF5" w:rsidRDefault="002A2E4A" w:rsidP="008F0EC1">
    <w:pPr>
      <w:pStyle w:val="Intestazione"/>
      <w:tabs>
        <w:tab w:val="clear" w:pos="4819"/>
        <w:tab w:val="clear" w:pos="9638"/>
        <w:tab w:val="left" w:pos="5959"/>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8630E"/>
    <w:multiLevelType w:val="hybridMultilevel"/>
    <w:tmpl w:val="926CD2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DA56777"/>
    <w:multiLevelType w:val="hybridMultilevel"/>
    <w:tmpl w:val="11C640B0"/>
    <w:lvl w:ilvl="0" w:tplc="04100005">
      <w:start w:val="1"/>
      <w:numFmt w:val="bullet"/>
      <w:lvlText w:val=""/>
      <w:lvlJc w:val="left"/>
      <w:pPr>
        <w:ind w:left="2563" w:hanging="360"/>
      </w:pPr>
      <w:rPr>
        <w:rFonts w:ascii="Wingdings" w:hAnsi="Wingdings" w:hint="default"/>
      </w:rPr>
    </w:lvl>
    <w:lvl w:ilvl="1" w:tplc="04100003" w:tentative="1">
      <w:start w:val="1"/>
      <w:numFmt w:val="bullet"/>
      <w:lvlText w:val="o"/>
      <w:lvlJc w:val="left"/>
      <w:pPr>
        <w:ind w:left="3283" w:hanging="360"/>
      </w:pPr>
      <w:rPr>
        <w:rFonts w:ascii="Courier New" w:hAnsi="Courier New" w:cs="Courier New" w:hint="default"/>
      </w:rPr>
    </w:lvl>
    <w:lvl w:ilvl="2" w:tplc="04100005" w:tentative="1">
      <w:start w:val="1"/>
      <w:numFmt w:val="bullet"/>
      <w:lvlText w:val=""/>
      <w:lvlJc w:val="left"/>
      <w:pPr>
        <w:ind w:left="4003" w:hanging="360"/>
      </w:pPr>
      <w:rPr>
        <w:rFonts w:ascii="Wingdings" w:hAnsi="Wingdings" w:hint="default"/>
      </w:rPr>
    </w:lvl>
    <w:lvl w:ilvl="3" w:tplc="04100001" w:tentative="1">
      <w:start w:val="1"/>
      <w:numFmt w:val="bullet"/>
      <w:lvlText w:val=""/>
      <w:lvlJc w:val="left"/>
      <w:pPr>
        <w:ind w:left="4723" w:hanging="360"/>
      </w:pPr>
      <w:rPr>
        <w:rFonts w:ascii="Symbol" w:hAnsi="Symbol" w:hint="default"/>
      </w:rPr>
    </w:lvl>
    <w:lvl w:ilvl="4" w:tplc="04100003" w:tentative="1">
      <w:start w:val="1"/>
      <w:numFmt w:val="bullet"/>
      <w:lvlText w:val="o"/>
      <w:lvlJc w:val="left"/>
      <w:pPr>
        <w:ind w:left="5443" w:hanging="360"/>
      </w:pPr>
      <w:rPr>
        <w:rFonts w:ascii="Courier New" w:hAnsi="Courier New" w:cs="Courier New" w:hint="default"/>
      </w:rPr>
    </w:lvl>
    <w:lvl w:ilvl="5" w:tplc="04100005" w:tentative="1">
      <w:start w:val="1"/>
      <w:numFmt w:val="bullet"/>
      <w:lvlText w:val=""/>
      <w:lvlJc w:val="left"/>
      <w:pPr>
        <w:ind w:left="6163" w:hanging="360"/>
      </w:pPr>
      <w:rPr>
        <w:rFonts w:ascii="Wingdings" w:hAnsi="Wingdings" w:hint="default"/>
      </w:rPr>
    </w:lvl>
    <w:lvl w:ilvl="6" w:tplc="04100001" w:tentative="1">
      <w:start w:val="1"/>
      <w:numFmt w:val="bullet"/>
      <w:lvlText w:val=""/>
      <w:lvlJc w:val="left"/>
      <w:pPr>
        <w:ind w:left="6883" w:hanging="360"/>
      </w:pPr>
      <w:rPr>
        <w:rFonts w:ascii="Symbol" w:hAnsi="Symbol" w:hint="default"/>
      </w:rPr>
    </w:lvl>
    <w:lvl w:ilvl="7" w:tplc="04100003" w:tentative="1">
      <w:start w:val="1"/>
      <w:numFmt w:val="bullet"/>
      <w:lvlText w:val="o"/>
      <w:lvlJc w:val="left"/>
      <w:pPr>
        <w:ind w:left="7603" w:hanging="360"/>
      </w:pPr>
      <w:rPr>
        <w:rFonts w:ascii="Courier New" w:hAnsi="Courier New" w:cs="Courier New" w:hint="default"/>
      </w:rPr>
    </w:lvl>
    <w:lvl w:ilvl="8" w:tplc="04100005" w:tentative="1">
      <w:start w:val="1"/>
      <w:numFmt w:val="bullet"/>
      <w:lvlText w:val=""/>
      <w:lvlJc w:val="left"/>
      <w:pPr>
        <w:ind w:left="8323" w:hanging="360"/>
      </w:pPr>
      <w:rPr>
        <w:rFonts w:ascii="Wingdings" w:hAnsi="Wingdings" w:hint="default"/>
      </w:rPr>
    </w:lvl>
  </w:abstractNum>
  <w:abstractNum w:abstractNumId="2" w15:restartNumberingAfterBreak="0">
    <w:nsid w:val="57A46E7F"/>
    <w:multiLevelType w:val="hybridMultilevel"/>
    <w:tmpl w:val="F99EC68E"/>
    <w:lvl w:ilvl="0" w:tplc="60065FE2">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6D3A0D8F"/>
    <w:multiLevelType w:val="hybridMultilevel"/>
    <w:tmpl w:val="1E76E11C"/>
    <w:lvl w:ilvl="0" w:tplc="CC989DD2">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6B4203F"/>
    <w:multiLevelType w:val="hybridMultilevel"/>
    <w:tmpl w:val="349E04A0"/>
    <w:lvl w:ilvl="0" w:tplc="F62EE672">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it-IT" w:vendorID="64" w:dllVersion="6" w:nlCheck="1" w:checkStyle="0"/>
  <w:activeWritingStyle w:appName="MSWord" w:lang="en-US" w:vendorID="64" w:dllVersion="6" w:nlCheck="1" w:checkStyle="1"/>
  <w:activeWritingStyle w:appName="MSWord" w:lang="fr-FR" w:vendorID="64" w:dllVersion="6" w:nlCheck="1" w:checkStyle="0"/>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en-US" w:vendorID="64" w:dllVersion="4096" w:nlCheck="1" w:checkStyle="0"/>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4FF"/>
    <w:rsid w:val="000009DB"/>
    <w:rsid w:val="00000DE6"/>
    <w:rsid w:val="00001256"/>
    <w:rsid w:val="00001763"/>
    <w:rsid w:val="000020C7"/>
    <w:rsid w:val="00002177"/>
    <w:rsid w:val="0000263D"/>
    <w:rsid w:val="00002F8E"/>
    <w:rsid w:val="000032DC"/>
    <w:rsid w:val="000038B3"/>
    <w:rsid w:val="0000396F"/>
    <w:rsid w:val="00003EDD"/>
    <w:rsid w:val="000042D0"/>
    <w:rsid w:val="000042EB"/>
    <w:rsid w:val="00005A9F"/>
    <w:rsid w:val="00005B6B"/>
    <w:rsid w:val="00005B89"/>
    <w:rsid w:val="00005C74"/>
    <w:rsid w:val="00006D10"/>
    <w:rsid w:val="00006DBC"/>
    <w:rsid w:val="00007066"/>
    <w:rsid w:val="00007402"/>
    <w:rsid w:val="00007413"/>
    <w:rsid w:val="000075FC"/>
    <w:rsid w:val="000076C4"/>
    <w:rsid w:val="0000784B"/>
    <w:rsid w:val="00007F49"/>
    <w:rsid w:val="00010170"/>
    <w:rsid w:val="00010DD6"/>
    <w:rsid w:val="00011037"/>
    <w:rsid w:val="00011F64"/>
    <w:rsid w:val="000138D7"/>
    <w:rsid w:val="000148E6"/>
    <w:rsid w:val="00014CCF"/>
    <w:rsid w:val="00014F90"/>
    <w:rsid w:val="000152B9"/>
    <w:rsid w:val="0001544F"/>
    <w:rsid w:val="000156FA"/>
    <w:rsid w:val="000159DE"/>
    <w:rsid w:val="00016731"/>
    <w:rsid w:val="00016CEB"/>
    <w:rsid w:val="00016DEC"/>
    <w:rsid w:val="00016E27"/>
    <w:rsid w:val="00017A27"/>
    <w:rsid w:val="0002025C"/>
    <w:rsid w:val="00020B5C"/>
    <w:rsid w:val="000218A3"/>
    <w:rsid w:val="00021B43"/>
    <w:rsid w:val="00022348"/>
    <w:rsid w:val="00023B4F"/>
    <w:rsid w:val="000241EA"/>
    <w:rsid w:val="0002428F"/>
    <w:rsid w:val="00024C26"/>
    <w:rsid w:val="00024C8E"/>
    <w:rsid w:val="00024DC0"/>
    <w:rsid w:val="00024FDB"/>
    <w:rsid w:val="0002505D"/>
    <w:rsid w:val="00025F57"/>
    <w:rsid w:val="00026097"/>
    <w:rsid w:val="00026E99"/>
    <w:rsid w:val="000309CD"/>
    <w:rsid w:val="00030D17"/>
    <w:rsid w:val="00031115"/>
    <w:rsid w:val="000314C2"/>
    <w:rsid w:val="00031B58"/>
    <w:rsid w:val="00031B9B"/>
    <w:rsid w:val="0003264F"/>
    <w:rsid w:val="0003298F"/>
    <w:rsid w:val="0003310B"/>
    <w:rsid w:val="0003340D"/>
    <w:rsid w:val="00033419"/>
    <w:rsid w:val="00033445"/>
    <w:rsid w:val="00033F2B"/>
    <w:rsid w:val="000341AF"/>
    <w:rsid w:val="000343A2"/>
    <w:rsid w:val="00035516"/>
    <w:rsid w:val="00036154"/>
    <w:rsid w:val="00036230"/>
    <w:rsid w:val="000363BC"/>
    <w:rsid w:val="00037319"/>
    <w:rsid w:val="00037447"/>
    <w:rsid w:val="000376EC"/>
    <w:rsid w:val="000405C5"/>
    <w:rsid w:val="00040B97"/>
    <w:rsid w:val="00040DF6"/>
    <w:rsid w:val="000410AD"/>
    <w:rsid w:val="0004131D"/>
    <w:rsid w:val="00041DC5"/>
    <w:rsid w:val="00042012"/>
    <w:rsid w:val="0004216B"/>
    <w:rsid w:val="000425AA"/>
    <w:rsid w:val="000426AD"/>
    <w:rsid w:val="000426E7"/>
    <w:rsid w:val="00042725"/>
    <w:rsid w:val="00042D1C"/>
    <w:rsid w:val="00043696"/>
    <w:rsid w:val="000444BF"/>
    <w:rsid w:val="00044BA7"/>
    <w:rsid w:val="0004526F"/>
    <w:rsid w:val="00045472"/>
    <w:rsid w:val="00046004"/>
    <w:rsid w:val="000467F2"/>
    <w:rsid w:val="000471C0"/>
    <w:rsid w:val="00047479"/>
    <w:rsid w:val="0004769F"/>
    <w:rsid w:val="000476DC"/>
    <w:rsid w:val="00047A1F"/>
    <w:rsid w:val="000507CF"/>
    <w:rsid w:val="00050808"/>
    <w:rsid w:val="00053079"/>
    <w:rsid w:val="0005356B"/>
    <w:rsid w:val="000541C4"/>
    <w:rsid w:val="000541EC"/>
    <w:rsid w:val="0005451A"/>
    <w:rsid w:val="000552CB"/>
    <w:rsid w:val="0005544C"/>
    <w:rsid w:val="000563F2"/>
    <w:rsid w:val="000579AE"/>
    <w:rsid w:val="00057A64"/>
    <w:rsid w:val="00057EFB"/>
    <w:rsid w:val="00057FCC"/>
    <w:rsid w:val="00061F11"/>
    <w:rsid w:val="00061FB2"/>
    <w:rsid w:val="00062A73"/>
    <w:rsid w:val="00062F1B"/>
    <w:rsid w:val="00062FBA"/>
    <w:rsid w:val="000635C9"/>
    <w:rsid w:val="000635D3"/>
    <w:rsid w:val="0006386B"/>
    <w:rsid w:val="00063871"/>
    <w:rsid w:val="00064102"/>
    <w:rsid w:val="0006419A"/>
    <w:rsid w:val="000641A3"/>
    <w:rsid w:val="000642D1"/>
    <w:rsid w:val="0006502E"/>
    <w:rsid w:val="000665DC"/>
    <w:rsid w:val="00066EC1"/>
    <w:rsid w:val="00066F5C"/>
    <w:rsid w:val="00066FD9"/>
    <w:rsid w:val="00067424"/>
    <w:rsid w:val="000679B2"/>
    <w:rsid w:val="00067EF6"/>
    <w:rsid w:val="0007093C"/>
    <w:rsid w:val="00070CEC"/>
    <w:rsid w:val="00070EA7"/>
    <w:rsid w:val="00070FF7"/>
    <w:rsid w:val="0007112A"/>
    <w:rsid w:val="000717CD"/>
    <w:rsid w:val="0007183B"/>
    <w:rsid w:val="000718B8"/>
    <w:rsid w:val="00071984"/>
    <w:rsid w:val="00071F99"/>
    <w:rsid w:val="00072EE8"/>
    <w:rsid w:val="0007346F"/>
    <w:rsid w:val="000737C5"/>
    <w:rsid w:val="00075049"/>
    <w:rsid w:val="00075D88"/>
    <w:rsid w:val="00075DA5"/>
    <w:rsid w:val="000761CF"/>
    <w:rsid w:val="000768FC"/>
    <w:rsid w:val="00076B04"/>
    <w:rsid w:val="00077332"/>
    <w:rsid w:val="00080193"/>
    <w:rsid w:val="00080758"/>
    <w:rsid w:val="0008089A"/>
    <w:rsid w:val="00081681"/>
    <w:rsid w:val="000819E9"/>
    <w:rsid w:val="000824CF"/>
    <w:rsid w:val="00082889"/>
    <w:rsid w:val="000828C9"/>
    <w:rsid w:val="000828FA"/>
    <w:rsid w:val="00082BE5"/>
    <w:rsid w:val="00082F25"/>
    <w:rsid w:val="00082F91"/>
    <w:rsid w:val="0008395F"/>
    <w:rsid w:val="000839B2"/>
    <w:rsid w:val="000839E6"/>
    <w:rsid w:val="00083EA8"/>
    <w:rsid w:val="00084031"/>
    <w:rsid w:val="0008427D"/>
    <w:rsid w:val="000843B1"/>
    <w:rsid w:val="00085210"/>
    <w:rsid w:val="0008573D"/>
    <w:rsid w:val="00085D39"/>
    <w:rsid w:val="00086381"/>
    <w:rsid w:val="0008701E"/>
    <w:rsid w:val="000871AA"/>
    <w:rsid w:val="000877B4"/>
    <w:rsid w:val="00087BFD"/>
    <w:rsid w:val="00087F2B"/>
    <w:rsid w:val="00090BDD"/>
    <w:rsid w:val="0009160A"/>
    <w:rsid w:val="00091938"/>
    <w:rsid w:val="00091BC3"/>
    <w:rsid w:val="00093023"/>
    <w:rsid w:val="00093832"/>
    <w:rsid w:val="00093F1E"/>
    <w:rsid w:val="000940DD"/>
    <w:rsid w:val="000940FB"/>
    <w:rsid w:val="00094BE3"/>
    <w:rsid w:val="00094CE2"/>
    <w:rsid w:val="0009519B"/>
    <w:rsid w:val="00095707"/>
    <w:rsid w:val="00096098"/>
    <w:rsid w:val="0009693B"/>
    <w:rsid w:val="000A0304"/>
    <w:rsid w:val="000A0592"/>
    <w:rsid w:val="000A1A44"/>
    <w:rsid w:val="000A225C"/>
    <w:rsid w:val="000A2B36"/>
    <w:rsid w:val="000A2C4F"/>
    <w:rsid w:val="000A2CE3"/>
    <w:rsid w:val="000A35DD"/>
    <w:rsid w:val="000A3DA6"/>
    <w:rsid w:val="000A4C57"/>
    <w:rsid w:val="000A4F3E"/>
    <w:rsid w:val="000A557B"/>
    <w:rsid w:val="000A5962"/>
    <w:rsid w:val="000A5DDD"/>
    <w:rsid w:val="000A600E"/>
    <w:rsid w:val="000A66F6"/>
    <w:rsid w:val="000A6984"/>
    <w:rsid w:val="000A7BD2"/>
    <w:rsid w:val="000B0188"/>
    <w:rsid w:val="000B22F0"/>
    <w:rsid w:val="000B2421"/>
    <w:rsid w:val="000B24CB"/>
    <w:rsid w:val="000B2771"/>
    <w:rsid w:val="000B3327"/>
    <w:rsid w:val="000B33BB"/>
    <w:rsid w:val="000B35FD"/>
    <w:rsid w:val="000B4257"/>
    <w:rsid w:val="000B4CF4"/>
    <w:rsid w:val="000B54EA"/>
    <w:rsid w:val="000B5CF0"/>
    <w:rsid w:val="000B5F30"/>
    <w:rsid w:val="000B5F37"/>
    <w:rsid w:val="000B6060"/>
    <w:rsid w:val="000B68CB"/>
    <w:rsid w:val="000B6E6E"/>
    <w:rsid w:val="000B78AF"/>
    <w:rsid w:val="000C0178"/>
    <w:rsid w:val="000C0B3C"/>
    <w:rsid w:val="000C0E96"/>
    <w:rsid w:val="000C126A"/>
    <w:rsid w:val="000C1B20"/>
    <w:rsid w:val="000C1BE6"/>
    <w:rsid w:val="000C21EE"/>
    <w:rsid w:val="000C23C8"/>
    <w:rsid w:val="000C24A9"/>
    <w:rsid w:val="000C2AF7"/>
    <w:rsid w:val="000C2E60"/>
    <w:rsid w:val="000C2FBC"/>
    <w:rsid w:val="000C3346"/>
    <w:rsid w:val="000C3ACA"/>
    <w:rsid w:val="000C40EE"/>
    <w:rsid w:val="000C4A2B"/>
    <w:rsid w:val="000C534E"/>
    <w:rsid w:val="000C53E6"/>
    <w:rsid w:val="000C5472"/>
    <w:rsid w:val="000C5D95"/>
    <w:rsid w:val="000C5DC0"/>
    <w:rsid w:val="000C683D"/>
    <w:rsid w:val="000C6A3A"/>
    <w:rsid w:val="000C6D3F"/>
    <w:rsid w:val="000C6EEB"/>
    <w:rsid w:val="000C731E"/>
    <w:rsid w:val="000C76F6"/>
    <w:rsid w:val="000C7AC2"/>
    <w:rsid w:val="000C7AF6"/>
    <w:rsid w:val="000C7E7F"/>
    <w:rsid w:val="000D01FA"/>
    <w:rsid w:val="000D067A"/>
    <w:rsid w:val="000D182E"/>
    <w:rsid w:val="000D20C3"/>
    <w:rsid w:val="000D31C3"/>
    <w:rsid w:val="000D31ED"/>
    <w:rsid w:val="000D3343"/>
    <w:rsid w:val="000D336B"/>
    <w:rsid w:val="000D39AB"/>
    <w:rsid w:val="000D3BE3"/>
    <w:rsid w:val="000D4395"/>
    <w:rsid w:val="000D46C5"/>
    <w:rsid w:val="000D4700"/>
    <w:rsid w:val="000D49B6"/>
    <w:rsid w:val="000D4A98"/>
    <w:rsid w:val="000D4EA0"/>
    <w:rsid w:val="000D5E52"/>
    <w:rsid w:val="000D5E76"/>
    <w:rsid w:val="000D61A6"/>
    <w:rsid w:val="000D758D"/>
    <w:rsid w:val="000D7F4B"/>
    <w:rsid w:val="000E01E0"/>
    <w:rsid w:val="000E18F7"/>
    <w:rsid w:val="000E2017"/>
    <w:rsid w:val="000E2097"/>
    <w:rsid w:val="000E28C7"/>
    <w:rsid w:val="000E2C69"/>
    <w:rsid w:val="000E2F7A"/>
    <w:rsid w:val="000E3177"/>
    <w:rsid w:val="000E38C4"/>
    <w:rsid w:val="000E4C5D"/>
    <w:rsid w:val="000E6647"/>
    <w:rsid w:val="000E6BAB"/>
    <w:rsid w:val="000E78C7"/>
    <w:rsid w:val="000F080C"/>
    <w:rsid w:val="000F0DE8"/>
    <w:rsid w:val="000F2103"/>
    <w:rsid w:val="000F290B"/>
    <w:rsid w:val="000F3186"/>
    <w:rsid w:val="000F4A5A"/>
    <w:rsid w:val="000F4BE2"/>
    <w:rsid w:val="000F556A"/>
    <w:rsid w:val="000F56B4"/>
    <w:rsid w:val="000F5E14"/>
    <w:rsid w:val="000F5F7E"/>
    <w:rsid w:val="000F61BC"/>
    <w:rsid w:val="000F69D0"/>
    <w:rsid w:val="000F69DD"/>
    <w:rsid w:val="000F6A24"/>
    <w:rsid w:val="000F6BD7"/>
    <w:rsid w:val="000F6D28"/>
    <w:rsid w:val="000F71E1"/>
    <w:rsid w:val="000F7202"/>
    <w:rsid w:val="000F73C6"/>
    <w:rsid w:val="000F7425"/>
    <w:rsid w:val="000F7EE1"/>
    <w:rsid w:val="00100953"/>
    <w:rsid w:val="001009E0"/>
    <w:rsid w:val="00101A70"/>
    <w:rsid w:val="00101EBD"/>
    <w:rsid w:val="00102064"/>
    <w:rsid w:val="00102103"/>
    <w:rsid w:val="00102185"/>
    <w:rsid w:val="00102284"/>
    <w:rsid w:val="00102332"/>
    <w:rsid w:val="00102379"/>
    <w:rsid w:val="00102890"/>
    <w:rsid w:val="00102CFD"/>
    <w:rsid w:val="001035E3"/>
    <w:rsid w:val="001038B2"/>
    <w:rsid w:val="00104020"/>
    <w:rsid w:val="001042B2"/>
    <w:rsid w:val="00104474"/>
    <w:rsid w:val="00104835"/>
    <w:rsid w:val="00104E17"/>
    <w:rsid w:val="001051FB"/>
    <w:rsid w:val="00105931"/>
    <w:rsid w:val="001059FA"/>
    <w:rsid w:val="00107CB3"/>
    <w:rsid w:val="0011039A"/>
    <w:rsid w:val="00110E39"/>
    <w:rsid w:val="00111A23"/>
    <w:rsid w:val="00111DB1"/>
    <w:rsid w:val="001122CA"/>
    <w:rsid w:val="00112B06"/>
    <w:rsid w:val="00112D4E"/>
    <w:rsid w:val="00112DB1"/>
    <w:rsid w:val="00113587"/>
    <w:rsid w:val="001136D4"/>
    <w:rsid w:val="00114471"/>
    <w:rsid w:val="0011459A"/>
    <w:rsid w:val="00115A9B"/>
    <w:rsid w:val="00116BF2"/>
    <w:rsid w:val="001178D5"/>
    <w:rsid w:val="00117C9A"/>
    <w:rsid w:val="00117FB6"/>
    <w:rsid w:val="00117FE2"/>
    <w:rsid w:val="00120AD6"/>
    <w:rsid w:val="00120B77"/>
    <w:rsid w:val="001227EC"/>
    <w:rsid w:val="0012282C"/>
    <w:rsid w:val="00122914"/>
    <w:rsid w:val="00123033"/>
    <w:rsid w:val="00123063"/>
    <w:rsid w:val="00123934"/>
    <w:rsid w:val="0012394C"/>
    <w:rsid w:val="00123A55"/>
    <w:rsid w:val="00124010"/>
    <w:rsid w:val="0012418E"/>
    <w:rsid w:val="00124944"/>
    <w:rsid w:val="001249FF"/>
    <w:rsid w:val="001255CB"/>
    <w:rsid w:val="00125DBF"/>
    <w:rsid w:val="001266B6"/>
    <w:rsid w:val="00126DF1"/>
    <w:rsid w:val="00126E99"/>
    <w:rsid w:val="00127A7C"/>
    <w:rsid w:val="00131166"/>
    <w:rsid w:val="001313E0"/>
    <w:rsid w:val="00131B50"/>
    <w:rsid w:val="001321B6"/>
    <w:rsid w:val="00132A04"/>
    <w:rsid w:val="00132FDB"/>
    <w:rsid w:val="00133310"/>
    <w:rsid w:val="00133588"/>
    <w:rsid w:val="001335FF"/>
    <w:rsid w:val="001341C5"/>
    <w:rsid w:val="001349F8"/>
    <w:rsid w:val="00134D86"/>
    <w:rsid w:val="001350C3"/>
    <w:rsid w:val="001352EA"/>
    <w:rsid w:val="00135378"/>
    <w:rsid w:val="00135B30"/>
    <w:rsid w:val="00135B50"/>
    <w:rsid w:val="00135FCE"/>
    <w:rsid w:val="00136280"/>
    <w:rsid w:val="001365DB"/>
    <w:rsid w:val="001365F6"/>
    <w:rsid w:val="00136A09"/>
    <w:rsid w:val="0013790F"/>
    <w:rsid w:val="00137C1A"/>
    <w:rsid w:val="00137D7F"/>
    <w:rsid w:val="00137F07"/>
    <w:rsid w:val="00140586"/>
    <w:rsid w:val="001408FB"/>
    <w:rsid w:val="001412B0"/>
    <w:rsid w:val="0014196D"/>
    <w:rsid w:val="00141C03"/>
    <w:rsid w:val="00142368"/>
    <w:rsid w:val="00142F00"/>
    <w:rsid w:val="0014327D"/>
    <w:rsid w:val="0014340B"/>
    <w:rsid w:val="00144362"/>
    <w:rsid w:val="0014476F"/>
    <w:rsid w:val="001451A2"/>
    <w:rsid w:val="001471E6"/>
    <w:rsid w:val="00147645"/>
    <w:rsid w:val="001512E9"/>
    <w:rsid w:val="001517D8"/>
    <w:rsid w:val="001519D2"/>
    <w:rsid w:val="001523E8"/>
    <w:rsid w:val="00152606"/>
    <w:rsid w:val="001526DB"/>
    <w:rsid w:val="0015284C"/>
    <w:rsid w:val="001529A0"/>
    <w:rsid w:val="00152C53"/>
    <w:rsid w:val="00152D42"/>
    <w:rsid w:val="00152D5A"/>
    <w:rsid w:val="00153311"/>
    <w:rsid w:val="001544C2"/>
    <w:rsid w:val="00154705"/>
    <w:rsid w:val="00154931"/>
    <w:rsid w:val="00155044"/>
    <w:rsid w:val="00156870"/>
    <w:rsid w:val="0015705D"/>
    <w:rsid w:val="00157219"/>
    <w:rsid w:val="00157F5E"/>
    <w:rsid w:val="0016074E"/>
    <w:rsid w:val="00160D9C"/>
    <w:rsid w:val="00161868"/>
    <w:rsid w:val="00161959"/>
    <w:rsid w:val="00161A02"/>
    <w:rsid w:val="00161F4E"/>
    <w:rsid w:val="0016246E"/>
    <w:rsid w:val="00162614"/>
    <w:rsid w:val="00162B1F"/>
    <w:rsid w:val="00162F75"/>
    <w:rsid w:val="0016359C"/>
    <w:rsid w:val="00163CE2"/>
    <w:rsid w:val="00164274"/>
    <w:rsid w:val="00165544"/>
    <w:rsid w:val="001661BE"/>
    <w:rsid w:val="001663CB"/>
    <w:rsid w:val="0016669C"/>
    <w:rsid w:val="00166B6E"/>
    <w:rsid w:val="00166CBD"/>
    <w:rsid w:val="00166DC0"/>
    <w:rsid w:val="00167170"/>
    <w:rsid w:val="00167329"/>
    <w:rsid w:val="00167998"/>
    <w:rsid w:val="001702D4"/>
    <w:rsid w:val="00170CD2"/>
    <w:rsid w:val="00171303"/>
    <w:rsid w:val="0017149D"/>
    <w:rsid w:val="001715AE"/>
    <w:rsid w:val="00171977"/>
    <w:rsid w:val="00171AE9"/>
    <w:rsid w:val="00172090"/>
    <w:rsid w:val="0017287A"/>
    <w:rsid w:val="00173008"/>
    <w:rsid w:val="0017373F"/>
    <w:rsid w:val="00173928"/>
    <w:rsid w:val="00173DFE"/>
    <w:rsid w:val="001748B1"/>
    <w:rsid w:val="00174FE1"/>
    <w:rsid w:val="00175237"/>
    <w:rsid w:val="001754E7"/>
    <w:rsid w:val="00176707"/>
    <w:rsid w:val="00176D20"/>
    <w:rsid w:val="0018019C"/>
    <w:rsid w:val="00180E98"/>
    <w:rsid w:val="00181074"/>
    <w:rsid w:val="00181263"/>
    <w:rsid w:val="001815CC"/>
    <w:rsid w:val="00181A18"/>
    <w:rsid w:val="00181C60"/>
    <w:rsid w:val="001823DE"/>
    <w:rsid w:val="00182588"/>
    <w:rsid w:val="00182894"/>
    <w:rsid w:val="00183B79"/>
    <w:rsid w:val="0018414D"/>
    <w:rsid w:val="00184D99"/>
    <w:rsid w:val="00186B08"/>
    <w:rsid w:val="00187341"/>
    <w:rsid w:val="00190006"/>
    <w:rsid w:val="00190800"/>
    <w:rsid w:val="00191477"/>
    <w:rsid w:val="001917F1"/>
    <w:rsid w:val="00191A38"/>
    <w:rsid w:val="00191EA1"/>
    <w:rsid w:val="00192601"/>
    <w:rsid w:val="00193384"/>
    <w:rsid w:val="00193416"/>
    <w:rsid w:val="00193A8D"/>
    <w:rsid w:val="00193AB3"/>
    <w:rsid w:val="00194F41"/>
    <w:rsid w:val="0019500F"/>
    <w:rsid w:val="00195299"/>
    <w:rsid w:val="00195481"/>
    <w:rsid w:val="001958B2"/>
    <w:rsid w:val="0019616E"/>
    <w:rsid w:val="0019643B"/>
    <w:rsid w:val="0019745C"/>
    <w:rsid w:val="00197C56"/>
    <w:rsid w:val="00197D76"/>
    <w:rsid w:val="001A0217"/>
    <w:rsid w:val="001A10B4"/>
    <w:rsid w:val="001A10C1"/>
    <w:rsid w:val="001A1346"/>
    <w:rsid w:val="001A29C8"/>
    <w:rsid w:val="001A323D"/>
    <w:rsid w:val="001A33BC"/>
    <w:rsid w:val="001A3DF4"/>
    <w:rsid w:val="001A4277"/>
    <w:rsid w:val="001A47F8"/>
    <w:rsid w:val="001A4C6D"/>
    <w:rsid w:val="001A5303"/>
    <w:rsid w:val="001A56DC"/>
    <w:rsid w:val="001A5853"/>
    <w:rsid w:val="001A611B"/>
    <w:rsid w:val="001A62B0"/>
    <w:rsid w:val="001A62B5"/>
    <w:rsid w:val="001A63F6"/>
    <w:rsid w:val="001A72CC"/>
    <w:rsid w:val="001A7CAF"/>
    <w:rsid w:val="001A7F1A"/>
    <w:rsid w:val="001A7FDC"/>
    <w:rsid w:val="001B0979"/>
    <w:rsid w:val="001B0AC8"/>
    <w:rsid w:val="001B2315"/>
    <w:rsid w:val="001B28E8"/>
    <w:rsid w:val="001B41C2"/>
    <w:rsid w:val="001B4896"/>
    <w:rsid w:val="001B4D79"/>
    <w:rsid w:val="001B5931"/>
    <w:rsid w:val="001B59AD"/>
    <w:rsid w:val="001B6373"/>
    <w:rsid w:val="001B64E1"/>
    <w:rsid w:val="001B70A5"/>
    <w:rsid w:val="001B73B1"/>
    <w:rsid w:val="001B743D"/>
    <w:rsid w:val="001B745D"/>
    <w:rsid w:val="001B74E8"/>
    <w:rsid w:val="001C0092"/>
    <w:rsid w:val="001C0AFB"/>
    <w:rsid w:val="001C0BF3"/>
    <w:rsid w:val="001C1BF9"/>
    <w:rsid w:val="001C3445"/>
    <w:rsid w:val="001C3C75"/>
    <w:rsid w:val="001C3E12"/>
    <w:rsid w:val="001C5221"/>
    <w:rsid w:val="001C5AA3"/>
    <w:rsid w:val="001C6222"/>
    <w:rsid w:val="001C635F"/>
    <w:rsid w:val="001C6D75"/>
    <w:rsid w:val="001C6DB4"/>
    <w:rsid w:val="001C77B0"/>
    <w:rsid w:val="001C7865"/>
    <w:rsid w:val="001D0137"/>
    <w:rsid w:val="001D0ABF"/>
    <w:rsid w:val="001D0BC6"/>
    <w:rsid w:val="001D0EB7"/>
    <w:rsid w:val="001D167C"/>
    <w:rsid w:val="001D1831"/>
    <w:rsid w:val="001D1A81"/>
    <w:rsid w:val="001D1C14"/>
    <w:rsid w:val="001D2281"/>
    <w:rsid w:val="001D3DA7"/>
    <w:rsid w:val="001D475E"/>
    <w:rsid w:val="001D4AA6"/>
    <w:rsid w:val="001D5186"/>
    <w:rsid w:val="001D5578"/>
    <w:rsid w:val="001D6301"/>
    <w:rsid w:val="001D636E"/>
    <w:rsid w:val="001D64EE"/>
    <w:rsid w:val="001D6BC4"/>
    <w:rsid w:val="001D6FBA"/>
    <w:rsid w:val="001D7102"/>
    <w:rsid w:val="001D75A9"/>
    <w:rsid w:val="001D7A31"/>
    <w:rsid w:val="001D7A7B"/>
    <w:rsid w:val="001D7ED4"/>
    <w:rsid w:val="001E1A58"/>
    <w:rsid w:val="001E1BA2"/>
    <w:rsid w:val="001E2186"/>
    <w:rsid w:val="001E3839"/>
    <w:rsid w:val="001E3D1B"/>
    <w:rsid w:val="001E3DFD"/>
    <w:rsid w:val="001E42F3"/>
    <w:rsid w:val="001E49F5"/>
    <w:rsid w:val="001E4E8C"/>
    <w:rsid w:val="001E505F"/>
    <w:rsid w:val="001E68A0"/>
    <w:rsid w:val="001E6ADD"/>
    <w:rsid w:val="001E6D2C"/>
    <w:rsid w:val="001E6F1D"/>
    <w:rsid w:val="001E74F0"/>
    <w:rsid w:val="001E76BB"/>
    <w:rsid w:val="001E78E1"/>
    <w:rsid w:val="001E7FE0"/>
    <w:rsid w:val="001F1088"/>
    <w:rsid w:val="001F1697"/>
    <w:rsid w:val="001F1F1A"/>
    <w:rsid w:val="001F23F1"/>
    <w:rsid w:val="001F2C5D"/>
    <w:rsid w:val="001F2DCA"/>
    <w:rsid w:val="001F3BCC"/>
    <w:rsid w:val="001F470C"/>
    <w:rsid w:val="001F486C"/>
    <w:rsid w:val="001F533E"/>
    <w:rsid w:val="001F58C7"/>
    <w:rsid w:val="001F5B1C"/>
    <w:rsid w:val="001F5D7B"/>
    <w:rsid w:val="001F6042"/>
    <w:rsid w:val="001F609C"/>
    <w:rsid w:val="001F61BA"/>
    <w:rsid w:val="001F6235"/>
    <w:rsid w:val="001F6677"/>
    <w:rsid w:val="00200044"/>
    <w:rsid w:val="002000AC"/>
    <w:rsid w:val="0020087D"/>
    <w:rsid w:val="00201A94"/>
    <w:rsid w:val="00202C51"/>
    <w:rsid w:val="00202D8A"/>
    <w:rsid w:val="00202E62"/>
    <w:rsid w:val="00202E8C"/>
    <w:rsid w:val="00203EA5"/>
    <w:rsid w:val="00203F9E"/>
    <w:rsid w:val="0020556C"/>
    <w:rsid w:val="002055E6"/>
    <w:rsid w:val="002056F7"/>
    <w:rsid w:val="00205ADF"/>
    <w:rsid w:val="00205C2C"/>
    <w:rsid w:val="00205D0A"/>
    <w:rsid w:val="00205EEB"/>
    <w:rsid w:val="00206DEE"/>
    <w:rsid w:val="002072B2"/>
    <w:rsid w:val="00207BEF"/>
    <w:rsid w:val="00207D9C"/>
    <w:rsid w:val="002103C3"/>
    <w:rsid w:val="002107CB"/>
    <w:rsid w:val="0021085C"/>
    <w:rsid w:val="002108F3"/>
    <w:rsid w:val="00210DA8"/>
    <w:rsid w:val="00210DE0"/>
    <w:rsid w:val="00210FBA"/>
    <w:rsid w:val="002116AD"/>
    <w:rsid w:val="0021197E"/>
    <w:rsid w:val="00212529"/>
    <w:rsid w:val="002130DB"/>
    <w:rsid w:val="00213727"/>
    <w:rsid w:val="002137BA"/>
    <w:rsid w:val="00214722"/>
    <w:rsid w:val="00214B49"/>
    <w:rsid w:val="0021599E"/>
    <w:rsid w:val="00215A26"/>
    <w:rsid w:val="00215A97"/>
    <w:rsid w:val="00215FD0"/>
    <w:rsid w:val="00220D5E"/>
    <w:rsid w:val="00221079"/>
    <w:rsid w:val="002215F3"/>
    <w:rsid w:val="00221BBC"/>
    <w:rsid w:val="0022218D"/>
    <w:rsid w:val="002222D4"/>
    <w:rsid w:val="00222966"/>
    <w:rsid w:val="00222B19"/>
    <w:rsid w:val="002230CA"/>
    <w:rsid w:val="00223A4F"/>
    <w:rsid w:val="00223AB6"/>
    <w:rsid w:val="00223B10"/>
    <w:rsid w:val="00223BB5"/>
    <w:rsid w:val="00224936"/>
    <w:rsid w:val="002249ED"/>
    <w:rsid w:val="00224C99"/>
    <w:rsid w:val="00225077"/>
    <w:rsid w:val="00225A82"/>
    <w:rsid w:val="00225BE8"/>
    <w:rsid w:val="00225E1C"/>
    <w:rsid w:val="002260C0"/>
    <w:rsid w:val="00226116"/>
    <w:rsid w:val="002268E7"/>
    <w:rsid w:val="00226938"/>
    <w:rsid w:val="00226C04"/>
    <w:rsid w:val="00226FE1"/>
    <w:rsid w:val="0022751D"/>
    <w:rsid w:val="00230239"/>
    <w:rsid w:val="00230362"/>
    <w:rsid w:val="00230982"/>
    <w:rsid w:val="00230AF5"/>
    <w:rsid w:val="00230B01"/>
    <w:rsid w:val="00230DD7"/>
    <w:rsid w:val="00231B17"/>
    <w:rsid w:val="002321B7"/>
    <w:rsid w:val="002323B9"/>
    <w:rsid w:val="002330DF"/>
    <w:rsid w:val="00233104"/>
    <w:rsid w:val="00233B0C"/>
    <w:rsid w:val="00234EA3"/>
    <w:rsid w:val="0023528D"/>
    <w:rsid w:val="00235FE9"/>
    <w:rsid w:val="00236C19"/>
    <w:rsid w:val="00236F6F"/>
    <w:rsid w:val="00240008"/>
    <w:rsid w:val="002402C9"/>
    <w:rsid w:val="00240909"/>
    <w:rsid w:val="002413D8"/>
    <w:rsid w:val="00243DDC"/>
    <w:rsid w:val="00243F15"/>
    <w:rsid w:val="002441D9"/>
    <w:rsid w:val="00244329"/>
    <w:rsid w:val="0024497E"/>
    <w:rsid w:val="00245F45"/>
    <w:rsid w:val="00246065"/>
    <w:rsid w:val="00246642"/>
    <w:rsid w:val="0024697E"/>
    <w:rsid w:val="0024708F"/>
    <w:rsid w:val="00247E37"/>
    <w:rsid w:val="00247E60"/>
    <w:rsid w:val="002502DD"/>
    <w:rsid w:val="00250448"/>
    <w:rsid w:val="00250464"/>
    <w:rsid w:val="002508E2"/>
    <w:rsid w:val="00250A8D"/>
    <w:rsid w:val="002512B2"/>
    <w:rsid w:val="00251CA6"/>
    <w:rsid w:val="00251E12"/>
    <w:rsid w:val="002521EC"/>
    <w:rsid w:val="0025287B"/>
    <w:rsid w:val="002533A7"/>
    <w:rsid w:val="002538B8"/>
    <w:rsid w:val="00253B14"/>
    <w:rsid w:val="002542DD"/>
    <w:rsid w:val="00254523"/>
    <w:rsid w:val="00254534"/>
    <w:rsid w:val="00254851"/>
    <w:rsid w:val="00254DEE"/>
    <w:rsid w:val="002556BD"/>
    <w:rsid w:val="0025592D"/>
    <w:rsid w:val="00255A74"/>
    <w:rsid w:val="00255D3D"/>
    <w:rsid w:val="002562AC"/>
    <w:rsid w:val="00256667"/>
    <w:rsid w:val="002568ED"/>
    <w:rsid w:val="00257003"/>
    <w:rsid w:val="002573E5"/>
    <w:rsid w:val="0025762A"/>
    <w:rsid w:val="00257F7D"/>
    <w:rsid w:val="002604A1"/>
    <w:rsid w:val="002611C0"/>
    <w:rsid w:val="00261723"/>
    <w:rsid w:val="002617CA"/>
    <w:rsid w:val="002617E8"/>
    <w:rsid w:val="00261BED"/>
    <w:rsid w:val="00261E46"/>
    <w:rsid w:val="0026334D"/>
    <w:rsid w:val="00263991"/>
    <w:rsid w:val="00264171"/>
    <w:rsid w:val="00264598"/>
    <w:rsid w:val="00264BF7"/>
    <w:rsid w:val="00264C17"/>
    <w:rsid w:val="00264DC5"/>
    <w:rsid w:val="00265447"/>
    <w:rsid w:val="002655FE"/>
    <w:rsid w:val="00265C6F"/>
    <w:rsid w:val="00266531"/>
    <w:rsid w:val="002665A8"/>
    <w:rsid w:val="0026690D"/>
    <w:rsid w:val="00266C71"/>
    <w:rsid w:val="00266CC5"/>
    <w:rsid w:val="00266F17"/>
    <w:rsid w:val="00266FC8"/>
    <w:rsid w:val="002674BB"/>
    <w:rsid w:val="00267B93"/>
    <w:rsid w:val="00267E30"/>
    <w:rsid w:val="002700BA"/>
    <w:rsid w:val="00270E8B"/>
    <w:rsid w:val="0027179B"/>
    <w:rsid w:val="00271B23"/>
    <w:rsid w:val="00271E27"/>
    <w:rsid w:val="00271EB8"/>
    <w:rsid w:val="0027204B"/>
    <w:rsid w:val="002722DA"/>
    <w:rsid w:val="00272675"/>
    <w:rsid w:val="00273157"/>
    <w:rsid w:val="0027327E"/>
    <w:rsid w:val="002734A4"/>
    <w:rsid w:val="00273554"/>
    <w:rsid w:val="00273608"/>
    <w:rsid w:val="00273A74"/>
    <w:rsid w:val="00273DE2"/>
    <w:rsid w:val="0027476C"/>
    <w:rsid w:val="00274B00"/>
    <w:rsid w:val="00274B22"/>
    <w:rsid w:val="00274C09"/>
    <w:rsid w:val="00274CE3"/>
    <w:rsid w:val="002754C1"/>
    <w:rsid w:val="00275E9E"/>
    <w:rsid w:val="00275EB9"/>
    <w:rsid w:val="00275F5F"/>
    <w:rsid w:val="002768E4"/>
    <w:rsid w:val="00276BE2"/>
    <w:rsid w:val="00276E1E"/>
    <w:rsid w:val="00277EAA"/>
    <w:rsid w:val="0028087D"/>
    <w:rsid w:val="00280C4D"/>
    <w:rsid w:val="00280D9C"/>
    <w:rsid w:val="00281BBF"/>
    <w:rsid w:val="002820B8"/>
    <w:rsid w:val="002822D3"/>
    <w:rsid w:val="002825D9"/>
    <w:rsid w:val="0028289B"/>
    <w:rsid w:val="00282971"/>
    <w:rsid w:val="00283525"/>
    <w:rsid w:val="00283DE8"/>
    <w:rsid w:val="00285170"/>
    <w:rsid w:val="00285DEF"/>
    <w:rsid w:val="0028627A"/>
    <w:rsid w:val="002863C8"/>
    <w:rsid w:val="00286634"/>
    <w:rsid w:val="00286831"/>
    <w:rsid w:val="0028727D"/>
    <w:rsid w:val="002875E5"/>
    <w:rsid w:val="0028770D"/>
    <w:rsid w:val="00287928"/>
    <w:rsid w:val="00287C3D"/>
    <w:rsid w:val="002904EE"/>
    <w:rsid w:val="0029078D"/>
    <w:rsid w:val="0029188E"/>
    <w:rsid w:val="00291A83"/>
    <w:rsid w:val="00291BC0"/>
    <w:rsid w:val="00291BF2"/>
    <w:rsid w:val="002921F2"/>
    <w:rsid w:val="00292976"/>
    <w:rsid w:val="00292DDC"/>
    <w:rsid w:val="002940AA"/>
    <w:rsid w:val="002940B7"/>
    <w:rsid w:val="00294828"/>
    <w:rsid w:val="00294ACF"/>
    <w:rsid w:val="00294AE2"/>
    <w:rsid w:val="00294DC2"/>
    <w:rsid w:val="00294E5A"/>
    <w:rsid w:val="00295A3D"/>
    <w:rsid w:val="00295F01"/>
    <w:rsid w:val="002963E4"/>
    <w:rsid w:val="00296527"/>
    <w:rsid w:val="002970D4"/>
    <w:rsid w:val="00297545"/>
    <w:rsid w:val="00297F6F"/>
    <w:rsid w:val="002A07C4"/>
    <w:rsid w:val="002A0D85"/>
    <w:rsid w:val="002A18E8"/>
    <w:rsid w:val="002A1EED"/>
    <w:rsid w:val="002A2732"/>
    <w:rsid w:val="002A2D78"/>
    <w:rsid w:val="002A2E4A"/>
    <w:rsid w:val="002A2EA8"/>
    <w:rsid w:val="002A30FE"/>
    <w:rsid w:val="002A449E"/>
    <w:rsid w:val="002A44F5"/>
    <w:rsid w:val="002A4BA6"/>
    <w:rsid w:val="002A5097"/>
    <w:rsid w:val="002A5F61"/>
    <w:rsid w:val="002A6126"/>
    <w:rsid w:val="002A68E6"/>
    <w:rsid w:val="002A6BD1"/>
    <w:rsid w:val="002A7521"/>
    <w:rsid w:val="002B009A"/>
    <w:rsid w:val="002B08A8"/>
    <w:rsid w:val="002B1053"/>
    <w:rsid w:val="002B2036"/>
    <w:rsid w:val="002B21B3"/>
    <w:rsid w:val="002B32F4"/>
    <w:rsid w:val="002B3C24"/>
    <w:rsid w:val="002B3D4B"/>
    <w:rsid w:val="002B4A54"/>
    <w:rsid w:val="002B5038"/>
    <w:rsid w:val="002B5E2C"/>
    <w:rsid w:val="002B6104"/>
    <w:rsid w:val="002B7418"/>
    <w:rsid w:val="002B7697"/>
    <w:rsid w:val="002C1267"/>
    <w:rsid w:val="002C1955"/>
    <w:rsid w:val="002C1AD7"/>
    <w:rsid w:val="002C24B2"/>
    <w:rsid w:val="002C4572"/>
    <w:rsid w:val="002C47AA"/>
    <w:rsid w:val="002C50EC"/>
    <w:rsid w:val="002C6E99"/>
    <w:rsid w:val="002C6EE8"/>
    <w:rsid w:val="002C79A8"/>
    <w:rsid w:val="002C7B51"/>
    <w:rsid w:val="002D081B"/>
    <w:rsid w:val="002D09B4"/>
    <w:rsid w:val="002D1385"/>
    <w:rsid w:val="002D18E7"/>
    <w:rsid w:val="002D1983"/>
    <w:rsid w:val="002D2112"/>
    <w:rsid w:val="002D24F9"/>
    <w:rsid w:val="002D2882"/>
    <w:rsid w:val="002D2A78"/>
    <w:rsid w:val="002D3C11"/>
    <w:rsid w:val="002D50B5"/>
    <w:rsid w:val="002D51F5"/>
    <w:rsid w:val="002D5AFB"/>
    <w:rsid w:val="002D5ECA"/>
    <w:rsid w:val="002D6302"/>
    <w:rsid w:val="002D635F"/>
    <w:rsid w:val="002D6C8C"/>
    <w:rsid w:val="002D6DF0"/>
    <w:rsid w:val="002D72B5"/>
    <w:rsid w:val="002D7B59"/>
    <w:rsid w:val="002D7EAD"/>
    <w:rsid w:val="002E0444"/>
    <w:rsid w:val="002E11AD"/>
    <w:rsid w:val="002E1B1D"/>
    <w:rsid w:val="002E2493"/>
    <w:rsid w:val="002E2D2D"/>
    <w:rsid w:val="002E33E4"/>
    <w:rsid w:val="002E47FC"/>
    <w:rsid w:val="002E500A"/>
    <w:rsid w:val="002E5080"/>
    <w:rsid w:val="002E5123"/>
    <w:rsid w:val="002E52BB"/>
    <w:rsid w:val="002E5718"/>
    <w:rsid w:val="002E5742"/>
    <w:rsid w:val="002E696B"/>
    <w:rsid w:val="002E6A9F"/>
    <w:rsid w:val="002E6B7E"/>
    <w:rsid w:val="002E7582"/>
    <w:rsid w:val="002E7B82"/>
    <w:rsid w:val="002F0055"/>
    <w:rsid w:val="002F00AA"/>
    <w:rsid w:val="002F0454"/>
    <w:rsid w:val="002F065D"/>
    <w:rsid w:val="002F0C7D"/>
    <w:rsid w:val="002F10BE"/>
    <w:rsid w:val="002F118D"/>
    <w:rsid w:val="002F18DC"/>
    <w:rsid w:val="002F21BB"/>
    <w:rsid w:val="002F21DF"/>
    <w:rsid w:val="002F286F"/>
    <w:rsid w:val="002F321C"/>
    <w:rsid w:val="002F3A78"/>
    <w:rsid w:val="002F3B79"/>
    <w:rsid w:val="002F404B"/>
    <w:rsid w:val="002F43FC"/>
    <w:rsid w:val="002F4C00"/>
    <w:rsid w:val="002F5575"/>
    <w:rsid w:val="002F59D2"/>
    <w:rsid w:val="002F65BF"/>
    <w:rsid w:val="002F6D38"/>
    <w:rsid w:val="002F78F5"/>
    <w:rsid w:val="00300653"/>
    <w:rsid w:val="00300BC6"/>
    <w:rsid w:val="00301557"/>
    <w:rsid w:val="0030308F"/>
    <w:rsid w:val="003032B0"/>
    <w:rsid w:val="003040AC"/>
    <w:rsid w:val="00304C63"/>
    <w:rsid w:val="00305031"/>
    <w:rsid w:val="0030586D"/>
    <w:rsid w:val="00305A32"/>
    <w:rsid w:val="00306E0D"/>
    <w:rsid w:val="00306EB3"/>
    <w:rsid w:val="0030749A"/>
    <w:rsid w:val="0030756B"/>
    <w:rsid w:val="00307710"/>
    <w:rsid w:val="00307AD2"/>
    <w:rsid w:val="00307EC2"/>
    <w:rsid w:val="003105F9"/>
    <w:rsid w:val="0031188E"/>
    <w:rsid w:val="00311F7E"/>
    <w:rsid w:val="003122DE"/>
    <w:rsid w:val="00312929"/>
    <w:rsid w:val="0031341C"/>
    <w:rsid w:val="003138E9"/>
    <w:rsid w:val="003139B1"/>
    <w:rsid w:val="003146DB"/>
    <w:rsid w:val="00314EF2"/>
    <w:rsid w:val="003152CD"/>
    <w:rsid w:val="0031554F"/>
    <w:rsid w:val="003158F5"/>
    <w:rsid w:val="00315A68"/>
    <w:rsid w:val="00316252"/>
    <w:rsid w:val="00316645"/>
    <w:rsid w:val="0031685A"/>
    <w:rsid w:val="00316FF8"/>
    <w:rsid w:val="003172DF"/>
    <w:rsid w:val="0031771A"/>
    <w:rsid w:val="00317B3E"/>
    <w:rsid w:val="003215E2"/>
    <w:rsid w:val="0032369B"/>
    <w:rsid w:val="00323DB3"/>
    <w:rsid w:val="00323E06"/>
    <w:rsid w:val="003243EA"/>
    <w:rsid w:val="003247E0"/>
    <w:rsid w:val="00325071"/>
    <w:rsid w:val="003253DD"/>
    <w:rsid w:val="0032618C"/>
    <w:rsid w:val="003264B0"/>
    <w:rsid w:val="00327102"/>
    <w:rsid w:val="00327940"/>
    <w:rsid w:val="00330AEC"/>
    <w:rsid w:val="00330E06"/>
    <w:rsid w:val="00331241"/>
    <w:rsid w:val="003312EE"/>
    <w:rsid w:val="00332547"/>
    <w:rsid w:val="00333BDB"/>
    <w:rsid w:val="0033409A"/>
    <w:rsid w:val="003342E0"/>
    <w:rsid w:val="00334605"/>
    <w:rsid w:val="00334722"/>
    <w:rsid w:val="00334AF5"/>
    <w:rsid w:val="00334BE0"/>
    <w:rsid w:val="003356A0"/>
    <w:rsid w:val="00335C9C"/>
    <w:rsid w:val="003363F4"/>
    <w:rsid w:val="00336937"/>
    <w:rsid w:val="003373DE"/>
    <w:rsid w:val="003379EA"/>
    <w:rsid w:val="00337E22"/>
    <w:rsid w:val="00340275"/>
    <w:rsid w:val="003402B8"/>
    <w:rsid w:val="003406B4"/>
    <w:rsid w:val="003406F1"/>
    <w:rsid w:val="00340A11"/>
    <w:rsid w:val="00340BE6"/>
    <w:rsid w:val="00340C79"/>
    <w:rsid w:val="00340EC1"/>
    <w:rsid w:val="00340F38"/>
    <w:rsid w:val="00341069"/>
    <w:rsid w:val="00341F1D"/>
    <w:rsid w:val="00342437"/>
    <w:rsid w:val="00342438"/>
    <w:rsid w:val="003429BF"/>
    <w:rsid w:val="00342E0A"/>
    <w:rsid w:val="003430E3"/>
    <w:rsid w:val="00343312"/>
    <w:rsid w:val="00343686"/>
    <w:rsid w:val="00343D4E"/>
    <w:rsid w:val="00343E06"/>
    <w:rsid w:val="0034404A"/>
    <w:rsid w:val="00344406"/>
    <w:rsid w:val="0034451B"/>
    <w:rsid w:val="003446BA"/>
    <w:rsid w:val="003447CD"/>
    <w:rsid w:val="003448E7"/>
    <w:rsid w:val="00345BD9"/>
    <w:rsid w:val="00345F0A"/>
    <w:rsid w:val="0034637D"/>
    <w:rsid w:val="003463DA"/>
    <w:rsid w:val="00347588"/>
    <w:rsid w:val="00350415"/>
    <w:rsid w:val="0035093A"/>
    <w:rsid w:val="003510C4"/>
    <w:rsid w:val="003510CE"/>
    <w:rsid w:val="00351D51"/>
    <w:rsid w:val="00352475"/>
    <w:rsid w:val="003539E4"/>
    <w:rsid w:val="00353F2A"/>
    <w:rsid w:val="00355360"/>
    <w:rsid w:val="003558F7"/>
    <w:rsid w:val="003560BB"/>
    <w:rsid w:val="003563A6"/>
    <w:rsid w:val="00356C84"/>
    <w:rsid w:val="00356C85"/>
    <w:rsid w:val="00356FFD"/>
    <w:rsid w:val="003600B1"/>
    <w:rsid w:val="00360674"/>
    <w:rsid w:val="003617DE"/>
    <w:rsid w:val="00362419"/>
    <w:rsid w:val="0036278B"/>
    <w:rsid w:val="003629F7"/>
    <w:rsid w:val="00363685"/>
    <w:rsid w:val="00363B41"/>
    <w:rsid w:val="00364030"/>
    <w:rsid w:val="0036488D"/>
    <w:rsid w:val="00365AA3"/>
    <w:rsid w:val="00365D0A"/>
    <w:rsid w:val="00365EFF"/>
    <w:rsid w:val="003660EB"/>
    <w:rsid w:val="003669F9"/>
    <w:rsid w:val="00366E37"/>
    <w:rsid w:val="00366EDD"/>
    <w:rsid w:val="00366EEA"/>
    <w:rsid w:val="0036799C"/>
    <w:rsid w:val="00367A0C"/>
    <w:rsid w:val="003705AB"/>
    <w:rsid w:val="0037067A"/>
    <w:rsid w:val="00370759"/>
    <w:rsid w:val="00370B1E"/>
    <w:rsid w:val="00370FD4"/>
    <w:rsid w:val="0037230A"/>
    <w:rsid w:val="00372719"/>
    <w:rsid w:val="00372D41"/>
    <w:rsid w:val="00373868"/>
    <w:rsid w:val="0037386D"/>
    <w:rsid w:val="00374546"/>
    <w:rsid w:val="00375333"/>
    <w:rsid w:val="00375770"/>
    <w:rsid w:val="0037591B"/>
    <w:rsid w:val="00375B94"/>
    <w:rsid w:val="00376040"/>
    <w:rsid w:val="003764ED"/>
    <w:rsid w:val="003766E6"/>
    <w:rsid w:val="003769A7"/>
    <w:rsid w:val="00376C25"/>
    <w:rsid w:val="00377640"/>
    <w:rsid w:val="00377CBD"/>
    <w:rsid w:val="00380DED"/>
    <w:rsid w:val="00381013"/>
    <w:rsid w:val="00381448"/>
    <w:rsid w:val="00381463"/>
    <w:rsid w:val="00381A59"/>
    <w:rsid w:val="0038254F"/>
    <w:rsid w:val="00382A55"/>
    <w:rsid w:val="00383153"/>
    <w:rsid w:val="00384667"/>
    <w:rsid w:val="00384ABB"/>
    <w:rsid w:val="00384ADE"/>
    <w:rsid w:val="00384B0B"/>
    <w:rsid w:val="00385126"/>
    <w:rsid w:val="00385B27"/>
    <w:rsid w:val="00385F96"/>
    <w:rsid w:val="003865FA"/>
    <w:rsid w:val="0038666C"/>
    <w:rsid w:val="0038690F"/>
    <w:rsid w:val="00386F5C"/>
    <w:rsid w:val="0038722F"/>
    <w:rsid w:val="00387F2A"/>
    <w:rsid w:val="0039054A"/>
    <w:rsid w:val="00391190"/>
    <w:rsid w:val="00391245"/>
    <w:rsid w:val="003916E5"/>
    <w:rsid w:val="0039199F"/>
    <w:rsid w:val="00391CED"/>
    <w:rsid w:val="00391F2A"/>
    <w:rsid w:val="00392BF4"/>
    <w:rsid w:val="00392EA3"/>
    <w:rsid w:val="00393662"/>
    <w:rsid w:val="0039367B"/>
    <w:rsid w:val="0039417D"/>
    <w:rsid w:val="00395195"/>
    <w:rsid w:val="00395ACC"/>
    <w:rsid w:val="00395E53"/>
    <w:rsid w:val="00397D1D"/>
    <w:rsid w:val="00397D8D"/>
    <w:rsid w:val="00397EAE"/>
    <w:rsid w:val="003A06E6"/>
    <w:rsid w:val="003A0AE5"/>
    <w:rsid w:val="003A1257"/>
    <w:rsid w:val="003A1C4A"/>
    <w:rsid w:val="003A2D6A"/>
    <w:rsid w:val="003A39DA"/>
    <w:rsid w:val="003A484F"/>
    <w:rsid w:val="003A4863"/>
    <w:rsid w:val="003A5196"/>
    <w:rsid w:val="003A5983"/>
    <w:rsid w:val="003A63B5"/>
    <w:rsid w:val="003A67F4"/>
    <w:rsid w:val="003A71C5"/>
    <w:rsid w:val="003A7432"/>
    <w:rsid w:val="003A7438"/>
    <w:rsid w:val="003A761C"/>
    <w:rsid w:val="003B0EB4"/>
    <w:rsid w:val="003B2B8D"/>
    <w:rsid w:val="003B331D"/>
    <w:rsid w:val="003B36B5"/>
    <w:rsid w:val="003B3908"/>
    <w:rsid w:val="003B39A8"/>
    <w:rsid w:val="003B4168"/>
    <w:rsid w:val="003B5DA1"/>
    <w:rsid w:val="003B5E1A"/>
    <w:rsid w:val="003B636D"/>
    <w:rsid w:val="003B67E0"/>
    <w:rsid w:val="003B6A00"/>
    <w:rsid w:val="003B6ACA"/>
    <w:rsid w:val="003B6B0E"/>
    <w:rsid w:val="003B6D15"/>
    <w:rsid w:val="003B6E67"/>
    <w:rsid w:val="003B78D6"/>
    <w:rsid w:val="003B795B"/>
    <w:rsid w:val="003C00C6"/>
    <w:rsid w:val="003C0B2F"/>
    <w:rsid w:val="003C0B74"/>
    <w:rsid w:val="003C0D6D"/>
    <w:rsid w:val="003C1F9F"/>
    <w:rsid w:val="003C210B"/>
    <w:rsid w:val="003C283B"/>
    <w:rsid w:val="003C319A"/>
    <w:rsid w:val="003C3458"/>
    <w:rsid w:val="003C350F"/>
    <w:rsid w:val="003C3B14"/>
    <w:rsid w:val="003C4213"/>
    <w:rsid w:val="003C43A9"/>
    <w:rsid w:val="003C45F2"/>
    <w:rsid w:val="003C47FB"/>
    <w:rsid w:val="003C4AFD"/>
    <w:rsid w:val="003C4CB4"/>
    <w:rsid w:val="003C6140"/>
    <w:rsid w:val="003C6562"/>
    <w:rsid w:val="003C6BB6"/>
    <w:rsid w:val="003C6E2F"/>
    <w:rsid w:val="003C74F3"/>
    <w:rsid w:val="003C7832"/>
    <w:rsid w:val="003C792E"/>
    <w:rsid w:val="003D10B4"/>
    <w:rsid w:val="003D2153"/>
    <w:rsid w:val="003D278B"/>
    <w:rsid w:val="003D2C66"/>
    <w:rsid w:val="003D45FB"/>
    <w:rsid w:val="003D4B09"/>
    <w:rsid w:val="003D5353"/>
    <w:rsid w:val="003D5A13"/>
    <w:rsid w:val="003D678C"/>
    <w:rsid w:val="003D6A81"/>
    <w:rsid w:val="003D6D92"/>
    <w:rsid w:val="003D6DBE"/>
    <w:rsid w:val="003D72B6"/>
    <w:rsid w:val="003D7C74"/>
    <w:rsid w:val="003E01F3"/>
    <w:rsid w:val="003E19C3"/>
    <w:rsid w:val="003E1B12"/>
    <w:rsid w:val="003E1FE4"/>
    <w:rsid w:val="003E26AB"/>
    <w:rsid w:val="003E2A86"/>
    <w:rsid w:val="003E2FF3"/>
    <w:rsid w:val="003E35D2"/>
    <w:rsid w:val="003E382C"/>
    <w:rsid w:val="003E458F"/>
    <w:rsid w:val="003E4A11"/>
    <w:rsid w:val="003E5ACD"/>
    <w:rsid w:val="003E637D"/>
    <w:rsid w:val="003E781B"/>
    <w:rsid w:val="003F054A"/>
    <w:rsid w:val="003F089B"/>
    <w:rsid w:val="003F0FC3"/>
    <w:rsid w:val="003F101D"/>
    <w:rsid w:val="003F1181"/>
    <w:rsid w:val="003F1469"/>
    <w:rsid w:val="003F20FF"/>
    <w:rsid w:val="003F28F3"/>
    <w:rsid w:val="003F2E37"/>
    <w:rsid w:val="003F2F5E"/>
    <w:rsid w:val="003F30C3"/>
    <w:rsid w:val="003F3786"/>
    <w:rsid w:val="003F3900"/>
    <w:rsid w:val="003F3A10"/>
    <w:rsid w:val="003F4245"/>
    <w:rsid w:val="003F43F8"/>
    <w:rsid w:val="003F4CBC"/>
    <w:rsid w:val="003F50D2"/>
    <w:rsid w:val="003F560E"/>
    <w:rsid w:val="003F5A7E"/>
    <w:rsid w:val="003F6117"/>
    <w:rsid w:val="003F65F1"/>
    <w:rsid w:val="003F65F8"/>
    <w:rsid w:val="003F6617"/>
    <w:rsid w:val="003F711F"/>
    <w:rsid w:val="003F741A"/>
    <w:rsid w:val="003F797A"/>
    <w:rsid w:val="003F7B71"/>
    <w:rsid w:val="003F7E59"/>
    <w:rsid w:val="003F7FDC"/>
    <w:rsid w:val="004002AF"/>
    <w:rsid w:val="004009A3"/>
    <w:rsid w:val="0040125C"/>
    <w:rsid w:val="004017F6"/>
    <w:rsid w:val="00402A07"/>
    <w:rsid w:val="00403E0E"/>
    <w:rsid w:val="0040426C"/>
    <w:rsid w:val="0040436C"/>
    <w:rsid w:val="00404CA4"/>
    <w:rsid w:val="00405AF4"/>
    <w:rsid w:val="00405BB6"/>
    <w:rsid w:val="00406A4D"/>
    <w:rsid w:val="00406C98"/>
    <w:rsid w:val="00406FD8"/>
    <w:rsid w:val="00407053"/>
    <w:rsid w:val="00407975"/>
    <w:rsid w:val="00407C3F"/>
    <w:rsid w:val="00407DEA"/>
    <w:rsid w:val="00410321"/>
    <w:rsid w:val="00410404"/>
    <w:rsid w:val="0041074E"/>
    <w:rsid w:val="004107FB"/>
    <w:rsid w:val="00410AFA"/>
    <w:rsid w:val="004116C9"/>
    <w:rsid w:val="00411C78"/>
    <w:rsid w:val="00412A25"/>
    <w:rsid w:val="00412E4F"/>
    <w:rsid w:val="00412E92"/>
    <w:rsid w:val="0041343A"/>
    <w:rsid w:val="00414778"/>
    <w:rsid w:val="00414D25"/>
    <w:rsid w:val="00414E90"/>
    <w:rsid w:val="004151F8"/>
    <w:rsid w:val="004157E5"/>
    <w:rsid w:val="004159AF"/>
    <w:rsid w:val="004160A0"/>
    <w:rsid w:val="0041625F"/>
    <w:rsid w:val="004166CC"/>
    <w:rsid w:val="00416B4D"/>
    <w:rsid w:val="00416E3D"/>
    <w:rsid w:val="00417D17"/>
    <w:rsid w:val="00420036"/>
    <w:rsid w:val="0042007A"/>
    <w:rsid w:val="004201A8"/>
    <w:rsid w:val="004201AF"/>
    <w:rsid w:val="00420D28"/>
    <w:rsid w:val="00420F00"/>
    <w:rsid w:val="0042125B"/>
    <w:rsid w:val="004218FA"/>
    <w:rsid w:val="00421BBB"/>
    <w:rsid w:val="00422086"/>
    <w:rsid w:val="0042246F"/>
    <w:rsid w:val="004231EB"/>
    <w:rsid w:val="00424072"/>
    <w:rsid w:val="004240B2"/>
    <w:rsid w:val="00424796"/>
    <w:rsid w:val="0042497B"/>
    <w:rsid w:val="00424B45"/>
    <w:rsid w:val="00424CB9"/>
    <w:rsid w:val="0042529E"/>
    <w:rsid w:val="004252F4"/>
    <w:rsid w:val="0042561D"/>
    <w:rsid w:val="0042591E"/>
    <w:rsid w:val="004264AE"/>
    <w:rsid w:val="0042762B"/>
    <w:rsid w:val="0042773C"/>
    <w:rsid w:val="00427A4B"/>
    <w:rsid w:val="00427FDB"/>
    <w:rsid w:val="0043036A"/>
    <w:rsid w:val="004303B1"/>
    <w:rsid w:val="004309DA"/>
    <w:rsid w:val="00430AE8"/>
    <w:rsid w:val="004310F8"/>
    <w:rsid w:val="004336F1"/>
    <w:rsid w:val="00433AE7"/>
    <w:rsid w:val="00434505"/>
    <w:rsid w:val="004349D1"/>
    <w:rsid w:val="00434AF4"/>
    <w:rsid w:val="00434BED"/>
    <w:rsid w:val="004350BA"/>
    <w:rsid w:val="00435832"/>
    <w:rsid w:val="00435862"/>
    <w:rsid w:val="0043608D"/>
    <w:rsid w:val="00436186"/>
    <w:rsid w:val="004367E2"/>
    <w:rsid w:val="00436D22"/>
    <w:rsid w:val="0043767A"/>
    <w:rsid w:val="00437806"/>
    <w:rsid w:val="004404F7"/>
    <w:rsid w:val="004407DC"/>
    <w:rsid w:val="00440A6A"/>
    <w:rsid w:val="00440F7C"/>
    <w:rsid w:val="0044115C"/>
    <w:rsid w:val="0044170B"/>
    <w:rsid w:val="00441C1C"/>
    <w:rsid w:val="00441F2B"/>
    <w:rsid w:val="0044266E"/>
    <w:rsid w:val="004431DD"/>
    <w:rsid w:val="00443BBC"/>
    <w:rsid w:val="00443C7D"/>
    <w:rsid w:val="004447EB"/>
    <w:rsid w:val="004456CF"/>
    <w:rsid w:val="0044598D"/>
    <w:rsid w:val="00445DAA"/>
    <w:rsid w:val="00445FB3"/>
    <w:rsid w:val="004460A6"/>
    <w:rsid w:val="00446559"/>
    <w:rsid w:val="004466D1"/>
    <w:rsid w:val="00446D93"/>
    <w:rsid w:val="00447133"/>
    <w:rsid w:val="00447C24"/>
    <w:rsid w:val="00447C72"/>
    <w:rsid w:val="00450209"/>
    <w:rsid w:val="00450258"/>
    <w:rsid w:val="004504D2"/>
    <w:rsid w:val="00450FAE"/>
    <w:rsid w:val="00451097"/>
    <w:rsid w:val="004517DC"/>
    <w:rsid w:val="004520DD"/>
    <w:rsid w:val="0045237D"/>
    <w:rsid w:val="004528BC"/>
    <w:rsid w:val="0045298D"/>
    <w:rsid w:val="00452B04"/>
    <w:rsid w:val="00452C22"/>
    <w:rsid w:val="00452D22"/>
    <w:rsid w:val="0045351B"/>
    <w:rsid w:val="00453B63"/>
    <w:rsid w:val="004549F0"/>
    <w:rsid w:val="00455A81"/>
    <w:rsid w:val="00456A01"/>
    <w:rsid w:val="00457473"/>
    <w:rsid w:val="004578F1"/>
    <w:rsid w:val="00460328"/>
    <w:rsid w:val="004603C1"/>
    <w:rsid w:val="004606F4"/>
    <w:rsid w:val="00461DA5"/>
    <w:rsid w:val="00462036"/>
    <w:rsid w:val="00462387"/>
    <w:rsid w:val="004633F7"/>
    <w:rsid w:val="00463467"/>
    <w:rsid w:val="00463C3D"/>
    <w:rsid w:val="00463D57"/>
    <w:rsid w:val="0046402A"/>
    <w:rsid w:val="004641BA"/>
    <w:rsid w:val="004646A1"/>
    <w:rsid w:val="0046478B"/>
    <w:rsid w:val="00464BE1"/>
    <w:rsid w:val="0046539E"/>
    <w:rsid w:val="0046551D"/>
    <w:rsid w:val="0046592D"/>
    <w:rsid w:val="00465935"/>
    <w:rsid w:val="0046599A"/>
    <w:rsid w:val="00466201"/>
    <w:rsid w:val="00466259"/>
    <w:rsid w:val="00470228"/>
    <w:rsid w:val="00470FDD"/>
    <w:rsid w:val="004712B9"/>
    <w:rsid w:val="004723EB"/>
    <w:rsid w:val="00472F39"/>
    <w:rsid w:val="00473605"/>
    <w:rsid w:val="004741F9"/>
    <w:rsid w:val="004746EF"/>
    <w:rsid w:val="0047471D"/>
    <w:rsid w:val="00474882"/>
    <w:rsid w:val="0047495D"/>
    <w:rsid w:val="00474C92"/>
    <w:rsid w:val="00474FD3"/>
    <w:rsid w:val="00475003"/>
    <w:rsid w:val="00475309"/>
    <w:rsid w:val="00475366"/>
    <w:rsid w:val="0047597C"/>
    <w:rsid w:val="00475AE6"/>
    <w:rsid w:val="00475D73"/>
    <w:rsid w:val="00476028"/>
    <w:rsid w:val="00476107"/>
    <w:rsid w:val="00476184"/>
    <w:rsid w:val="00476E7D"/>
    <w:rsid w:val="004800F1"/>
    <w:rsid w:val="004801B2"/>
    <w:rsid w:val="004819F7"/>
    <w:rsid w:val="00481A1C"/>
    <w:rsid w:val="00481BE6"/>
    <w:rsid w:val="00482990"/>
    <w:rsid w:val="00483927"/>
    <w:rsid w:val="00484475"/>
    <w:rsid w:val="00484846"/>
    <w:rsid w:val="00484E04"/>
    <w:rsid w:val="00484FD0"/>
    <w:rsid w:val="00484FFC"/>
    <w:rsid w:val="004850FF"/>
    <w:rsid w:val="00486004"/>
    <w:rsid w:val="0048614C"/>
    <w:rsid w:val="00486C02"/>
    <w:rsid w:val="004874EC"/>
    <w:rsid w:val="004875BE"/>
    <w:rsid w:val="0048761E"/>
    <w:rsid w:val="0048777C"/>
    <w:rsid w:val="00487D6E"/>
    <w:rsid w:val="0049066A"/>
    <w:rsid w:val="00490A81"/>
    <w:rsid w:val="00490C49"/>
    <w:rsid w:val="00490E77"/>
    <w:rsid w:val="00490F9A"/>
    <w:rsid w:val="004912C1"/>
    <w:rsid w:val="00491348"/>
    <w:rsid w:val="00491389"/>
    <w:rsid w:val="004913C7"/>
    <w:rsid w:val="004915A3"/>
    <w:rsid w:val="004919A1"/>
    <w:rsid w:val="00491EFC"/>
    <w:rsid w:val="004926B4"/>
    <w:rsid w:val="00492BCA"/>
    <w:rsid w:val="00492F4E"/>
    <w:rsid w:val="00493137"/>
    <w:rsid w:val="00493620"/>
    <w:rsid w:val="00493668"/>
    <w:rsid w:val="004939F9"/>
    <w:rsid w:val="0049424F"/>
    <w:rsid w:val="0049455B"/>
    <w:rsid w:val="00495A5D"/>
    <w:rsid w:val="00495A83"/>
    <w:rsid w:val="00495FE4"/>
    <w:rsid w:val="00496001"/>
    <w:rsid w:val="004967DD"/>
    <w:rsid w:val="00496CB8"/>
    <w:rsid w:val="00497063"/>
    <w:rsid w:val="0049730F"/>
    <w:rsid w:val="00497B7F"/>
    <w:rsid w:val="004A01F0"/>
    <w:rsid w:val="004A0477"/>
    <w:rsid w:val="004A1760"/>
    <w:rsid w:val="004A1EDB"/>
    <w:rsid w:val="004A29AB"/>
    <w:rsid w:val="004A2A93"/>
    <w:rsid w:val="004A3256"/>
    <w:rsid w:val="004A39C4"/>
    <w:rsid w:val="004A42D3"/>
    <w:rsid w:val="004A4B40"/>
    <w:rsid w:val="004A4D1B"/>
    <w:rsid w:val="004A4F4D"/>
    <w:rsid w:val="004A68C3"/>
    <w:rsid w:val="004A69BD"/>
    <w:rsid w:val="004A6D27"/>
    <w:rsid w:val="004A7607"/>
    <w:rsid w:val="004A78D8"/>
    <w:rsid w:val="004B0BB5"/>
    <w:rsid w:val="004B1152"/>
    <w:rsid w:val="004B1382"/>
    <w:rsid w:val="004B14B4"/>
    <w:rsid w:val="004B34C7"/>
    <w:rsid w:val="004B377B"/>
    <w:rsid w:val="004B48BE"/>
    <w:rsid w:val="004B49F3"/>
    <w:rsid w:val="004B49FD"/>
    <w:rsid w:val="004B6ACB"/>
    <w:rsid w:val="004B6AEC"/>
    <w:rsid w:val="004B73F2"/>
    <w:rsid w:val="004B743E"/>
    <w:rsid w:val="004B758C"/>
    <w:rsid w:val="004B77D3"/>
    <w:rsid w:val="004B77FA"/>
    <w:rsid w:val="004B781A"/>
    <w:rsid w:val="004B7DE2"/>
    <w:rsid w:val="004B7F17"/>
    <w:rsid w:val="004C0B81"/>
    <w:rsid w:val="004C16F4"/>
    <w:rsid w:val="004C1954"/>
    <w:rsid w:val="004C2558"/>
    <w:rsid w:val="004C29CB"/>
    <w:rsid w:val="004C2C01"/>
    <w:rsid w:val="004C4D00"/>
    <w:rsid w:val="004C4EC3"/>
    <w:rsid w:val="004C4F17"/>
    <w:rsid w:val="004C56C4"/>
    <w:rsid w:val="004C61C2"/>
    <w:rsid w:val="004C6EFA"/>
    <w:rsid w:val="004C6FF9"/>
    <w:rsid w:val="004C726D"/>
    <w:rsid w:val="004C7467"/>
    <w:rsid w:val="004D00FE"/>
    <w:rsid w:val="004D03E5"/>
    <w:rsid w:val="004D073D"/>
    <w:rsid w:val="004D0D63"/>
    <w:rsid w:val="004D101B"/>
    <w:rsid w:val="004D19FE"/>
    <w:rsid w:val="004D2945"/>
    <w:rsid w:val="004D2B01"/>
    <w:rsid w:val="004D2D50"/>
    <w:rsid w:val="004D2EB6"/>
    <w:rsid w:val="004D34A2"/>
    <w:rsid w:val="004D3DD3"/>
    <w:rsid w:val="004D4447"/>
    <w:rsid w:val="004D4AE0"/>
    <w:rsid w:val="004D4BEC"/>
    <w:rsid w:val="004D5081"/>
    <w:rsid w:val="004D50ED"/>
    <w:rsid w:val="004D5265"/>
    <w:rsid w:val="004D57EA"/>
    <w:rsid w:val="004D58AA"/>
    <w:rsid w:val="004D69C0"/>
    <w:rsid w:val="004D7911"/>
    <w:rsid w:val="004D7CB3"/>
    <w:rsid w:val="004D7FE0"/>
    <w:rsid w:val="004E06F7"/>
    <w:rsid w:val="004E0765"/>
    <w:rsid w:val="004E086A"/>
    <w:rsid w:val="004E2410"/>
    <w:rsid w:val="004E2B05"/>
    <w:rsid w:val="004E2DFB"/>
    <w:rsid w:val="004E30CB"/>
    <w:rsid w:val="004E3155"/>
    <w:rsid w:val="004E3652"/>
    <w:rsid w:val="004E4029"/>
    <w:rsid w:val="004E5585"/>
    <w:rsid w:val="004E6685"/>
    <w:rsid w:val="004E69FF"/>
    <w:rsid w:val="004E754F"/>
    <w:rsid w:val="004E7B61"/>
    <w:rsid w:val="004F1FA0"/>
    <w:rsid w:val="004F203D"/>
    <w:rsid w:val="004F24B6"/>
    <w:rsid w:val="004F25BD"/>
    <w:rsid w:val="004F29CB"/>
    <w:rsid w:val="004F32EF"/>
    <w:rsid w:val="004F4698"/>
    <w:rsid w:val="004F477D"/>
    <w:rsid w:val="004F48B3"/>
    <w:rsid w:val="004F48DF"/>
    <w:rsid w:val="004F4BFB"/>
    <w:rsid w:val="004F4D96"/>
    <w:rsid w:val="004F52F6"/>
    <w:rsid w:val="004F5926"/>
    <w:rsid w:val="004F6822"/>
    <w:rsid w:val="004F728C"/>
    <w:rsid w:val="004F7CE8"/>
    <w:rsid w:val="004F7E8D"/>
    <w:rsid w:val="004F7EB4"/>
    <w:rsid w:val="005001A1"/>
    <w:rsid w:val="00500272"/>
    <w:rsid w:val="005003CF"/>
    <w:rsid w:val="005017EF"/>
    <w:rsid w:val="0050195C"/>
    <w:rsid w:val="00502204"/>
    <w:rsid w:val="00502BE3"/>
    <w:rsid w:val="00502E67"/>
    <w:rsid w:val="005046AA"/>
    <w:rsid w:val="005046D5"/>
    <w:rsid w:val="00504714"/>
    <w:rsid w:val="005053CE"/>
    <w:rsid w:val="0050559D"/>
    <w:rsid w:val="00506ABC"/>
    <w:rsid w:val="00506EB6"/>
    <w:rsid w:val="00506EF3"/>
    <w:rsid w:val="00507946"/>
    <w:rsid w:val="00507D93"/>
    <w:rsid w:val="005105FE"/>
    <w:rsid w:val="00510790"/>
    <w:rsid w:val="005109B3"/>
    <w:rsid w:val="005109E2"/>
    <w:rsid w:val="005127DF"/>
    <w:rsid w:val="005131EC"/>
    <w:rsid w:val="0051398F"/>
    <w:rsid w:val="0051489C"/>
    <w:rsid w:val="0051592E"/>
    <w:rsid w:val="00515DE1"/>
    <w:rsid w:val="005160A0"/>
    <w:rsid w:val="005169BA"/>
    <w:rsid w:val="00516A9E"/>
    <w:rsid w:val="0051707A"/>
    <w:rsid w:val="00517186"/>
    <w:rsid w:val="0051720F"/>
    <w:rsid w:val="005204DA"/>
    <w:rsid w:val="005205E2"/>
    <w:rsid w:val="005207E4"/>
    <w:rsid w:val="00520AE8"/>
    <w:rsid w:val="00520EE3"/>
    <w:rsid w:val="005210F4"/>
    <w:rsid w:val="00521944"/>
    <w:rsid w:val="00521C54"/>
    <w:rsid w:val="005225C3"/>
    <w:rsid w:val="0052328B"/>
    <w:rsid w:val="00523E0A"/>
    <w:rsid w:val="005252BC"/>
    <w:rsid w:val="00525EB2"/>
    <w:rsid w:val="005263CF"/>
    <w:rsid w:val="005265C2"/>
    <w:rsid w:val="00526BCD"/>
    <w:rsid w:val="00526E11"/>
    <w:rsid w:val="005272CA"/>
    <w:rsid w:val="0052770F"/>
    <w:rsid w:val="005308CA"/>
    <w:rsid w:val="00530B85"/>
    <w:rsid w:val="00530D2D"/>
    <w:rsid w:val="005311B1"/>
    <w:rsid w:val="0053147C"/>
    <w:rsid w:val="00531BAB"/>
    <w:rsid w:val="005325DE"/>
    <w:rsid w:val="00532C47"/>
    <w:rsid w:val="00532CEB"/>
    <w:rsid w:val="005338E6"/>
    <w:rsid w:val="005338F2"/>
    <w:rsid w:val="00533E5A"/>
    <w:rsid w:val="00534CA2"/>
    <w:rsid w:val="00535ACD"/>
    <w:rsid w:val="00535FFD"/>
    <w:rsid w:val="0053717B"/>
    <w:rsid w:val="005373F7"/>
    <w:rsid w:val="00540184"/>
    <w:rsid w:val="00540261"/>
    <w:rsid w:val="0054072C"/>
    <w:rsid w:val="005409AE"/>
    <w:rsid w:val="00540B96"/>
    <w:rsid w:val="00541B78"/>
    <w:rsid w:val="00542566"/>
    <w:rsid w:val="005425DD"/>
    <w:rsid w:val="005428D7"/>
    <w:rsid w:val="00542A17"/>
    <w:rsid w:val="005437CC"/>
    <w:rsid w:val="00543C3C"/>
    <w:rsid w:val="00545510"/>
    <w:rsid w:val="00545631"/>
    <w:rsid w:val="00545AC4"/>
    <w:rsid w:val="00545B38"/>
    <w:rsid w:val="00545CD6"/>
    <w:rsid w:val="005460B0"/>
    <w:rsid w:val="00546C51"/>
    <w:rsid w:val="00546C85"/>
    <w:rsid w:val="00546CEB"/>
    <w:rsid w:val="00546EAC"/>
    <w:rsid w:val="0054762D"/>
    <w:rsid w:val="00547D28"/>
    <w:rsid w:val="005512FF"/>
    <w:rsid w:val="00551609"/>
    <w:rsid w:val="005518C9"/>
    <w:rsid w:val="00551B78"/>
    <w:rsid w:val="0055209F"/>
    <w:rsid w:val="00552588"/>
    <w:rsid w:val="00552789"/>
    <w:rsid w:val="005527A8"/>
    <w:rsid w:val="00552F83"/>
    <w:rsid w:val="005548F0"/>
    <w:rsid w:val="005553A1"/>
    <w:rsid w:val="0055625D"/>
    <w:rsid w:val="00556A72"/>
    <w:rsid w:val="00557186"/>
    <w:rsid w:val="00560110"/>
    <w:rsid w:val="005602C9"/>
    <w:rsid w:val="00562C30"/>
    <w:rsid w:val="005630DD"/>
    <w:rsid w:val="00563604"/>
    <w:rsid w:val="0056389B"/>
    <w:rsid w:val="00563C3D"/>
    <w:rsid w:val="0056473A"/>
    <w:rsid w:val="00564F55"/>
    <w:rsid w:val="00565FD5"/>
    <w:rsid w:val="00566023"/>
    <w:rsid w:val="005660E5"/>
    <w:rsid w:val="00567206"/>
    <w:rsid w:val="0056789E"/>
    <w:rsid w:val="00567F52"/>
    <w:rsid w:val="005702FA"/>
    <w:rsid w:val="00570755"/>
    <w:rsid w:val="005738AE"/>
    <w:rsid w:val="00573A50"/>
    <w:rsid w:val="00573BDD"/>
    <w:rsid w:val="00574502"/>
    <w:rsid w:val="005745FB"/>
    <w:rsid w:val="0057465E"/>
    <w:rsid w:val="00574959"/>
    <w:rsid w:val="00574B65"/>
    <w:rsid w:val="0057528E"/>
    <w:rsid w:val="00576121"/>
    <w:rsid w:val="005775A7"/>
    <w:rsid w:val="0058002A"/>
    <w:rsid w:val="00580A51"/>
    <w:rsid w:val="00580FF4"/>
    <w:rsid w:val="0058126E"/>
    <w:rsid w:val="00581762"/>
    <w:rsid w:val="00581A20"/>
    <w:rsid w:val="00581DEA"/>
    <w:rsid w:val="00581E45"/>
    <w:rsid w:val="0058236A"/>
    <w:rsid w:val="005827D7"/>
    <w:rsid w:val="005833DE"/>
    <w:rsid w:val="005836C4"/>
    <w:rsid w:val="0058437F"/>
    <w:rsid w:val="00584A0E"/>
    <w:rsid w:val="00585AAC"/>
    <w:rsid w:val="00585ADA"/>
    <w:rsid w:val="0058657D"/>
    <w:rsid w:val="005866C4"/>
    <w:rsid w:val="0058702E"/>
    <w:rsid w:val="00587489"/>
    <w:rsid w:val="005877C8"/>
    <w:rsid w:val="00587865"/>
    <w:rsid w:val="00590FF8"/>
    <w:rsid w:val="00591836"/>
    <w:rsid w:val="0059207A"/>
    <w:rsid w:val="0059283B"/>
    <w:rsid w:val="00593386"/>
    <w:rsid w:val="00594066"/>
    <w:rsid w:val="00594322"/>
    <w:rsid w:val="00594331"/>
    <w:rsid w:val="00594C60"/>
    <w:rsid w:val="00594D9C"/>
    <w:rsid w:val="0059763D"/>
    <w:rsid w:val="005A087F"/>
    <w:rsid w:val="005A0D49"/>
    <w:rsid w:val="005A0E05"/>
    <w:rsid w:val="005A12F3"/>
    <w:rsid w:val="005A18C5"/>
    <w:rsid w:val="005A1EC0"/>
    <w:rsid w:val="005A2164"/>
    <w:rsid w:val="005A2AF9"/>
    <w:rsid w:val="005A3044"/>
    <w:rsid w:val="005A3232"/>
    <w:rsid w:val="005A32EA"/>
    <w:rsid w:val="005A36A4"/>
    <w:rsid w:val="005A38AE"/>
    <w:rsid w:val="005A4637"/>
    <w:rsid w:val="005A505E"/>
    <w:rsid w:val="005A52A7"/>
    <w:rsid w:val="005A5415"/>
    <w:rsid w:val="005A554F"/>
    <w:rsid w:val="005A5A3A"/>
    <w:rsid w:val="005A5A55"/>
    <w:rsid w:val="005A6826"/>
    <w:rsid w:val="005A6AC4"/>
    <w:rsid w:val="005A738C"/>
    <w:rsid w:val="005A7AC0"/>
    <w:rsid w:val="005B04E4"/>
    <w:rsid w:val="005B0AD6"/>
    <w:rsid w:val="005B1A9A"/>
    <w:rsid w:val="005B1F6C"/>
    <w:rsid w:val="005B28F8"/>
    <w:rsid w:val="005B2AD4"/>
    <w:rsid w:val="005B3944"/>
    <w:rsid w:val="005B3E83"/>
    <w:rsid w:val="005B4530"/>
    <w:rsid w:val="005B4C3B"/>
    <w:rsid w:val="005B4CB2"/>
    <w:rsid w:val="005B4DD3"/>
    <w:rsid w:val="005B5C55"/>
    <w:rsid w:val="005B5DEC"/>
    <w:rsid w:val="005B69CC"/>
    <w:rsid w:val="005B6E0B"/>
    <w:rsid w:val="005B7CC5"/>
    <w:rsid w:val="005C0052"/>
    <w:rsid w:val="005C00C2"/>
    <w:rsid w:val="005C0225"/>
    <w:rsid w:val="005C042A"/>
    <w:rsid w:val="005C0A77"/>
    <w:rsid w:val="005C30E9"/>
    <w:rsid w:val="005C3547"/>
    <w:rsid w:val="005C3828"/>
    <w:rsid w:val="005C3C6B"/>
    <w:rsid w:val="005C4AE1"/>
    <w:rsid w:val="005C4DA6"/>
    <w:rsid w:val="005C557A"/>
    <w:rsid w:val="005C573F"/>
    <w:rsid w:val="005C5B84"/>
    <w:rsid w:val="005C673B"/>
    <w:rsid w:val="005C6AE3"/>
    <w:rsid w:val="005C724C"/>
    <w:rsid w:val="005C757C"/>
    <w:rsid w:val="005C76E1"/>
    <w:rsid w:val="005C7778"/>
    <w:rsid w:val="005D0127"/>
    <w:rsid w:val="005D02DA"/>
    <w:rsid w:val="005D0449"/>
    <w:rsid w:val="005D2829"/>
    <w:rsid w:val="005D291B"/>
    <w:rsid w:val="005D35E3"/>
    <w:rsid w:val="005D3B58"/>
    <w:rsid w:val="005D3F96"/>
    <w:rsid w:val="005D4401"/>
    <w:rsid w:val="005D4D65"/>
    <w:rsid w:val="005D4F0E"/>
    <w:rsid w:val="005D5059"/>
    <w:rsid w:val="005D63E7"/>
    <w:rsid w:val="005D6783"/>
    <w:rsid w:val="005D6A70"/>
    <w:rsid w:val="005D6C92"/>
    <w:rsid w:val="005D722B"/>
    <w:rsid w:val="005D750F"/>
    <w:rsid w:val="005D7963"/>
    <w:rsid w:val="005E0157"/>
    <w:rsid w:val="005E0395"/>
    <w:rsid w:val="005E0FE0"/>
    <w:rsid w:val="005E1230"/>
    <w:rsid w:val="005E1996"/>
    <w:rsid w:val="005E1D01"/>
    <w:rsid w:val="005E2D73"/>
    <w:rsid w:val="005E33A2"/>
    <w:rsid w:val="005E3AB5"/>
    <w:rsid w:val="005E3CAD"/>
    <w:rsid w:val="005E4117"/>
    <w:rsid w:val="005E4E9A"/>
    <w:rsid w:val="005E5122"/>
    <w:rsid w:val="005E7148"/>
    <w:rsid w:val="005E7157"/>
    <w:rsid w:val="005E7AD8"/>
    <w:rsid w:val="005E7B1C"/>
    <w:rsid w:val="005F007E"/>
    <w:rsid w:val="005F0389"/>
    <w:rsid w:val="005F0784"/>
    <w:rsid w:val="005F07E1"/>
    <w:rsid w:val="005F0E9F"/>
    <w:rsid w:val="005F10E6"/>
    <w:rsid w:val="005F1B5E"/>
    <w:rsid w:val="005F21EE"/>
    <w:rsid w:val="005F259D"/>
    <w:rsid w:val="005F2FF7"/>
    <w:rsid w:val="005F3397"/>
    <w:rsid w:val="005F3513"/>
    <w:rsid w:val="005F4191"/>
    <w:rsid w:val="005F41F8"/>
    <w:rsid w:val="005F515E"/>
    <w:rsid w:val="005F5FB5"/>
    <w:rsid w:val="005F60FC"/>
    <w:rsid w:val="005F6157"/>
    <w:rsid w:val="005F623C"/>
    <w:rsid w:val="005F63E1"/>
    <w:rsid w:val="005F6C2C"/>
    <w:rsid w:val="005F6D04"/>
    <w:rsid w:val="005F6DE9"/>
    <w:rsid w:val="005F7AE7"/>
    <w:rsid w:val="005F7D99"/>
    <w:rsid w:val="00600116"/>
    <w:rsid w:val="00600356"/>
    <w:rsid w:val="00600B3F"/>
    <w:rsid w:val="006016AE"/>
    <w:rsid w:val="00602012"/>
    <w:rsid w:val="00602322"/>
    <w:rsid w:val="00602ED4"/>
    <w:rsid w:val="006040BF"/>
    <w:rsid w:val="00604538"/>
    <w:rsid w:val="00604826"/>
    <w:rsid w:val="00604D15"/>
    <w:rsid w:val="00604D49"/>
    <w:rsid w:val="00604E5A"/>
    <w:rsid w:val="00604F1A"/>
    <w:rsid w:val="0060521F"/>
    <w:rsid w:val="006056F7"/>
    <w:rsid w:val="006056FC"/>
    <w:rsid w:val="00605703"/>
    <w:rsid w:val="00606323"/>
    <w:rsid w:val="006066C0"/>
    <w:rsid w:val="006067BD"/>
    <w:rsid w:val="00606C54"/>
    <w:rsid w:val="006070AD"/>
    <w:rsid w:val="00607DD6"/>
    <w:rsid w:val="0061055E"/>
    <w:rsid w:val="006109AA"/>
    <w:rsid w:val="00610C4C"/>
    <w:rsid w:val="00611B6C"/>
    <w:rsid w:val="006135AA"/>
    <w:rsid w:val="00613886"/>
    <w:rsid w:val="006140F9"/>
    <w:rsid w:val="006147C6"/>
    <w:rsid w:val="00614886"/>
    <w:rsid w:val="00614B7D"/>
    <w:rsid w:val="00614C85"/>
    <w:rsid w:val="00614E0D"/>
    <w:rsid w:val="00614E97"/>
    <w:rsid w:val="006151B0"/>
    <w:rsid w:val="0061545C"/>
    <w:rsid w:val="00615586"/>
    <w:rsid w:val="00615DBB"/>
    <w:rsid w:val="00616F37"/>
    <w:rsid w:val="00617415"/>
    <w:rsid w:val="0061745E"/>
    <w:rsid w:val="00617D8A"/>
    <w:rsid w:val="00617F1D"/>
    <w:rsid w:val="00620212"/>
    <w:rsid w:val="00620410"/>
    <w:rsid w:val="00620449"/>
    <w:rsid w:val="00620D9E"/>
    <w:rsid w:val="00621363"/>
    <w:rsid w:val="006219DC"/>
    <w:rsid w:val="006220F6"/>
    <w:rsid w:val="00622712"/>
    <w:rsid w:val="00622925"/>
    <w:rsid w:val="00622BD9"/>
    <w:rsid w:val="006239EA"/>
    <w:rsid w:val="00623FCC"/>
    <w:rsid w:val="00624067"/>
    <w:rsid w:val="0062425E"/>
    <w:rsid w:val="00624461"/>
    <w:rsid w:val="00625181"/>
    <w:rsid w:val="00625D0B"/>
    <w:rsid w:val="00625E88"/>
    <w:rsid w:val="00626288"/>
    <w:rsid w:val="00626EEB"/>
    <w:rsid w:val="0062798A"/>
    <w:rsid w:val="00627A6B"/>
    <w:rsid w:val="00627A6C"/>
    <w:rsid w:val="00627ADC"/>
    <w:rsid w:val="00627D87"/>
    <w:rsid w:val="006301F1"/>
    <w:rsid w:val="00630390"/>
    <w:rsid w:val="00630CA2"/>
    <w:rsid w:val="00631481"/>
    <w:rsid w:val="00631484"/>
    <w:rsid w:val="00631A7C"/>
    <w:rsid w:val="006320EF"/>
    <w:rsid w:val="00632E4C"/>
    <w:rsid w:val="00632F39"/>
    <w:rsid w:val="00633243"/>
    <w:rsid w:val="00634429"/>
    <w:rsid w:val="006345DF"/>
    <w:rsid w:val="006346B1"/>
    <w:rsid w:val="0063513F"/>
    <w:rsid w:val="006358F0"/>
    <w:rsid w:val="00635AFB"/>
    <w:rsid w:val="006362B7"/>
    <w:rsid w:val="006371AD"/>
    <w:rsid w:val="006373B0"/>
    <w:rsid w:val="00637B51"/>
    <w:rsid w:val="00640037"/>
    <w:rsid w:val="006402DA"/>
    <w:rsid w:val="00640794"/>
    <w:rsid w:val="006413C1"/>
    <w:rsid w:val="00642951"/>
    <w:rsid w:val="00642F67"/>
    <w:rsid w:val="00642FB4"/>
    <w:rsid w:val="0064316D"/>
    <w:rsid w:val="0064372F"/>
    <w:rsid w:val="00643C4B"/>
    <w:rsid w:val="00643DB9"/>
    <w:rsid w:val="00644292"/>
    <w:rsid w:val="0064441D"/>
    <w:rsid w:val="00644524"/>
    <w:rsid w:val="00644BC1"/>
    <w:rsid w:val="0064502D"/>
    <w:rsid w:val="0064661D"/>
    <w:rsid w:val="00646E34"/>
    <w:rsid w:val="00646E35"/>
    <w:rsid w:val="00646E5A"/>
    <w:rsid w:val="00646EA0"/>
    <w:rsid w:val="00647FAE"/>
    <w:rsid w:val="00650314"/>
    <w:rsid w:val="0065099D"/>
    <w:rsid w:val="00650B43"/>
    <w:rsid w:val="00650DA8"/>
    <w:rsid w:val="006529A2"/>
    <w:rsid w:val="006529F1"/>
    <w:rsid w:val="00652AAA"/>
    <w:rsid w:val="00652BAC"/>
    <w:rsid w:val="00652C23"/>
    <w:rsid w:val="00652F23"/>
    <w:rsid w:val="006533B2"/>
    <w:rsid w:val="00653566"/>
    <w:rsid w:val="0065386F"/>
    <w:rsid w:val="00653938"/>
    <w:rsid w:val="00653A80"/>
    <w:rsid w:val="0065402F"/>
    <w:rsid w:val="006543B8"/>
    <w:rsid w:val="00654877"/>
    <w:rsid w:val="00654C27"/>
    <w:rsid w:val="00654C67"/>
    <w:rsid w:val="00654EF1"/>
    <w:rsid w:val="00655C0C"/>
    <w:rsid w:val="00655C24"/>
    <w:rsid w:val="00655E94"/>
    <w:rsid w:val="006566F2"/>
    <w:rsid w:val="00656777"/>
    <w:rsid w:val="00657661"/>
    <w:rsid w:val="006577F9"/>
    <w:rsid w:val="00657C9D"/>
    <w:rsid w:val="0066004B"/>
    <w:rsid w:val="006607C5"/>
    <w:rsid w:val="0066099B"/>
    <w:rsid w:val="00661677"/>
    <w:rsid w:val="006618F3"/>
    <w:rsid w:val="006646A8"/>
    <w:rsid w:val="00664905"/>
    <w:rsid w:val="0066507D"/>
    <w:rsid w:val="0066515E"/>
    <w:rsid w:val="00665380"/>
    <w:rsid w:val="00665DE0"/>
    <w:rsid w:val="00665F6C"/>
    <w:rsid w:val="00665FA1"/>
    <w:rsid w:val="0066616A"/>
    <w:rsid w:val="006662D9"/>
    <w:rsid w:val="006663BC"/>
    <w:rsid w:val="00666728"/>
    <w:rsid w:val="00667115"/>
    <w:rsid w:val="006713A5"/>
    <w:rsid w:val="0067178E"/>
    <w:rsid w:val="00672170"/>
    <w:rsid w:val="0067240A"/>
    <w:rsid w:val="006724EB"/>
    <w:rsid w:val="0067258C"/>
    <w:rsid w:val="00673039"/>
    <w:rsid w:val="0067318A"/>
    <w:rsid w:val="00674425"/>
    <w:rsid w:val="00674832"/>
    <w:rsid w:val="00674A47"/>
    <w:rsid w:val="00674B07"/>
    <w:rsid w:val="00674D02"/>
    <w:rsid w:val="00675B02"/>
    <w:rsid w:val="00675EAB"/>
    <w:rsid w:val="00675F9F"/>
    <w:rsid w:val="00677451"/>
    <w:rsid w:val="006776CE"/>
    <w:rsid w:val="00677B2E"/>
    <w:rsid w:val="00677CA1"/>
    <w:rsid w:val="00680CC3"/>
    <w:rsid w:val="00680D88"/>
    <w:rsid w:val="00680D97"/>
    <w:rsid w:val="00681066"/>
    <w:rsid w:val="0068149B"/>
    <w:rsid w:val="006814EB"/>
    <w:rsid w:val="00681583"/>
    <w:rsid w:val="00681806"/>
    <w:rsid w:val="00681E5F"/>
    <w:rsid w:val="006828EE"/>
    <w:rsid w:val="006845FD"/>
    <w:rsid w:val="0068464A"/>
    <w:rsid w:val="00686331"/>
    <w:rsid w:val="00686B7D"/>
    <w:rsid w:val="00686B7F"/>
    <w:rsid w:val="0068712E"/>
    <w:rsid w:val="0068713A"/>
    <w:rsid w:val="00687894"/>
    <w:rsid w:val="00687F0A"/>
    <w:rsid w:val="00690068"/>
    <w:rsid w:val="0069041E"/>
    <w:rsid w:val="006909B7"/>
    <w:rsid w:val="00690C34"/>
    <w:rsid w:val="00691BD5"/>
    <w:rsid w:val="00691BE0"/>
    <w:rsid w:val="0069209B"/>
    <w:rsid w:val="0069254E"/>
    <w:rsid w:val="006928DA"/>
    <w:rsid w:val="006929BC"/>
    <w:rsid w:val="00692C35"/>
    <w:rsid w:val="0069345C"/>
    <w:rsid w:val="00693DC0"/>
    <w:rsid w:val="00693F26"/>
    <w:rsid w:val="00694392"/>
    <w:rsid w:val="006950AD"/>
    <w:rsid w:val="00695E1E"/>
    <w:rsid w:val="006960C2"/>
    <w:rsid w:val="00696608"/>
    <w:rsid w:val="00696719"/>
    <w:rsid w:val="00696A3D"/>
    <w:rsid w:val="00696AA5"/>
    <w:rsid w:val="00696E37"/>
    <w:rsid w:val="00696E91"/>
    <w:rsid w:val="0069729E"/>
    <w:rsid w:val="00697C6D"/>
    <w:rsid w:val="006A0017"/>
    <w:rsid w:val="006A036B"/>
    <w:rsid w:val="006A1852"/>
    <w:rsid w:val="006A1A86"/>
    <w:rsid w:val="006A1AEE"/>
    <w:rsid w:val="006A257D"/>
    <w:rsid w:val="006A2844"/>
    <w:rsid w:val="006A30D9"/>
    <w:rsid w:val="006A3672"/>
    <w:rsid w:val="006A37EC"/>
    <w:rsid w:val="006A3D5F"/>
    <w:rsid w:val="006A411C"/>
    <w:rsid w:val="006A4856"/>
    <w:rsid w:val="006A4BDE"/>
    <w:rsid w:val="006A4D90"/>
    <w:rsid w:val="006A51B5"/>
    <w:rsid w:val="006A53D2"/>
    <w:rsid w:val="006A5B2F"/>
    <w:rsid w:val="006A5C5F"/>
    <w:rsid w:val="006A6BA2"/>
    <w:rsid w:val="006A7073"/>
    <w:rsid w:val="006A70AA"/>
    <w:rsid w:val="006A78F6"/>
    <w:rsid w:val="006A7A93"/>
    <w:rsid w:val="006A7CF9"/>
    <w:rsid w:val="006B0252"/>
    <w:rsid w:val="006B0916"/>
    <w:rsid w:val="006B208D"/>
    <w:rsid w:val="006B2961"/>
    <w:rsid w:val="006B2CA5"/>
    <w:rsid w:val="006B31EB"/>
    <w:rsid w:val="006B40A5"/>
    <w:rsid w:val="006B4586"/>
    <w:rsid w:val="006B4726"/>
    <w:rsid w:val="006B49B3"/>
    <w:rsid w:val="006B52E2"/>
    <w:rsid w:val="006B5B45"/>
    <w:rsid w:val="006B5D00"/>
    <w:rsid w:val="006B6346"/>
    <w:rsid w:val="006B6E91"/>
    <w:rsid w:val="006B7069"/>
    <w:rsid w:val="006B7DDA"/>
    <w:rsid w:val="006C003D"/>
    <w:rsid w:val="006C1E94"/>
    <w:rsid w:val="006C259F"/>
    <w:rsid w:val="006C2924"/>
    <w:rsid w:val="006C3343"/>
    <w:rsid w:val="006C40C5"/>
    <w:rsid w:val="006C4346"/>
    <w:rsid w:val="006C45D6"/>
    <w:rsid w:val="006C47E8"/>
    <w:rsid w:val="006C4808"/>
    <w:rsid w:val="006C4C38"/>
    <w:rsid w:val="006C5C86"/>
    <w:rsid w:val="006C5D80"/>
    <w:rsid w:val="006C6AB5"/>
    <w:rsid w:val="006C6F82"/>
    <w:rsid w:val="006C78C5"/>
    <w:rsid w:val="006C79AC"/>
    <w:rsid w:val="006D0099"/>
    <w:rsid w:val="006D07E6"/>
    <w:rsid w:val="006D0BB6"/>
    <w:rsid w:val="006D0E47"/>
    <w:rsid w:val="006D10ED"/>
    <w:rsid w:val="006D17F3"/>
    <w:rsid w:val="006D1BC2"/>
    <w:rsid w:val="006D1C37"/>
    <w:rsid w:val="006D29D2"/>
    <w:rsid w:val="006D2B0E"/>
    <w:rsid w:val="006D33AF"/>
    <w:rsid w:val="006D3F5F"/>
    <w:rsid w:val="006D4525"/>
    <w:rsid w:val="006D509F"/>
    <w:rsid w:val="006D5571"/>
    <w:rsid w:val="006D560A"/>
    <w:rsid w:val="006D5651"/>
    <w:rsid w:val="006D58B5"/>
    <w:rsid w:val="006D5CDC"/>
    <w:rsid w:val="006D6BAA"/>
    <w:rsid w:val="006D6F77"/>
    <w:rsid w:val="006D7005"/>
    <w:rsid w:val="006D70DC"/>
    <w:rsid w:val="006D7176"/>
    <w:rsid w:val="006D793D"/>
    <w:rsid w:val="006D7BA7"/>
    <w:rsid w:val="006D7ED7"/>
    <w:rsid w:val="006E00CF"/>
    <w:rsid w:val="006E06AE"/>
    <w:rsid w:val="006E0C8E"/>
    <w:rsid w:val="006E1270"/>
    <w:rsid w:val="006E1950"/>
    <w:rsid w:val="006E1967"/>
    <w:rsid w:val="006E1CBE"/>
    <w:rsid w:val="006E2AE6"/>
    <w:rsid w:val="006E2E43"/>
    <w:rsid w:val="006E31C4"/>
    <w:rsid w:val="006E3374"/>
    <w:rsid w:val="006E3543"/>
    <w:rsid w:val="006E48CF"/>
    <w:rsid w:val="006E4C3B"/>
    <w:rsid w:val="006E6AAA"/>
    <w:rsid w:val="006E7AC7"/>
    <w:rsid w:val="006F0679"/>
    <w:rsid w:val="006F0DD9"/>
    <w:rsid w:val="006F1EBB"/>
    <w:rsid w:val="006F26B5"/>
    <w:rsid w:val="006F3253"/>
    <w:rsid w:val="006F4395"/>
    <w:rsid w:val="006F47B3"/>
    <w:rsid w:val="006F4B18"/>
    <w:rsid w:val="006F501F"/>
    <w:rsid w:val="006F5555"/>
    <w:rsid w:val="006F566C"/>
    <w:rsid w:val="006F5C63"/>
    <w:rsid w:val="006F62BE"/>
    <w:rsid w:val="006F65A2"/>
    <w:rsid w:val="006F667A"/>
    <w:rsid w:val="006F6A41"/>
    <w:rsid w:val="006F6BE4"/>
    <w:rsid w:val="006F76CE"/>
    <w:rsid w:val="006F7FB6"/>
    <w:rsid w:val="00700126"/>
    <w:rsid w:val="007002F0"/>
    <w:rsid w:val="007005C5"/>
    <w:rsid w:val="00700F89"/>
    <w:rsid w:val="007014AB"/>
    <w:rsid w:val="007017C6"/>
    <w:rsid w:val="00701DD6"/>
    <w:rsid w:val="00701ED0"/>
    <w:rsid w:val="00702605"/>
    <w:rsid w:val="00702733"/>
    <w:rsid w:val="00703028"/>
    <w:rsid w:val="00703323"/>
    <w:rsid w:val="007037FE"/>
    <w:rsid w:val="00703CCF"/>
    <w:rsid w:val="0070417A"/>
    <w:rsid w:val="0070421E"/>
    <w:rsid w:val="00704805"/>
    <w:rsid w:val="0070500E"/>
    <w:rsid w:val="0070567E"/>
    <w:rsid w:val="00706B69"/>
    <w:rsid w:val="00706DA6"/>
    <w:rsid w:val="00707E4A"/>
    <w:rsid w:val="00707FE2"/>
    <w:rsid w:val="00710FCE"/>
    <w:rsid w:val="00711002"/>
    <w:rsid w:val="00711E55"/>
    <w:rsid w:val="00711F2D"/>
    <w:rsid w:val="007120D0"/>
    <w:rsid w:val="00712EA1"/>
    <w:rsid w:val="00713606"/>
    <w:rsid w:val="007138F8"/>
    <w:rsid w:val="00715C32"/>
    <w:rsid w:val="00715D5C"/>
    <w:rsid w:val="007165FF"/>
    <w:rsid w:val="0071692C"/>
    <w:rsid w:val="0071697B"/>
    <w:rsid w:val="00717389"/>
    <w:rsid w:val="0071746E"/>
    <w:rsid w:val="00717666"/>
    <w:rsid w:val="0071771E"/>
    <w:rsid w:val="00717863"/>
    <w:rsid w:val="00720468"/>
    <w:rsid w:val="00720E85"/>
    <w:rsid w:val="00722780"/>
    <w:rsid w:val="007229BC"/>
    <w:rsid w:val="007231F9"/>
    <w:rsid w:val="00723850"/>
    <w:rsid w:val="00723E14"/>
    <w:rsid w:val="00723E4D"/>
    <w:rsid w:val="0072408B"/>
    <w:rsid w:val="0072421B"/>
    <w:rsid w:val="00724E87"/>
    <w:rsid w:val="00725048"/>
    <w:rsid w:val="007250D0"/>
    <w:rsid w:val="0072590A"/>
    <w:rsid w:val="00725A5F"/>
    <w:rsid w:val="00725AF7"/>
    <w:rsid w:val="00725F0B"/>
    <w:rsid w:val="00726043"/>
    <w:rsid w:val="00726154"/>
    <w:rsid w:val="0072647B"/>
    <w:rsid w:val="0072712E"/>
    <w:rsid w:val="007275A6"/>
    <w:rsid w:val="007275BB"/>
    <w:rsid w:val="00730004"/>
    <w:rsid w:val="0073085B"/>
    <w:rsid w:val="0073131E"/>
    <w:rsid w:val="007316E2"/>
    <w:rsid w:val="007325E5"/>
    <w:rsid w:val="00732F03"/>
    <w:rsid w:val="00733154"/>
    <w:rsid w:val="00733850"/>
    <w:rsid w:val="00734464"/>
    <w:rsid w:val="00734944"/>
    <w:rsid w:val="00734995"/>
    <w:rsid w:val="00734B62"/>
    <w:rsid w:val="00734B77"/>
    <w:rsid w:val="00734E24"/>
    <w:rsid w:val="00735489"/>
    <w:rsid w:val="00735C6E"/>
    <w:rsid w:val="00735FDB"/>
    <w:rsid w:val="00736E61"/>
    <w:rsid w:val="00736ECE"/>
    <w:rsid w:val="00737068"/>
    <w:rsid w:val="00737109"/>
    <w:rsid w:val="00737866"/>
    <w:rsid w:val="00737D71"/>
    <w:rsid w:val="00740B07"/>
    <w:rsid w:val="00740BCB"/>
    <w:rsid w:val="007416B1"/>
    <w:rsid w:val="007416D0"/>
    <w:rsid w:val="00741C58"/>
    <w:rsid w:val="0074248E"/>
    <w:rsid w:val="00743AAE"/>
    <w:rsid w:val="00743AFE"/>
    <w:rsid w:val="00743B66"/>
    <w:rsid w:val="00743C37"/>
    <w:rsid w:val="00744E83"/>
    <w:rsid w:val="00745299"/>
    <w:rsid w:val="00745D7C"/>
    <w:rsid w:val="0074699E"/>
    <w:rsid w:val="00746B38"/>
    <w:rsid w:val="00746CAD"/>
    <w:rsid w:val="00746EDB"/>
    <w:rsid w:val="0074727F"/>
    <w:rsid w:val="00747D99"/>
    <w:rsid w:val="007506BF"/>
    <w:rsid w:val="0075162E"/>
    <w:rsid w:val="00751F39"/>
    <w:rsid w:val="007520F6"/>
    <w:rsid w:val="0075228C"/>
    <w:rsid w:val="00752884"/>
    <w:rsid w:val="00752C9B"/>
    <w:rsid w:val="00753299"/>
    <w:rsid w:val="00753484"/>
    <w:rsid w:val="007534E3"/>
    <w:rsid w:val="00753807"/>
    <w:rsid w:val="007539EA"/>
    <w:rsid w:val="00754500"/>
    <w:rsid w:val="007552AD"/>
    <w:rsid w:val="00755695"/>
    <w:rsid w:val="00755D7C"/>
    <w:rsid w:val="00756A36"/>
    <w:rsid w:val="00756D63"/>
    <w:rsid w:val="00756E11"/>
    <w:rsid w:val="00757183"/>
    <w:rsid w:val="00757578"/>
    <w:rsid w:val="00757A6A"/>
    <w:rsid w:val="00757AC9"/>
    <w:rsid w:val="00757CC2"/>
    <w:rsid w:val="00760072"/>
    <w:rsid w:val="00760148"/>
    <w:rsid w:val="00761008"/>
    <w:rsid w:val="007610E0"/>
    <w:rsid w:val="00761355"/>
    <w:rsid w:val="007614AF"/>
    <w:rsid w:val="00762619"/>
    <w:rsid w:val="0076291D"/>
    <w:rsid w:val="00762FD8"/>
    <w:rsid w:val="00763633"/>
    <w:rsid w:val="00763FA1"/>
    <w:rsid w:val="00764B36"/>
    <w:rsid w:val="00764BD5"/>
    <w:rsid w:val="00764EC1"/>
    <w:rsid w:val="00764F35"/>
    <w:rsid w:val="0076542C"/>
    <w:rsid w:val="007658E1"/>
    <w:rsid w:val="007659B0"/>
    <w:rsid w:val="00765F04"/>
    <w:rsid w:val="007666A9"/>
    <w:rsid w:val="00766E62"/>
    <w:rsid w:val="007676FE"/>
    <w:rsid w:val="00770135"/>
    <w:rsid w:val="00770159"/>
    <w:rsid w:val="007704C2"/>
    <w:rsid w:val="00770564"/>
    <w:rsid w:val="00770569"/>
    <w:rsid w:val="00770618"/>
    <w:rsid w:val="007709E1"/>
    <w:rsid w:val="00770F4A"/>
    <w:rsid w:val="00771894"/>
    <w:rsid w:val="00771E95"/>
    <w:rsid w:val="00771EEB"/>
    <w:rsid w:val="00772A8C"/>
    <w:rsid w:val="00773F0E"/>
    <w:rsid w:val="00774412"/>
    <w:rsid w:val="0077497E"/>
    <w:rsid w:val="0077531A"/>
    <w:rsid w:val="00775895"/>
    <w:rsid w:val="00776526"/>
    <w:rsid w:val="00776BAC"/>
    <w:rsid w:val="00777783"/>
    <w:rsid w:val="00777905"/>
    <w:rsid w:val="007779C3"/>
    <w:rsid w:val="00777B40"/>
    <w:rsid w:val="00777DC6"/>
    <w:rsid w:val="00777FFD"/>
    <w:rsid w:val="0078229B"/>
    <w:rsid w:val="007823D5"/>
    <w:rsid w:val="0078276E"/>
    <w:rsid w:val="0078277F"/>
    <w:rsid w:val="00784011"/>
    <w:rsid w:val="00784028"/>
    <w:rsid w:val="007843FE"/>
    <w:rsid w:val="00784A6D"/>
    <w:rsid w:val="00784BC9"/>
    <w:rsid w:val="00785267"/>
    <w:rsid w:val="00785BAF"/>
    <w:rsid w:val="00785E60"/>
    <w:rsid w:val="00786508"/>
    <w:rsid w:val="00786A95"/>
    <w:rsid w:val="00786FCF"/>
    <w:rsid w:val="0078778B"/>
    <w:rsid w:val="007878AB"/>
    <w:rsid w:val="00787A9A"/>
    <w:rsid w:val="00787E32"/>
    <w:rsid w:val="0079038A"/>
    <w:rsid w:val="007906F4"/>
    <w:rsid w:val="007907EE"/>
    <w:rsid w:val="00790924"/>
    <w:rsid w:val="00790B0B"/>
    <w:rsid w:val="00791814"/>
    <w:rsid w:val="00791DC1"/>
    <w:rsid w:val="007921C4"/>
    <w:rsid w:val="0079245A"/>
    <w:rsid w:val="00792631"/>
    <w:rsid w:val="00792D1B"/>
    <w:rsid w:val="00792D57"/>
    <w:rsid w:val="007939A2"/>
    <w:rsid w:val="00793F70"/>
    <w:rsid w:val="00794A60"/>
    <w:rsid w:val="0079508B"/>
    <w:rsid w:val="007955CC"/>
    <w:rsid w:val="0079585F"/>
    <w:rsid w:val="00795FED"/>
    <w:rsid w:val="00796E91"/>
    <w:rsid w:val="00797115"/>
    <w:rsid w:val="007971F5"/>
    <w:rsid w:val="007979DE"/>
    <w:rsid w:val="00797FEC"/>
    <w:rsid w:val="007A04E6"/>
    <w:rsid w:val="007A214B"/>
    <w:rsid w:val="007A24B3"/>
    <w:rsid w:val="007A2568"/>
    <w:rsid w:val="007A33BF"/>
    <w:rsid w:val="007A390A"/>
    <w:rsid w:val="007A396C"/>
    <w:rsid w:val="007A441D"/>
    <w:rsid w:val="007A48E3"/>
    <w:rsid w:val="007A4F40"/>
    <w:rsid w:val="007A53D7"/>
    <w:rsid w:val="007A5955"/>
    <w:rsid w:val="007A59B7"/>
    <w:rsid w:val="007A5DC2"/>
    <w:rsid w:val="007A6C88"/>
    <w:rsid w:val="007A718D"/>
    <w:rsid w:val="007A72F9"/>
    <w:rsid w:val="007A7A5C"/>
    <w:rsid w:val="007B0646"/>
    <w:rsid w:val="007B0741"/>
    <w:rsid w:val="007B0872"/>
    <w:rsid w:val="007B0B6B"/>
    <w:rsid w:val="007B1402"/>
    <w:rsid w:val="007B2819"/>
    <w:rsid w:val="007B29BA"/>
    <w:rsid w:val="007B2CFE"/>
    <w:rsid w:val="007B3374"/>
    <w:rsid w:val="007B3463"/>
    <w:rsid w:val="007B3C1F"/>
    <w:rsid w:val="007B405F"/>
    <w:rsid w:val="007B40C8"/>
    <w:rsid w:val="007B454F"/>
    <w:rsid w:val="007B5A1C"/>
    <w:rsid w:val="007B65C0"/>
    <w:rsid w:val="007B71CE"/>
    <w:rsid w:val="007B77BC"/>
    <w:rsid w:val="007B7A96"/>
    <w:rsid w:val="007B7F16"/>
    <w:rsid w:val="007C0451"/>
    <w:rsid w:val="007C0A24"/>
    <w:rsid w:val="007C0E35"/>
    <w:rsid w:val="007C11D2"/>
    <w:rsid w:val="007C17B4"/>
    <w:rsid w:val="007C1F7F"/>
    <w:rsid w:val="007C2130"/>
    <w:rsid w:val="007C2473"/>
    <w:rsid w:val="007C2B02"/>
    <w:rsid w:val="007C3285"/>
    <w:rsid w:val="007C3754"/>
    <w:rsid w:val="007C38B5"/>
    <w:rsid w:val="007C3AA5"/>
    <w:rsid w:val="007C3E99"/>
    <w:rsid w:val="007C4A8D"/>
    <w:rsid w:val="007C4CA9"/>
    <w:rsid w:val="007C4F7E"/>
    <w:rsid w:val="007C50BA"/>
    <w:rsid w:val="007C5CF3"/>
    <w:rsid w:val="007C5FC9"/>
    <w:rsid w:val="007C61A9"/>
    <w:rsid w:val="007C6E8D"/>
    <w:rsid w:val="007C7A28"/>
    <w:rsid w:val="007D0239"/>
    <w:rsid w:val="007D089E"/>
    <w:rsid w:val="007D0BF5"/>
    <w:rsid w:val="007D0FE4"/>
    <w:rsid w:val="007D116B"/>
    <w:rsid w:val="007D198C"/>
    <w:rsid w:val="007D1B7A"/>
    <w:rsid w:val="007D2050"/>
    <w:rsid w:val="007D47AA"/>
    <w:rsid w:val="007D4AAE"/>
    <w:rsid w:val="007D4ED9"/>
    <w:rsid w:val="007D5037"/>
    <w:rsid w:val="007D50CF"/>
    <w:rsid w:val="007D5E2F"/>
    <w:rsid w:val="007D6F1E"/>
    <w:rsid w:val="007D7876"/>
    <w:rsid w:val="007E041E"/>
    <w:rsid w:val="007E0432"/>
    <w:rsid w:val="007E0C68"/>
    <w:rsid w:val="007E16E5"/>
    <w:rsid w:val="007E1CEE"/>
    <w:rsid w:val="007E1F38"/>
    <w:rsid w:val="007E22E5"/>
    <w:rsid w:val="007E2A8C"/>
    <w:rsid w:val="007E2F58"/>
    <w:rsid w:val="007E3019"/>
    <w:rsid w:val="007E3222"/>
    <w:rsid w:val="007E329F"/>
    <w:rsid w:val="007E32FD"/>
    <w:rsid w:val="007E3B82"/>
    <w:rsid w:val="007E4DD9"/>
    <w:rsid w:val="007E5434"/>
    <w:rsid w:val="007E62E3"/>
    <w:rsid w:val="007E63B5"/>
    <w:rsid w:val="007E64CB"/>
    <w:rsid w:val="007E6EAA"/>
    <w:rsid w:val="007E756D"/>
    <w:rsid w:val="007E75FD"/>
    <w:rsid w:val="007F03C2"/>
    <w:rsid w:val="007F0F18"/>
    <w:rsid w:val="007F2708"/>
    <w:rsid w:val="007F2B51"/>
    <w:rsid w:val="007F3386"/>
    <w:rsid w:val="007F3428"/>
    <w:rsid w:val="007F3594"/>
    <w:rsid w:val="007F3F01"/>
    <w:rsid w:val="007F4507"/>
    <w:rsid w:val="007F4FCF"/>
    <w:rsid w:val="007F520A"/>
    <w:rsid w:val="007F5AA9"/>
    <w:rsid w:val="007F5BB7"/>
    <w:rsid w:val="007F6C31"/>
    <w:rsid w:val="007F6E33"/>
    <w:rsid w:val="007F6EF2"/>
    <w:rsid w:val="007F73DF"/>
    <w:rsid w:val="008005A3"/>
    <w:rsid w:val="0080091F"/>
    <w:rsid w:val="008009F3"/>
    <w:rsid w:val="00800D55"/>
    <w:rsid w:val="00800EF1"/>
    <w:rsid w:val="0080224A"/>
    <w:rsid w:val="00802373"/>
    <w:rsid w:val="00802B61"/>
    <w:rsid w:val="00802CAA"/>
    <w:rsid w:val="00802D58"/>
    <w:rsid w:val="00803145"/>
    <w:rsid w:val="00803C16"/>
    <w:rsid w:val="008044B9"/>
    <w:rsid w:val="008046EF"/>
    <w:rsid w:val="008046FD"/>
    <w:rsid w:val="008048D7"/>
    <w:rsid w:val="0080517D"/>
    <w:rsid w:val="008078CC"/>
    <w:rsid w:val="00810430"/>
    <w:rsid w:val="00810C99"/>
    <w:rsid w:val="00810D27"/>
    <w:rsid w:val="00811331"/>
    <w:rsid w:val="00811A0F"/>
    <w:rsid w:val="00811BD3"/>
    <w:rsid w:val="008125E7"/>
    <w:rsid w:val="00813E0B"/>
    <w:rsid w:val="008147BA"/>
    <w:rsid w:val="00814C9D"/>
    <w:rsid w:val="00814ED5"/>
    <w:rsid w:val="00815281"/>
    <w:rsid w:val="008159D7"/>
    <w:rsid w:val="00815CF2"/>
    <w:rsid w:val="008169C3"/>
    <w:rsid w:val="00816CFD"/>
    <w:rsid w:val="008172B1"/>
    <w:rsid w:val="00817D27"/>
    <w:rsid w:val="00820BC2"/>
    <w:rsid w:val="00820F7B"/>
    <w:rsid w:val="00821310"/>
    <w:rsid w:val="00821622"/>
    <w:rsid w:val="00821BD1"/>
    <w:rsid w:val="00821D3F"/>
    <w:rsid w:val="00821FC9"/>
    <w:rsid w:val="00822E27"/>
    <w:rsid w:val="00823346"/>
    <w:rsid w:val="008238C7"/>
    <w:rsid w:val="00823914"/>
    <w:rsid w:val="0082443B"/>
    <w:rsid w:val="00824879"/>
    <w:rsid w:val="0082496A"/>
    <w:rsid w:val="00824B9D"/>
    <w:rsid w:val="00825086"/>
    <w:rsid w:val="008252A9"/>
    <w:rsid w:val="008263D1"/>
    <w:rsid w:val="00826592"/>
    <w:rsid w:val="008266C1"/>
    <w:rsid w:val="00826A6D"/>
    <w:rsid w:val="00826BBA"/>
    <w:rsid w:val="00826BBD"/>
    <w:rsid w:val="008275E0"/>
    <w:rsid w:val="0083033A"/>
    <w:rsid w:val="0083110F"/>
    <w:rsid w:val="0083114D"/>
    <w:rsid w:val="00831943"/>
    <w:rsid w:val="00831B33"/>
    <w:rsid w:val="0083241A"/>
    <w:rsid w:val="00832E5A"/>
    <w:rsid w:val="00833D48"/>
    <w:rsid w:val="00833F93"/>
    <w:rsid w:val="008341E9"/>
    <w:rsid w:val="00834513"/>
    <w:rsid w:val="008345F7"/>
    <w:rsid w:val="008349AE"/>
    <w:rsid w:val="0083552C"/>
    <w:rsid w:val="00835A56"/>
    <w:rsid w:val="00835F8C"/>
    <w:rsid w:val="00836950"/>
    <w:rsid w:val="00837234"/>
    <w:rsid w:val="008376FB"/>
    <w:rsid w:val="00837FAB"/>
    <w:rsid w:val="008401DC"/>
    <w:rsid w:val="00840325"/>
    <w:rsid w:val="00840A4A"/>
    <w:rsid w:val="00841105"/>
    <w:rsid w:val="00841C6A"/>
    <w:rsid w:val="0084259C"/>
    <w:rsid w:val="00842757"/>
    <w:rsid w:val="00843038"/>
    <w:rsid w:val="0084363D"/>
    <w:rsid w:val="00843980"/>
    <w:rsid w:val="00843D17"/>
    <w:rsid w:val="00844266"/>
    <w:rsid w:val="00844532"/>
    <w:rsid w:val="00844938"/>
    <w:rsid w:val="00844F03"/>
    <w:rsid w:val="00845969"/>
    <w:rsid w:val="008464BB"/>
    <w:rsid w:val="00846E3E"/>
    <w:rsid w:val="008470FD"/>
    <w:rsid w:val="00847362"/>
    <w:rsid w:val="00847747"/>
    <w:rsid w:val="00847F76"/>
    <w:rsid w:val="00850680"/>
    <w:rsid w:val="008514F5"/>
    <w:rsid w:val="0085176B"/>
    <w:rsid w:val="00852329"/>
    <w:rsid w:val="00852768"/>
    <w:rsid w:val="00852929"/>
    <w:rsid w:val="00853A42"/>
    <w:rsid w:val="00856A22"/>
    <w:rsid w:val="00856B15"/>
    <w:rsid w:val="008571E3"/>
    <w:rsid w:val="00857770"/>
    <w:rsid w:val="0085797C"/>
    <w:rsid w:val="00857A66"/>
    <w:rsid w:val="008606C5"/>
    <w:rsid w:val="00860701"/>
    <w:rsid w:val="00860B38"/>
    <w:rsid w:val="00860C18"/>
    <w:rsid w:val="00860C30"/>
    <w:rsid w:val="00861243"/>
    <w:rsid w:val="008616FE"/>
    <w:rsid w:val="00862305"/>
    <w:rsid w:val="00862729"/>
    <w:rsid w:val="00862D0A"/>
    <w:rsid w:val="008639E5"/>
    <w:rsid w:val="008643CB"/>
    <w:rsid w:val="00864880"/>
    <w:rsid w:val="00865370"/>
    <w:rsid w:val="00865371"/>
    <w:rsid w:val="008657C3"/>
    <w:rsid w:val="008659BD"/>
    <w:rsid w:val="00866530"/>
    <w:rsid w:val="00866892"/>
    <w:rsid w:val="008668C8"/>
    <w:rsid w:val="008674E7"/>
    <w:rsid w:val="00867DEB"/>
    <w:rsid w:val="00870560"/>
    <w:rsid w:val="008706C0"/>
    <w:rsid w:val="00870E99"/>
    <w:rsid w:val="00872088"/>
    <w:rsid w:val="00872F31"/>
    <w:rsid w:val="0087306C"/>
    <w:rsid w:val="0087309C"/>
    <w:rsid w:val="008736B0"/>
    <w:rsid w:val="00874369"/>
    <w:rsid w:val="00874AA0"/>
    <w:rsid w:val="00874E52"/>
    <w:rsid w:val="00875066"/>
    <w:rsid w:val="0087563E"/>
    <w:rsid w:val="00875A37"/>
    <w:rsid w:val="00875EF4"/>
    <w:rsid w:val="00875FA8"/>
    <w:rsid w:val="008764D2"/>
    <w:rsid w:val="008768F4"/>
    <w:rsid w:val="008773B1"/>
    <w:rsid w:val="00880829"/>
    <w:rsid w:val="0088107C"/>
    <w:rsid w:val="00881646"/>
    <w:rsid w:val="00881A5A"/>
    <w:rsid w:val="0088240F"/>
    <w:rsid w:val="0088266F"/>
    <w:rsid w:val="0088271B"/>
    <w:rsid w:val="00882EEE"/>
    <w:rsid w:val="00882FA9"/>
    <w:rsid w:val="008839ED"/>
    <w:rsid w:val="00884824"/>
    <w:rsid w:val="00884A8F"/>
    <w:rsid w:val="0088532A"/>
    <w:rsid w:val="00885367"/>
    <w:rsid w:val="008855DE"/>
    <w:rsid w:val="008856BD"/>
    <w:rsid w:val="00885DCB"/>
    <w:rsid w:val="00886099"/>
    <w:rsid w:val="00886215"/>
    <w:rsid w:val="00886A55"/>
    <w:rsid w:val="00890522"/>
    <w:rsid w:val="0089062C"/>
    <w:rsid w:val="00890FC0"/>
    <w:rsid w:val="00891A2A"/>
    <w:rsid w:val="00891F34"/>
    <w:rsid w:val="0089259E"/>
    <w:rsid w:val="00892FE3"/>
    <w:rsid w:val="008932E1"/>
    <w:rsid w:val="008934EB"/>
    <w:rsid w:val="00893B2B"/>
    <w:rsid w:val="00894519"/>
    <w:rsid w:val="0089468C"/>
    <w:rsid w:val="00894DF4"/>
    <w:rsid w:val="00895C43"/>
    <w:rsid w:val="00895DDD"/>
    <w:rsid w:val="00895FD4"/>
    <w:rsid w:val="00896566"/>
    <w:rsid w:val="00896E8F"/>
    <w:rsid w:val="008973B3"/>
    <w:rsid w:val="0089762E"/>
    <w:rsid w:val="008A1B51"/>
    <w:rsid w:val="008A27A9"/>
    <w:rsid w:val="008A2858"/>
    <w:rsid w:val="008A2EFD"/>
    <w:rsid w:val="008A4109"/>
    <w:rsid w:val="008A4FBC"/>
    <w:rsid w:val="008A5264"/>
    <w:rsid w:val="008A5286"/>
    <w:rsid w:val="008A59E6"/>
    <w:rsid w:val="008A59E9"/>
    <w:rsid w:val="008A6115"/>
    <w:rsid w:val="008A69B3"/>
    <w:rsid w:val="008A6AC0"/>
    <w:rsid w:val="008A6B56"/>
    <w:rsid w:val="008A6ED9"/>
    <w:rsid w:val="008A75AA"/>
    <w:rsid w:val="008A796E"/>
    <w:rsid w:val="008A79F0"/>
    <w:rsid w:val="008B2931"/>
    <w:rsid w:val="008B2CDB"/>
    <w:rsid w:val="008B38B9"/>
    <w:rsid w:val="008B3B82"/>
    <w:rsid w:val="008B4388"/>
    <w:rsid w:val="008B50D1"/>
    <w:rsid w:val="008B5503"/>
    <w:rsid w:val="008B5E4E"/>
    <w:rsid w:val="008B6556"/>
    <w:rsid w:val="008B6F55"/>
    <w:rsid w:val="008B718B"/>
    <w:rsid w:val="008B777A"/>
    <w:rsid w:val="008B7ACF"/>
    <w:rsid w:val="008C02CF"/>
    <w:rsid w:val="008C0A65"/>
    <w:rsid w:val="008C0B06"/>
    <w:rsid w:val="008C1277"/>
    <w:rsid w:val="008C18AF"/>
    <w:rsid w:val="008C1CCF"/>
    <w:rsid w:val="008C260C"/>
    <w:rsid w:val="008C2764"/>
    <w:rsid w:val="008C3614"/>
    <w:rsid w:val="008C3919"/>
    <w:rsid w:val="008C3ABE"/>
    <w:rsid w:val="008C408C"/>
    <w:rsid w:val="008C5312"/>
    <w:rsid w:val="008C5465"/>
    <w:rsid w:val="008C5AB2"/>
    <w:rsid w:val="008C69D8"/>
    <w:rsid w:val="008C6D2A"/>
    <w:rsid w:val="008C6F2B"/>
    <w:rsid w:val="008C78AD"/>
    <w:rsid w:val="008D0861"/>
    <w:rsid w:val="008D08DC"/>
    <w:rsid w:val="008D0C7A"/>
    <w:rsid w:val="008D0CC9"/>
    <w:rsid w:val="008D0D4E"/>
    <w:rsid w:val="008D0EF5"/>
    <w:rsid w:val="008D10EE"/>
    <w:rsid w:val="008D17C5"/>
    <w:rsid w:val="008D1E1E"/>
    <w:rsid w:val="008D2DBF"/>
    <w:rsid w:val="008D356B"/>
    <w:rsid w:val="008D4A4E"/>
    <w:rsid w:val="008D5571"/>
    <w:rsid w:val="008D5ADD"/>
    <w:rsid w:val="008D5B26"/>
    <w:rsid w:val="008D5F2F"/>
    <w:rsid w:val="008D67E9"/>
    <w:rsid w:val="008D67F1"/>
    <w:rsid w:val="008D68D8"/>
    <w:rsid w:val="008D6A83"/>
    <w:rsid w:val="008D79A4"/>
    <w:rsid w:val="008E0079"/>
    <w:rsid w:val="008E02DC"/>
    <w:rsid w:val="008E0438"/>
    <w:rsid w:val="008E0707"/>
    <w:rsid w:val="008E070F"/>
    <w:rsid w:val="008E0BE6"/>
    <w:rsid w:val="008E0C1C"/>
    <w:rsid w:val="008E0CA2"/>
    <w:rsid w:val="008E0E9B"/>
    <w:rsid w:val="008E234A"/>
    <w:rsid w:val="008E361D"/>
    <w:rsid w:val="008E40C3"/>
    <w:rsid w:val="008E49CE"/>
    <w:rsid w:val="008E63D1"/>
    <w:rsid w:val="008E63DD"/>
    <w:rsid w:val="008E6542"/>
    <w:rsid w:val="008E778A"/>
    <w:rsid w:val="008E7F13"/>
    <w:rsid w:val="008F02FB"/>
    <w:rsid w:val="008F08A4"/>
    <w:rsid w:val="008F09E6"/>
    <w:rsid w:val="008F0EC1"/>
    <w:rsid w:val="008F1908"/>
    <w:rsid w:val="008F231F"/>
    <w:rsid w:val="008F3717"/>
    <w:rsid w:val="008F3AC5"/>
    <w:rsid w:val="008F40CF"/>
    <w:rsid w:val="008F4870"/>
    <w:rsid w:val="008F4900"/>
    <w:rsid w:val="008F6725"/>
    <w:rsid w:val="008F6E96"/>
    <w:rsid w:val="008F7B96"/>
    <w:rsid w:val="008F7D23"/>
    <w:rsid w:val="00900732"/>
    <w:rsid w:val="009010E8"/>
    <w:rsid w:val="009011D9"/>
    <w:rsid w:val="009012B3"/>
    <w:rsid w:val="00901537"/>
    <w:rsid w:val="00901AA9"/>
    <w:rsid w:val="00901E95"/>
    <w:rsid w:val="00902684"/>
    <w:rsid w:val="00902B73"/>
    <w:rsid w:val="00902C24"/>
    <w:rsid w:val="00902CFC"/>
    <w:rsid w:val="00902ED6"/>
    <w:rsid w:val="009032FA"/>
    <w:rsid w:val="0090355E"/>
    <w:rsid w:val="009037F5"/>
    <w:rsid w:val="00903D31"/>
    <w:rsid w:val="009040AF"/>
    <w:rsid w:val="009044E8"/>
    <w:rsid w:val="009054DE"/>
    <w:rsid w:val="00905547"/>
    <w:rsid w:val="00905973"/>
    <w:rsid w:val="00906318"/>
    <w:rsid w:val="0090780C"/>
    <w:rsid w:val="00907ABC"/>
    <w:rsid w:val="00907D9D"/>
    <w:rsid w:val="00910B37"/>
    <w:rsid w:val="00911359"/>
    <w:rsid w:val="009128E9"/>
    <w:rsid w:val="0091397D"/>
    <w:rsid w:val="00913DB9"/>
    <w:rsid w:val="00913E0B"/>
    <w:rsid w:val="00913E8C"/>
    <w:rsid w:val="009147B4"/>
    <w:rsid w:val="0091519C"/>
    <w:rsid w:val="00915B65"/>
    <w:rsid w:val="00915B9F"/>
    <w:rsid w:val="00915D0B"/>
    <w:rsid w:val="00915FF5"/>
    <w:rsid w:val="00916A25"/>
    <w:rsid w:val="009170C0"/>
    <w:rsid w:val="0091735E"/>
    <w:rsid w:val="00917549"/>
    <w:rsid w:val="0091772D"/>
    <w:rsid w:val="0091786E"/>
    <w:rsid w:val="00917ED9"/>
    <w:rsid w:val="00917F46"/>
    <w:rsid w:val="009212AC"/>
    <w:rsid w:val="009215A8"/>
    <w:rsid w:val="009221B6"/>
    <w:rsid w:val="009225E0"/>
    <w:rsid w:val="00922792"/>
    <w:rsid w:val="00923493"/>
    <w:rsid w:val="009236C1"/>
    <w:rsid w:val="00923DA4"/>
    <w:rsid w:val="00924C83"/>
    <w:rsid w:val="00926004"/>
    <w:rsid w:val="0092622D"/>
    <w:rsid w:val="00926B12"/>
    <w:rsid w:val="009272E2"/>
    <w:rsid w:val="00927E92"/>
    <w:rsid w:val="00930769"/>
    <w:rsid w:val="00930F48"/>
    <w:rsid w:val="0093107D"/>
    <w:rsid w:val="00931597"/>
    <w:rsid w:val="0093199E"/>
    <w:rsid w:val="00931A47"/>
    <w:rsid w:val="0093209D"/>
    <w:rsid w:val="009320AF"/>
    <w:rsid w:val="00932E01"/>
    <w:rsid w:val="00933CE3"/>
    <w:rsid w:val="00933FEE"/>
    <w:rsid w:val="0093471A"/>
    <w:rsid w:val="00935342"/>
    <w:rsid w:val="009358A8"/>
    <w:rsid w:val="009358AC"/>
    <w:rsid w:val="0093634F"/>
    <w:rsid w:val="00936640"/>
    <w:rsid w:val="009369CB"/>
    <w:rsid w:val="00936C69"/>
    <w:rsid w:val="00936F28"/>
    <w:rsid w:val="00937E13"/>
    <w:rsid w:val="00940665"/>
    <w:rsid w:val="00940724"/>
    <w:rsid w:val="009417A7"/>
    <w:rsid w:val="00942C85"/>
    <w:rsid w:val="0094358E"/>
    <w:rsid w:val="00943C93"/>
    <w:rsid w:val="009444F4"/>
    <w:rsid w:val="0094507D"/>
    <w:rsid w:val="009450A9"/>
    <w:rsid w:val="009450C0"/>
    <w:rsid w:val="009451B3"/>
    <w:rsid w:val="009455BD"/>
    <w:rsid w:val="0094620F"/>
    <w:rsid w:val="0094660F"/>
    <w:rsid w:val="00946CA4"/>
    <w:rsid w:val="0094758C"/>
    <w:rsid w:val="00947AD3"/>
    <w:rsid w:val="00947FBB"/>
    <w:rsid w:val="009500BE"/>
    <w:rsid w:val="0095032B"/>
    <w:rsid w:val="00950768"/>
    <w:rsid w:val="00951041"/>
    <w:rsid w:val="00951800"/>
    <w:rsid w:val="00951BF9"/>
    <w:rsid w:val="00951E52"/>
    <w:rsid w:val="00951FE1"/>
    <w:rsid w:val="00952094"/>
    <w:rsid w:val="00952267"/>
    <w:rsid w:val="009523EB"/>
    <w:rsid w:val="0095280F"/>
    <w:rsid w:val="00952C5D"/>
    <w:rsid w:val="00952D16"/>
    <w:rsid w:val="00952D8A"/>
    <w:rsid w:val="009530AB"/>
    <w:rsid w:val="00953815"/>
    <w:rsid w:val="00953DA4"/>
    <w:rsid w:val="00954E62"/>
    <w:rsid w:val="0095671D"/>
    <w:rsid w:val="00956A4C"/>
    <w:rsid w:val="009570D2"/>
    <w:rsid w:val="009602E1"/>
    <w:rsid w:val="00960347"/>
    <w:rsid w:val="009604D5"/>
    <w:rsid w:val="00960567"/>
    <w:rsid w:val="00960C44"/>
    <w:rsid w:val="00960D03"/>
    <w:rsid w:val="00961795"/>
    <w:rsid w:val="00961A4E"/>
    <w:rsid w:val="00962AEB"/>
    <w:rsid w:val="00962E53"/>
    <w:rsid w:val="0096326C"/>
    <w:rsid w:val="009645C3"/>
    <w:rsid w:val="00965110"/>
    <w:rsid w:val="00965506"/>
    <w:rsid w:val="0096552F"/>
    <w:rsid w:val="0096608C"/>
    <w:rsid w:val="00966BB3"/>
    <w:rsid w:val="0096756E"/>
    <w:rsid w:val="00967A56"/>
    <w:rsid w:val="00967E30"/>
    <w:rsid w:val="0097132C"/>
    <w:rsid w:val="0097166D"/>
    <w:rsid w:val="00971727"/>
    <w:rsid w:val="009717EF"/>
    <w:rsid w:val="00971995"/>
    <w:rsid w:val="00971D88"/>
    <w:rsid w:val="00971FF6"/>
    <w:rsid w:val="00972013"/>
    <w:rsid w:val="00972D42"/>
    <w:rsid w:val="0097364B"/>
    <w:rsid w:val="00973F5B"/>
    <w:rsid w:val="009742BD"/>
    <w:rsid w:val="0097503D"/>
    <w:rsid w:val="0097598B"/>
    <w:rsid w:val="00975B07"/>
    <w:rsid w:val="00976301"/>
    <w:rsid w:val="00976556"/>
    <w:rsid w:val="00976AC5"/>
    <w:rsid w:val="00976C70"/>
    <w:rsid w:val="00976CBC"/>
    <w:rsid w:val="00976CF6"/>
    <w:rsid w:val="00977540"/>
    <w:rsid w:val="0097759B"/>
    <w:rsid w:val="009800A1"/>
    <w:rsid w:val="0098077E"/>
    <w:rsid w:val="00980A36"/>
    <w:rsid w:val="00980BFD"/>
    <w:rsid w:val="00980EE7"/>
    <w:rsid w:val="00981033"/>
    <w:rsid w:val="009817A3"/>
    <w:rsid w:val="009821AF"/>
    <w:rsid w:val="0098241D"/>
    <w:rsid w:val="00982A4B"/>
    <w:rsid w:val="00982C1A"/>
    <w:rsid w:val="009831E4"/>
    <w:rsid w:val="00983445"/>
    <w:rsid w:val="009839AF"/>
    <w:rsid w:val="0098481D"/>
    <w:rsid w:val="0098499D"/>
    <w:rsid w:val="009867D2"/>
    <w:rsid w:val="0098711F"/>
    <w:rsid w:val="00987771"/>
    <w:rsid w:val="00987AB9"/>
    <w:rsid w:val="00987AC5"/>
    <w:rsid w:val="00987F1E"/>
    <w:rsid w:val="009901CB"/>
    <w:rsid w:val="0099180E"/>
    <w:rsid w:val="00991FF7"/>
    <w:rsid w:val="009926B8"/>
    <w:rsid w:val="00993AA1"/>
    <w:rsid w:val="009945B5"/>
    <w:rsid w:val="009946F5"/>
    <w:rsid w:val="00994E48"/>
    <w:rsid w:val="009951A9"/>
    <w:rsid w:val="009952A1"/>
    <w:rsid w:val="009959FB"/>
    <w:rsid w:val="00996D0B"/>
    <w:rsid w:val="00997A23"/>
    <w:rsid w:val="00997A93"/>
    <w:rsid w:val="009A0426"/>
    <w:rsid w:val="009A13F8"/>
    <w:rsid w:val="009A25BA"/>
    <w:rsid w:val="009A3F5A"/>
    <w:rsid w:val="009A48D5"/>
    <w:rsid w:val="009A495F"/>
    <w:rsid w:val="009A4AC7"/>
    <w:rsid w:val="009A4C79"/>
    <w:rsid w:val="009A53A1"/>
    <w:rsid w:val="009A5618"/>
    <w:rsid w:val="009A5B46"/>
    <w:rsid w:val="009A63E7"/>
    <w:rsid w:val="009A64EE"/>
    <w:rsid w:val="009A66CE"/>
    <w:rsid w:val="009A6702"/>
    <w:rsid w:val="009A6A41"/>
    <w:rsid w:val="009A77F3"/>
    <w:rsid w:val="009B04B2"/>
    <w:rsid w:val="009B0929"/>
    <w:rsid w:val="009B0D80"/>
    <w:rsid w:val="009B11D6"/>
    <w:rsid w:val="009B1674"/>
    <w:rsid w:val="009B2366"/>
    <w:rsid w:val="009B26D3"/>
    <w:rsid w:val="009B291A"/>
    <w:rsid w:val="009B2977"/>
    <w:rsid w:val="009B2BB6"/>
    <w:rsid w:val="009B2C19"/>
    <w:rsid w:val="009B3183"/>
    <w:rsid w:val="009B340D"/>
    <w:rsid w:val="009B3878"/>
    <w:rsid w:val="009B3D44"/>
    <w:rsid w:val="009B3E12"/>
    <w:rsid w:val="009B40B4"/>
    <w:rsid w:val="009B4143"/>
    <w:rsid w:val="009B4372"/>
    <w:rsid w:val="009B43B8"/>
    <w:rsid w:val="009B441D"/>
    <w:rsid w:val="009B4B0F"/>
    <w:rsid w:val="009B5890"/>
    <w:rsid w:val="009B6887"/>
    <w:rsid w:val="009B72AB"/>
    <w:rsid w:val="009B7598"/>
    <w:rsid w:val="009C005D"/>
    <w:rsid w:val="009C03E0"/>
    <w:rsid w:val="009C0ABF"/>
    <w:rsid w:val="009C1246"/>
    <w:rsid w:val="009C1B45"/>
    <w:rsid w:val="009C1B5E"/>
    <w:rsid w:val="009C1E4A"/>
    <w:rsid w:val="009C1E53"/>
    <w:rsid w:val="009C22DC"/>
    <w:rsid w:val="009C26D8"/>
    <w:rsid w:val="009C38B7"/>
    <w:rsid w:val="009C4027"/>
    <w:rsid w:val="009C44BF"/>
    <w:rsid w:val="009C47C8"/>
    <w:rsid w:val="009C48EE"/>
    <w:rsid w:val="009C4B0C"/>
    <w:rsid w:val="009C4DFF"/>
    <w:rsid w:val="009C5003"/>
    <w:rsid w:val="009C510E"/>
    <w:rsid w:val="009C5276"/>
    <w:rsid w:val="009C596A"/>
    <w:rsid w:val="009C600D"/>
    <w:rsid w:val="009C6FD3"/>
    <w:rsid w:val="009C7168"/>
    <w:rsid w:val="009C71C1"/>
    <w:rsid w:val="009C72C1"/>
    <w:rsid w:val="009C7459"/>
    <w:rsid w:val="009D05C8"/>
    <w:rsid w:val="009D0FCA"/>
    <w:rsid w:val="009D1884"/>
    <w:rsid w:val="009D1E32"/>
    <w:rsid w:val="009D2AFA"/>
    <w:rsid w:val="009D2F7B"/>
    <w:rsid w:val="009D2FB5"/>
    <w:rsid w:val="009D325E"/>
    <w:rsid w:val="009D343E"/>
    <w:rsid w:val="009D4779"/>
    <w:rsid w:val="009D49B5"/>
    <w:rsid w:val="009D4FC7"/>
    <w:rsid w:val="009D50A0"/>
    <w:rsid w:val="009D5FF0"/>
    <w:rsid w:val="009D6235"/>
    <w:rsid w:val="009D63B2"/>
    <w:rsid w:val="009D6907"/>
    <w:rsid w:val="009D701C"/>
    <w:rsid w:val="009D723B"/>
    <w:rsid w:val="009D731A"/>
    <w:rsid w:val="009D7340"/>
    <w:rsid w:val="009D7B36"/>
    <w:rsid w:val="009E03BD"/>
    <w:rsid w:val="009E0736"/>
    <w:rsid w:val="009E1274"/>
    <w:rsid w:val="009E1ACE"/>
    <w:rsid w:val="009E1D95"/>
    <w:rsid w:val="009E2E8F"/>
    <w:rsid w:val="009E31B8"/>
    <w:rsid w:val="009E3259"/>
    <w:rsid w:val="009E3260"/>
    <w:rsid w:val="009E44CE"/>
    <w:rsid w:val="009E4763"/>
    <w:rsid w:val="009E4AC7"/>
    <w:rsid w:val="009E5302"/>
    <w:rsid w:val="009E594C"/>
    <w:rsid w:val="009E639F"/>
    <w:rsid w:val="009E74CF"/>
    <w:rsid w:val="009F0A8C"/>
    <w:rsid w:val="009F1993"/>
    <w:rsid w:val="009F1C7B"/>
    <w:rsid w:val="009F1F40"/>
    <w:rsid w:val="009F2211"/>
    <w:rsid w:val="009F23EB"/>
    <w:rsid w:val="009F3142"/>
    <w:rsid w:val="009F3165"/>
    <w:rsid w:val="009F33B2"/>
    <w:rsid w:val="009F34DA"/>
    <w:rsid w:val="009F3830"/>
    <w:rsid w:val="009F3BA5"/>
    <w:rsid w:val="009F3D54"/>
    <w:rsid w:val="009F3E74"/>
    <w:rsid w:val="009F53CA"/>
    <w:rsid w:val="009F54BE"/>
    <w:rsid w:val="009F607D"/>
    <w:rsid w:val="009F6564"/>
    <w:rsid w:val="009F686D"/>
    <w:rsid w:val="009F7A25"/>
    <w:rsid w:val="00A002E6"/>
    <w:rsid w:val="00A00467"/>
    <w:rsid w:val="00A00546"/>
    <w:rsid w:val="00A006FA"/>
    <w:rsid w:val="00A00E08"/>
    <w:rsid w:val="00A00E87"/>
    <w:rsid w:val="00A014CE"/>
    <w:rsid w:val="00A01662"/>
    <w:rsid w:val="00A02158"/>
    <w:rsid w:val="00A0219F"/>
    <w:rsid w:val="00A025E9"/>
    <w:rsid w:val="00A02E4C"/>
    <w:rsid w:val="00A03630"/>
    <w:rsid w:val="00A05879"/>
    <w:rsid w:val="00A07C5C"/>
    <w:rsid w:val="00A07EC7"/>
    <w:rsid w:val="00A105D0"/>
    <w:rsid w:val="00A10CC0"/>
    <w:rsid w:val="00A115B3"/>
    <w:rsid w:val="00A11606"/>
    <w:rsid w:val="00A11D9E"/>
    <w:rsid w:val="00A13657"/>
    <w:rsid w:val="00A138BE"/>
    <w:rsid w:val="00A13B4F"/>
    <w:rsid w:val="00A13C75"/>
    <w:rsid w:val="00A13D2B"/>
    <w:rsid w:val="00A14713"/>
    <w:rsid w:val="00A14964"/>
    <w:rsid w:val="00A14A58"/>
    <w:rsid w:val="00A14CC6"/>
    <w:rsid w:val="00A14DD8"/>
    <w:rsid w:val="00A14DDB"/>
    <w:rsid w:val="00A150F0"/>
    <w:rsid w:val="00A153AE"/>
    <w:rsid w:val="00A1643A"/>
    <w:rsid w:val="00A16D2B"/>
    <w:rsid w:val="00A17090"/>
    <w:rsid w:val="00A17739"/>
    <w:rsid w:val="00A17D4A"/>
    <w:rsid w:val="00A17FA1"/>
    <w:rsid w:val="00A204EF"/>
    <w:rsid w:val="00A2056C"/>
    <w:rsid w:val="00A20892"/>
    <w:rsid w:val="00A20A66"/>
    <w:rsid w:val="00A215C7"/>
    <w:rsid w:val="00A21715"/>
    <w:rsid w:val="00A21D99"/>
    <w:rsid w:val="00A22021"/>
    <w:rsid w:val="00A2279C"/>
    <w:rsid w:val="00A233E0"/>
    <w:rsid w:val="00A237A0"/>
    <w:rsid w:val="00A238D3"/>
    <w:rsid w:val="00A24858"/>
    <w:rsid w:val="00A24B9F"/>
    <w:rsid w:val="00A2532B"/>
    <w:rsid w:val="00A253EE"/>
    <w:rsid w:val="00A25D04"/>
    <w:rsid w:val="00A2632D"/>
    <w:rsid w:val="00A26699"/>
    <w:rsid w:val="00A27025"/>
    <w:rsid w:val="00A272FA"/>
    <w:rsid w:val="00A2754D"/>
    <w:rsid w:val="00A278CF"/>
    <w:rsid w:val="00A30131"/>
    <w:rsid w:val="00A302CB"/>
    <w:rsid w:val="00A30448"/>
    <w:rsid w:val="00A3067B"/>
    <w:rsid w:val="00A3067F"/>
    <w:rsid w:val="00A30902"/>
    <w:rsid w:val="00A309EC"/>
    <w:rsid w:val="00A314C4"/>
    <w:rsid w:val="00A3192E"/>
    <w:rsid w:val="00A31AF4"/>
    <w:rsid w:val="00A31C04"/>
    <w:rsid w:val="00A31FD8"/>
    <w:rsid w:val="00A321B3"/>
    <w:rsid w:val="00A3267A"/>
    <w:rsid w:val="00A327BC"/>
    <w:rsid w:val="00A33254"/>
    <w:rsid w:val="00A354FE"/>
    <w:rsid w:val="00A361D7"/>
    <w:rsid w:val="00A37052"/>
    <w:rsid w:val="00A3739D"/>
    <w:rsid w:val="00A3767E"/>
    <w:rsid w:val="00A37699"/>
    <w:rsid w:val="00A3796B"/>
    <w:rsid w:val="00A40216"/>
    <w:rsid w:val="00A407CB"/>
    <w:rsid w:val="00A4090D"/>
    <w:rsid w:val="00A41B9F"/>
    <w:rsid w:val="00A41C31"/>
    <w:rsid w:val="00A41E22"/>
    <w:rsid w:val="00A426A4"/>
    <w:rsid w:val="00A43099"/>
    <w:rsid w:val="00A435DD"/>
    <w:rsid w:val="00A43724"/>
    <w:rsid w:val="00A43C0A"/>
    <w:rsid w:val="00A43E76"/>
    <w:rsid w:val="00A44230"/>
    <w:rsid w:val="00A44FF5"/>
    <w:rsid w:val="00A452AC"/>
    <w:rsid w:val="00A454E4"/>
    <w:rsid w:val="00A462D4"/>
    <w:rsid w:val="00A4657F"/>
    <w:rsid w:val="00A466D1"/>
    <w:rsid w:val="00A4695A"/>
    <w:rsid w:val="00A47598"/>
    <w:rsid w:val="00A50A1E"/>
    <w:rsid w:val="00A50B04"/>
    <w:rsid w:val="00A50BE6"/>
    <w:rsid w:val="00A50FF5"/>
    <w:rsid w:val="00A513B8"/>
    <w:rsid w:val="00A51523"/>
    <w:rsid w:val="00A51A81"/>
    <w:rsid w:val="00A523DF"/>
    <w:rsid w:val="00A52D02"/>
    <w:rsid w:val="00A53692"/>
    <w:rsid w:val="00A5590F"/>
    <w:rsid w:val="00A561D0"/>
    <w:rsid w:val="00A56532"/>
    <w:rsid w:val="00A56FAC"/>
    <w:rsid w:val="00A56FEB"/>
    <w:rsid w:val="00A606B6"/>
    <w:rsid w:val="00A6077F"/>
    <w:rsid w:val="00A61586"/>
    <w:rsid w:val="00A63147"/>
    <w:rsid w:val="00A63190"/>
    <w:rsid w:val="00A6462B"/>
    <w:rsid w:val="00A64D93"/>
    <w:rsid w:val="00A653BA"/>
    <w:rsid w:val="00A65AB7"/>
    <w:rsid w:val="00A65D13"/>
    <w:rsid w:val="00A65ECC"/>
    <w:rsid w:val="00A661BE"/>
    <w:rsid w:val="00A66B0B"/>
    <w:rsid w:val="00A67454"/>
    <w:rsid w:val="00A679A2"/>
    <w:rsid w:val="00A67B72"/>
    <w:rsid w:val="00A701B4"/>
    <w:rsid w:val="00A7071C"/>
    <w:rsid w:val="00A70D0C"/>
    <w:rsid w:val="00A7189A"/>
    <w:rsid w:val="00A71E26"/>
    <w:rsid w:val="00A71F79"/>
    <w:rsid w:val="00A720D9"/>
    <w:rsid w:val="00A721E2"/>
    <w:rsid w:val="00A72D04"/>
    <w:rsid w:val="00A72DD8"/>
    <w:rsid w:val="00A72E4C"/>
    <w:rsid w:val="00A730EA"/>
    <w:rsid w:val="00A73247"/>
    <w:rsid w:val="00A73C8E"/>
    <w:rsid w:val="00A73DB2"/>
    <w:rsid w:val="00A740D1"/>
    <w:rsid w:val="00A74414"/>
    <w:rsid w:val="00A747AE"/>
    <w:rsid w:val="00A757F0"/>
    <w:rsid w:val="00A76C19"/>
    <w:rsid w:val="00A804E3"/>
    <w:rsid w:val="00A8075D"/>
    <w:rsid w:val="00A80C94"/>
    <w:rsid w:val="00A81615"/>
    <w:rsid w:val="00A81D85"/>
    <w:rsid w:val="00A81F9A"/>
    <w:rsid w:val="00A82102"/>
    <w:rsid w:val="00A8221D"/>
    <w:rsid w:val="00A825D5"/>
    <w:rsid w:val="00A826E7"/>
    <w:rsid w:val="00A82DE8"/>
    <w:rsid w:val="00A82FD7"/>
    <w:rsid w:val="00A8311C"/>
    <w:rsid w:val="00A832EC"/>
    <w:rsid w:val="00A83DFE"/>
    <w:rsid w:val="00A84B53"/>
    <w:rsid w:val="00A84E62"/>
    <w:rsid w:val="00A851CE"/>
    <w:rsid w:val="00A85254"/>
    <w:rsid w:val="00A858FF"/>
    <w:rsid w:val="00A859C9"/>
    <w:rsid w:val="00A86996"/>
    <w:rsid w:val="00A86BB7"/>
    <w:rsid w:val="00A876EB"/>
    <w:rsid w:val="00A9117C"/>
    <w:rsid w:val="00A920A1"/>
    <w:rsid w:val="00A92142"/>
    <w:rsid w:val="00A92BC2"/>
    <w:rsid w:val="00A93096"/>
    <w:rsid w:val="00A93E68"/>
    <w:rsid w:val="00A945B6"/>
    <w:rsid w:val="00A95467"/>
    <w:rsid w:val="00A95DD6"/>
    <w:rsid w:val="00A96667"/>
    <w:rsid w:val="00A96838"/>
    <w:rsid w:val="00A96BD8"/>
    <w:rsid w:val="00A96C64"/>
    <w:rsid w:val="00A97C7F"/>
    <w:rsid w:val="00AA00B2"/>
    <w:rsid w:val="00AA0149"/>
    <w:rsid w:val="00AA066B"/>
    <w:rsid w:val="00AA07D2"/>
    <w:rsid w:val="00AA126F"/>
    <w:rsid w:val="00AA18E0"/>
    <w:rsid w:val="00AA2535"/>
    <w:rsid w:val="00AA2603"/>
    <w:rsid w:val="00AA2A50"/>
    <w:rsid w:val="00AA46A4"/>
    <w:rsid w:val="00AA4998"/>
    <w:rsid w:val="00AA4B4C"/>
    <w:rsid w:val="00AA567D"/>
    <w:rsid w:val="00AA61FE"/>
    <w:rsid w:val="00AA66B7"/>
    <w:rsid w:val="00AA7A45"/>
    <w:rsid w:val="00AA7E73"/>
    <w:rsid w:val="00AB0764"/>
    <w:rsid w:val="00AB0A10"/>
    <w:rsid w:val="00AB0F00"/>
    <w:rsid w:val="00AB190B"/>
    <w:rsid w:val="00AB1BDF"/>
    <w:rsid w:val="00AB1CD0"/>
    <w:rsid w:val="00AB2339"/>
    <w:rsid w:val="00AB24A1"/>
    <w:rsid w:val="00AB252C"/>
    <w:rsid w:val="00AB298C"/>
    <w:rsid w:val="00AB2A42"/>
    <w:rsid w:val="00AB2C4E"/>
    <w:rsid w:val="00AB2C84"/>
    <w:rsid w:val="00AB2CD4"/>
    <w:rsid w:val="00AB3945"/>
    <w:rsid w:val="00AB3BB2"/>
    <w:rsid w:val="00AB44D7"/>
    <w:rsid w:val="00AB47ED"/>
    <w:rsid w:val="00AB5C19"/>
    <w:rsid w:val="00AB7339"/>
    <w:rsid w:val="00AC0376"/>
    <w:rsid w:val="00AC03FA"/>
    <w:rsid w:val="00AC08A4"/>
    <w:rsid w:val="00AC0B23"/>
    <w:rsid w:val="00AC0E32"/>
    <w:rsid w:val="00AC174E"/>
    <w:rsid w:val="00AC1A00"/>
    <w:rsid w:val="00AC1DE2"/>
    <w:rsid w:val="00AC1E0F"/>
    <w:rsid w:val="00AC2D1C"/>
    <w:rsid w:val="00AC37DF"/>
    <w:rsid w:val="00AC3EC1"/>
    <w:rsid w:val="00AC44E1"/>
    <w:rsid w:val="00AC473E"/>
    <w:rsid w:val="00AC5826"/>
    <w:rsid w:val="00AC6781"/>
    <w:rsid w:val="00AC6A41"/>
    <w:rsid w:val="00AC6EF3"/>
    <w:rsid w:val="00AC6FB1"/>
    <w:rsid w:val="00AC73DC"/>
    <w:rsid w:val="00AC7739"/>
    <w:rsid w:val="00AC77F1"/>
    <w:rsid w:val="00AC7A99"/>
    <w:rsid w:val="00AD0F0B"/>
    <w:rsid w:val="00AD1E0B"/>
    <w:rsid w:val="00AD1FCE"/>
    <w:rsid w:val="00AD23BB"/>
    <w:rsid w:val="00AD250B"/>
    <w:rsid w:val="00AD2EDD"/>
    <w:rsid w:val="00AD2F09"/>
    <w:rsid w:val="00AD30E7"/>
    <w:rsid w:val="00AD31F0"/>
    <w:rsid w:val="00AD3672"/>
    <w:rsid w:val="00AD446C"/>
    <w:rsid w:val="00AD469F"/>
    <w:rsid w:val="00AD53D2"/>
    <w:rsid w:val="00AD5677"/>
    <w:rsid w:val="00AD5D57"/>
    <w:rsid w:val="00AD624D"/>
    <w:rsid w:val="00AD653A"/>
    <w:rsid w:val="00AD6544"/>
    <w:rsid w:val="00AD74E6"/>
    <w:rsid w:val="00AE00EC"/>
    <w:rsid w:val="00AE02D8"/>
    <w:rsid w:val="00AE03EF"/>
    <w:rsid w:val="00AE0C7E"/>
    <w:rsid w:val="00AE0F30"/>
    <w:rsid w:val="00AE0FB8"/>
    <w:rsid w:val="00AE19E8"/>
    <w:rsid w:val="00AE1E72"/>
    <w:rsid w:val="00AE22EC"/>
    <w:rsid w:val="00AE2895"/>
    <w:rsid w:val="00AE32C5"/>
    <w:rsid w:val="00AE3556"/>
    <w:rsid w:val="00AE3F29"/>
    <w:rsid w:val="00AE4383"/>
    <w:rsid w:val="00AE49A8"/>
    <w:rsid w:val="00AE6241"/>
    <w:rsid w:val="00AE6311"/>
    <w:rsid w:val="00AE631B"/>
    <w:rsid w:val="00AE6955"/>
    <w:rsid w:val="00AE74A1"/>
    <w:rsid w:val="00AE776E"/>
    <w:rsid w:val="00AE7DB5"/>
    <w:rsid w:val="00AF121C"/>
    <w:rsid w:val="00AF1F30"/>
    <w:rsid w:val="00AF1F66"/>
    <w:rsid w:val="00AF25A1"/>
    <w:rsid w:val="00AF25E1"/>
    <w:rsid w:val="00AF2FF8"/>
    <w:rsid w:val="00AF35D1"/>
    <w:rsid w:val="00AF388F"/>
    <w:rsid w:val="00AF3E5F"/>
    <w:rsid w:val="00AF41CE"/>
    <w:rsid w:val="00AF5D33"/>
    <w:rsid w:val="00AF6543"/>
    <w:rsid w:val="00AF6C08"/>
    <w:rsid w:val="00AF725F"/>
    <w:rsid w:val="00AF756D"/>
    <w:rsid w:val="00AF7FBC"/>
    <w:rsid w:val="00B00264"/>
    <w:rsid w:val="00B004A4"/>
    <w:rsid w:val="00B0059A"/>
    <w:rsid w:val="00B007C7"/>
    <w:rsid w:val="00B00EA4"/>
    <w:rsid w:val="00B0118F"/>
    <w:rsid w:val="00B021E0"/>
    <w:rsid w:val="00B029E2"/>
    <w:rsid w:val="00B02B8C"/>
    <w:rsid w:val="00B03631"/>
    <w:rsid w:val="00B038B0"/>
    <w:rsid w:val="00B03962"/>
    <w:rsid w:val="00B03D49"/>
    <w:rsid w:val="00B045AC"/>
    <w:rsid w:val="00B04810"/>
    <w:rsid w:val="00B05140"/>
    <w:rsid w:val="00B056EA"/>
    <w:rsid w:val="00B05E22"/>
    <w:rsid w:val="00B05F9B"/>
    <w:rsid w:val="00B06226"/>
    <w:rsid w:val="00B068CF"/>
    <w:rsid w:val="00B06A2D"/>
    <w:rsid w:val="00B06DA6"/>
    <w:rsid w:val="00B06FD5"/>
    <w:rsid w:val="00B07130"/>
    <w:rsid w:val="00B07652"/>
    <w:rsid w:val="00B07BDE"/>
    <w:rsid w:val="00B07D04"/>
    <w:rsid w:val="00B107AD"/>
    <w:rsid w:val="00B11118"/>
    <w:rsid w:val="00B113A6"/>
    <w:rsid w:val="00B1188E"/>
    <w:rsid w:val="00B11CEA"/>
    <w:rsid w:val="00B1297B"/>
    <w:rsid w:val="00B12D9D"/>
    <w:rsid w:val="00B132C2"/>
    <w:rsid w:val="00B14FDB"/>
    <w:rsid w:val="00B15087"/>
    <w:rsid w:val="00B151D6"/>
    <w:rsid w:val="00B16787"/>
    <w:rsid w:val="00B17108"/>
    <w:rsid w:val="00B1751A"/>
    <w:rsid w:val="00B20754"/>
    <w:rsid w:val="00B20A3F"/>
    <w:rsid w:val="00B21218"/>
    <w:rsid w:val="00B21974"/>
    <w:rsid w:val="00B21D25"/>
    <w:rsid w:val="00B22C80"/>
    <w:rsid w:val="00B22EF8"/>
    <w:rsid w:val="00B236A6"/>
    <w:rsid w:val="00B23840"/>
    <w:rsid w:val="00B244C6"/>
    <w:rsid w:val="00B24734"/>
    <w:rsid w:val="00B24B19"/>
    <w:rsid w:val="00B24F73"/>
    <w:rsid w:val="00B254AE"/>
    <w:rsid w:val="00B25E5F"/>
    <w:rsid w:val="00B260FA"/>
    <w:rsid w:val="00B26EE6"/>
    <w:rsid w:val="00B27955"/>
    <w:rsid w:val="00B27ADE"/>
    <w:rsid w:val="00B3004F"/>
    <w:rsid w:val="00B3033C"/>
    <w:rsid w:val="00B30926"/>
    <w:rsid w:val="00B30955"/>
    <w:rsid w:val="00B31502"/>
    <w:rsid w:val="00B316F7"/>
    <w:rsid w:val="00B318B5"/>
    <w:rsid w:val="00B328F3"/>
    <w:rsid w:val="00B32E9B"/>
    <w:rsid w:val="00B33526"/>
    <w:rsid w:val="00B336C3"/>
    <w:rsid w:val="00B3376E"/>
    <w:rsid w:val="00B337DC"/>
    <w:rsid w:val="00B33872"/>
    <w:rsid w:val="00B3388B"/>
    <w:rsid w:val="00B340F5"/>
    <w:rsid w:val="00B347FD"/>
    <w:rsid w:val="00B34DB2"/>
    <w:rsid w:val="00B350E7"/>
    <w:rsid w:val="00B358C4"/>
    <w:rsid w:val="00B35E39"/>
    <w:rsid w:val="00B36012"/>
    <w:rsid w:val="00B36921"/>
    <w:rsid w:val="00B36B20"/>
    <w:rsid w:val="00B36C67"/>
    <w:rsid w:val="00B36D7F"/>
    <w:rsid w:val="00B37092"/>
    <w:rsid w:val="00B37305"/>
    <w:rsid w:val="00B41CA0"/>
    <w:rsid w:val="00B41F02"/>
    <w:rsid w:val="00B420D4"/>
    <w:rsid w:val="00B424E1"/>
    <w:rsid w:val="00B42F65"/>
    <w:rsid w:val="00B44454"/>
    <w:rsid w:val="00B449ED"/>
    <w:rsid w:val="00B45744"/>
    <w:rsid w:val="00B461C2"/>
    <w:rsid w:val="00B471A7"/>
    <w:rsid w:val="00B472FB"/>
    <w:rsid w:val="00B47317"/>
    <w:rsid w:val="00B47379"/>
    <w:rsid w:val="00B47382"/>
    <w:rsid w:val="00B473E1"/>
    <w:rsid w:val="00B47507"/>
    <w:rsid w:val="00B47DDC"/>
    <w:rsid w:val="00B500FA"/>
    <w:rsid w:val="00B503DC"/>
    <w:rsid w:val="00B50542"/>
    <w:rsid w:val="00B505B7"/>
    <w:rsid w:val="00B506F1"/>
    <w:rsid w:val="00B50B89"/>
    <w:rsid w:val="00B50D3A"/>
    <w:rsid w:val="00B51785"/>
    <w:rsid w:val="00B52708"/>
    <w:rsid w:val="00B52AD9"/>
    <w:rsid w:val="00B5435C"/>
    <w:rsid w:val="00B54BF8"/>
    <w:rsid w:val="00B5537B"/>
    <w:rsid w:val="00B5538A"/>
    <w:rsid w:val="00B559D8"/>
    <w:rsid w:val="00B55F52"/>
    <w:rsid w:val="00B56882"/>
    <w:rsid w:val="00B56FCE"/>
    <w:rsid w:val="00B579B6"/>
    <w:rsid w:val="00B57B0E"/>
    <w:rsid w:val="00B605E0"/>
    <w:rsid w:val="00B611D1"/>
    <w:rsid w:val="00B611D5"/>
    <w:rsid w:val="00B61454"/>
    <w:rsid w:val="00B61767"/>
    <w:rsid w:val="00B626C1"/>
    <w:rsid w:val="00B62C0E"/>
    <w:rsid w:val="00B62E2D"/>
    <w:rsid w:val="00B63566"/>
    <w:rsid w:val="00B63DAF"/>
    <w:rsid w:val="00B64049"/>
    <w:rsid w:val="00B64244"/>
    <w:rsid w:val="00B644DE"/>
    <w:rsid w:val="00B64A3C"/>
    <w:rsid w:val="00B64AFB"/>
    <w:rsid w:val="00B653FF"/>
    <w:rsid w:val="00B65A41"/>
    <w:rsid w:val="00B66654"/>
    <w:rsid w:val="00B66883"/>
    <w:rsid w:val="00B670B3"/>
    <w:rsid w:val="00B679AE"/>
    <w:rsid w:val="00B67A1C"/>
    <w:rsid w:val="00B67EBB"/>
    <w:rsid w:val="00B7043D"/>
    <w:rsid w:val="00B70868"/>
    <w:rsid w:val="00B70A8C"/>
    <w:rsid w:val="00B70BB6"/>
    <w:rsid w:val="00B70D1E"/>
    <w:rsid w:val="00B713AD"/>
    <w:rsid w:val="00B715B0"/>
    <w:rsid w:val="00B71D2D"/>
    <w:rsid w:val="00B71F14"/>
    <w:rsid w:val="00B730AD"/>
    <w:rsid w:val="00B73198"/>
    <w:rsid w:val="00B73243"/>
    <w:rsid w:val="00B73B61"/>
    <w:rsid w:val="00B74B18"/>
    <w:rsid w:val="00B74F2B"/>
    <w:rsid w:val="00B74F90"/>
    <w:rsid w:val="00B76935"/>
    <w:rsid w:val="00B76B62"/>
    <w:rsid w:val="00B77C5B"/>
    <w:rsid w:val="00B77DC6"/>
    <w:rsid w:val="00B77F61"/>
    <w:rsid w:val="00B808C6"/>
    <w:rsid w:val="00B809FD"/>
    <w:rsid w:val="00B80A06"/>
    <w:rsid w:val="00B80BA0"/>
    <w:rsid w:val="00B80D87"/>
    <w:rsid w:val="00B80DFE"/>
    <w:rsid w:val="00B80FE9"/>
    <w:rsid w:val="00B8129D"/>
    <w:rsid w:val="00B816BE"/>
    <w:rsid w:val="00B81BC5"/>
    <w:rsid w:val="00B82883"/>
    <w:rsid w:val="00B829BC"/>
    <w:rsid w:val="00B83105"/>
    <w:rsid w:val="00B83487"/>
    <w:rsid w:val="00B847A0"/>
    <w:rsid w:val="00B84F5A"/>
    <w:rsid w:val="00B85EB6"/>
    <w:rsid w:val="00B86124"/>
    <w:rsid w:val="00B8620D"/>
    <w:rsid w:val="00B865A8"/>
    <w:rsid w:val="00B87313"/>
    <w:rsid w:val="00B8763E"/>
    <w:rsid w:val="00B8788F"/>
    <w:rsid w:val="00B87CC5"/>
    <w:rsid w:val="00B87EEB"/>
    <w:rsid w:val="00B87EFE"/>
    <w:rsid w:val="00B902E9"/>
    <w:rsid w:val="00B9047A"/>
    <w:rsid w:val="00B90F69"/>
    <w:rsid w:val="00B91ABE"/>
    <w:rsid w:val="00B92212"/>
    <w:rsid w:val="00B925C2"/>
    <w:rsid w:val="00B9274A"/>
    <w:rsid w:val="00B932B8"/>
    <w:rsid w:val="00B93522"/>
    <w:rsid w:val="00B93723"/>
    <w:rsid w:val="00B939A4"/>
    <w:rsid w:val="00B9467B"/>
    <w:rsid w:val="00B94766"/>
    <w:rsid w:val="00B947E4"/>
    <w:rsid w:val="00B95D2C"/>
    <w:rsid w:val="00B96170"/>
    <w:rsid w:val="00B96364"/>
    <w:rsid w:val="00B976EA"/>
    <w:rsid w:val="00B977E9"/>
    <w:rsid w:val="00BA0199"/>
    <w:rsid w:val="00BA0382"/>
    <w:rsid w:val="00BA0981"/>
    <w:rsid w:val="00BA098E"/>
    <w:rsid w:val="00BA0DAC"/>
    <w:rsid w:val="00BA0F54"/>
    <w:rsid w:val="00BA16D5"/>
    <w:rsid w:val="00BA1B72"/>
    <w:rsid w:val="00BA3289"/>
    <w:rsid w:val="00BA3C28"/>
    <w:rsid w:val="00BA40C5"/>
    <w:rsid w:val="00BA4281"/>
    <w:rsid w:val="00BA487F"/>
    <w:rsid w:val="00BA4D2A"/>
    <w:rsid w:val="00BA568F"/>
    <w:rsid w:val="00BA5FFD"/>
    <w:rsid w:val="00BA603F"/>
    <w:rsid w:val="00BA6A9A"/>
    <w:rsid w:val="00BA70A7"/>
    <w:rsid w:val="00BA73FC"/>
    <w:rsid w:val="00BA7438"/>
    <w:rsid w:val="00BA7715"/>
    <w:rsid w:val="00BB1806"/>
    <w:rsid w:val="00BB208F"/>
    <w:rsid w:val="00BB27C0"/>
    <w:rsid w:val="00BB35B4"/>
    <w:rsid w:val="00BB378D"/>
    <w:rsid w:val="00BB520A"/>
    <w:rsid w:val="00BB53DB"/>
    <w:rsid w:val="00BB6682"/>
    <w:rsid w:val="00BB67C5"/>
    <w:rsid w:val="00BB70F3"/>
    <w:rsid w:val="00BB7730"/>
    <w:rsid w:val="00BC03E1"/>
    <w:rsid w:val="00BC044C"/>
    <w:rsid w:val="00BC06D7"/>
    <w:rsid w:val="00BC0CD9"/>
    <w:rsid w:val="00BC1947"/>
    <w:rsid w:val="00BC1CE2"/>
    <w:rsid w:val="00BC2361"/>
    <w:rsid w:val="00BC246E"/>
    <w:rsid w:val="00BC260C"/>
    <w:rsid w:val="00BC2AC5"/>
    <w:rsid w:val="00BC2EC8"/>
    <w:rsid w:val="00BC3791"/>
    <w:rsid w:val="00BC44E4"/>
    <w:rsid w:val="00BC526F"/>
    <w:rsid w:val="00BC52FA"/>
    <w:rsid w:val="00BC5D08"/>
    <w:rsid w:val="00BC5D4D"/>
    <w:rsid w:val="00BC64FB"/>
    <w:rsid w:val="00BC679E"/>
    <w:rsid w:val="00BC6D81"/>
    <w:rsid w:val="00BC6EE0"/>
    <w:rsid w:val="00BC713D"/>
    <w:rsid w:val="00BC7731"/>
    <w:rsid w:val="00BC7CE3"/>
    <w:rsid w:val="00BD04E6"/>
    <w:rsid w:val="00BD0965"/>
    <w:rsid w:val="00BD1173"/>
    <w:rsid w:val="00BD1CFE"/>
    <w:rsid w:val="00BD2213"/>
    <w:rsid w:val="00BD2533"/>
    <w:rsid w:val="00BD2734"/>
    <w:rsid w:val="00BD286A"/>
    <w:rsid w:val="00BD295B"/>
    <w:rsid w:val="00BD2A55"/>
    <w:rsid w:val="00BD3292"/>
    <w:rsid w:val="00BD4280"/>
    <w:rsid w:val="00BD4B75"/>
    <w:rsid w:val="00BD4EB4"/>
    <w:rsid w:val="00BD5134"/>
    <w:rsid w:val="00BD6BE3"/>
    <w:rsid w:val="00BD6C19"/>
    <w:rsid w:val="00BD6E25"/>
    <w:rsid w:val="00BD77F9"/>
    <w:rsid w:val="00BE0123"/>
    <w:rsid w:val="00BE05E6"/>
    <w:rsid w:val="00BE0B9D"/>
    <w:rsid w:val="00BE0E59"/>
    <w:rsid w:val="00BE10C9"/>
    <w:rsid w:val="00BE14A9"/>
    <w:rsid w:val="00BE19EA"/>
    <w:rsid w:val="00BE20C3"/>
    <w:rsid w:val="00BE27FB"/>
    <w:rsid w:val="00BE3097"/>
    <w:rsid w:val="00BE361D"/>
    <w:rsid w:val="00BE3884"/>
    <w:rsid w:val="00BE3DBD"/>
    <w:rsid w:val="00BE4234"/>
    <w:rsid w:val="00BE4517"/>
    <w:rsid w:val="00BE4AE7"/>
    <w:rsid w:val="00BE560C"/>
    <w:rsid w:val="00BE58E9"/>
    <w:rsid w:val="00BE608E"/>
    <w:rsid w:val="00BE649A"/>
    <w:rsid w:val="00BE7CEF"/>
    <w:rsid w:val="00BF1227"/>
    <w:rsid w:val="00BF12AC"/>
    <w:rsid w:val="00BF286D"/>
    <w:rsid w:val="00BF2B51"/>
    <w:rsid w:val="00BF2BD5"/>
    <w:rsid w:val="00BF301D"/>
    <w:rsid w:val="00BF383A"/>
    <w:rsid w:val="00BF3EE8"/>
    <w:rsid w:val="00BF4516"/>
    <w:rsid w:val="00BF586D"/>
    <w:rsid w:val="00BF5DCB"/>
    <w:rsid w:val="00BF621A"/>
    <w:rsid w:val="00BF69AF"/>
    <w:rsid w:val="00BF6B82"/>
    <w:rsid w:val="00BF6CD7"/>
    <w:rsid w:val="00BF70EB"/>
    <w:rsid w:val="00BF7181"/>
    <w:rsid w:val="00C006AA"/>
    <w:rsid w:val="00C008DB"/>
    <w:rsid w:val="00C00FC2"/>
    <w:rsid w:val="00C01222"/>
    <w:rsid w:val="00C01B04"/>
    <w:rsid w:val="00C01BDB"/>
    <w:rsid w:val="00C02456"/>
    <w:rsid w:val="00C02973"/>
    <w:rsid w:val="00C02A50"/>
    <w:rsid w:val="00C0405B"/>
    <w:rsid w:val="00C0474C"/>
    <w:rsid w:val="00C04C00"/>
    <w:rsid w:val="00C04CD2"/>
    <w:rsid w:val="00C04F09"/>
    <w:rsid w:val="00C0534C"/>
    <w:rsid w:val="00C06112"/>
    <w:rsid w:val="00C0701F"/>
    <w:rsid w:val="00C072E8"/>
    <w:rsid w:val="00C0741D"/>
    <w:rsid w:val="00C0776A"/>
    <w:rsid w:val="00C0792F"/>
    <w:rsid w:val="00C1053B"/>
    <w:rsid w:val="00C1106E"/>
    <w:rsid w:val="00C12021"/>
    <w:rsid w:val="00C120CF"/>
    <w:rsid w:val="00C12C38"/>
    <w:rsid w:val="00C132DD"/>
    <w:rsid w:val="00C138B1"/>
    <w:rsid w:val="00C13C63"/>
    <w:rsid w:val="00C142EF"/>
    <w:rsid w:val="00C143CA"/>
    <w:rsid w:val="00C14501"/>
    <w:rsid w:val="00C146DA"/>
    <w:rsid w:val="00C14968"/>
    <w:rsid w:val="00C14A22"/>
    <w:rsid w:val="00C14C10"/>
    <w:rsid w:val="00C14E42"/>
    <w:rsid w:val="00C14FA4"/>
    <w:rsid w:val="00C1509A"/>
    <w:rsid w:val="00C157B1"/>
    <w:rsid w:val="00C16067"/>
    <w:rsid w:val="00C161F8"/>
    <w:rsid w:val="00C165CA"/>
    <w:rsid w:val="00C16F10"/>
    <w:rsid w:val="00C171BB"/>
    <w:rsid w:val="00C17920"/>
    <w:rsid w:val="00C17FC1"/>
    <w:rsid w:val="00C2153A"/>
    <w:rsid w:val="00C21AC0"/>
    <w:rsid w:val="00C21EE1"/>
    <w:rsid w:val="00C22AB1"/>
    <w:rsid w:val="00C22B88"/>
    <w:rsid w:val="00C22E40"/>
    <w:rsid w:val="00C23396"/>
    <w:rsid w:val="00C233EC"/>
    <w:rsid w:val="00C241E7"/>
    <w:rsid w:val="00C246B0"/>
    <w:rsid w:val="00C24EE0"/>
    <w:rsid w:val="00C2519E"/>
    <w:rsid w:val="00C25772"/>
    <w:rsid w:val="00C25CDE"/>
    <w:rsid w:val="00C26774"/>
    <w:rsid w:val="00C268BA"/>
    <w:rsid w:val="00C26FCB"/>
    <w:rsid w:val="00C27BA2"/>
    <w:rsid w:val="00C3055D"/>
    <w:rsid w:val="00C30903"/>
    <w:rsid w:val="00C309B1"/>
    <w:rsid w:val="00C30AE0"/>
    <w:rsid w:val="00C31671"/>
    <w:rsid w:val="00C31969"/>
    <w:rsid w:val="00C32234"/>
    <w:rsid w:val="00C323CF"/>
    <w:rsid w:val="00C32543"/>
    <w:rsid w:val="00C326FC"/>
    <w:rsid w:val="00C32AA0"/>
    <w:rsid w:val="00C32AB7"/>
    <w:rsid w:val="00C330A4"/>
    <w:rsid w:val="00C332FB"/>
    <w:rsid w:val="00C33CDB"/>
    <w:rsid w:val="00C3418C"/>
    <w:rsid w:val="00C34558"/>
    <w:rsid w:val="00C34B65"/>
    <w:rsid w:val="00C3502D"/>
    <w:rsid w:val="00C3656C"/>
    <w:rsid w:val="00C37784"/>
    <w:rsid w:val="00C3798C"/>
    <w:rsid w:val="00C37A08"/>
    <w:rsid w:val="00C37F48"/>
    <w:rsid w:val="00C4036D"/>
    <w:rsid w:val="00C412A7"/>
    <w:rsid w:val="00C413FB"/>
    <w:rsid w:val="00C415EC"/>
    <w:rsid w:val="00C421E4"/>
    <w:rsid w:val="00C42446"/>
    <w:rsid w:val="00C4281F"/>
    <w:rsid w:val="00C42C82"/>
    <w:rsid w:val="00C43473"/>
    <w:rsid w:val="00C44FCF"/>
    <w:rsid w:val="00C45126"/>
    <w:rsid w:val="00C45214"/>
    <w:rsid w:val="00C45AA4"/>
    <w:rsid w:val="00C45B5E"/>
    <w:rsid w:val="00C469C4"/>
    <w:rsid w:val="00C470D9"/>
    <w:rsid w:val="00C472E3"/>
    <w:rsid w:val="00C47318"/>
    <w:rsid w:val="00C47764"/>
    <w:rsid w:val="00C47962"/>
    <w:rsid w:val="00C47A89"/>
    <w:rsid w:val="00C47B59"/>
    <w:rsid w:val="00C47BAA"/>
    <w:rsid w:val="00C47EB1"/>
    <w:rsid w:val="00C5146B"/>
    <w:rsid w:val="00C5164F"/>
    <w:rsid w:val="00C51884"/>
    <w:rsid w:val="00C51D28"/>
    <w:rsid w:val="00C51EF4"/>
    <w:rsid w:val="00C51FE1"/>
    <w:rsid w:val="00C5269A"/>
    <w:rsid w:val="00C5337F"/>
    <w:rsid w:val="00C53C7D"/>
    <w:rsid w:val="00C53CF0"/>
    <w:rsid w:val="00C53D37"/>
    <w:rsid w:val="00C54F21"/>
    <w:rsid w:val="00C54F4D"/>
    <w:rsid w:val="00C555A0"/>
    <w:rsid w:val="00C56022"/>
    <w:rsid w:val="00C5612A"/>
    <w:rsid w:val="00C56DB6"/>
    <w:rsid w:val="00C56FA3"/>
    <w:rsid w:val="00C57B0E"/>
    <w:rsid w:val="00C57BB5"/>
    <w:rsid w:val="00C600EA"/>
    <w:rsid w:val="00C60158"/>
    <w:rsid w:val="00C601FF"/>
    <w:rsid w:val="00C608A2"/>
    <w:rsid w:val="00C610DD"/>
    <w:rsid w:val="00C61225"/>
    <w:rsid w:val="00C61D8C"/>
    <w:rsid w:val="00C61F51"/>
    <w:rsid w:val="00C62889"/>
    <w:rsid w:val="00C62A1F"/>
    <w:rsid w:val="00C62A49"/>
    <w:rsid w:val="00C6403F"/>
    <w:rsid w:val="00C64C6E"/>
    <w:rsid w:val="00C65076"/>
    <w:rsid w:val="00C65721"/>
    <w:rsid w:val="00C65AF0"/>
    <w:rsid w:val="00C65D5F"/>
    <w:rsid w:val="00C66B8C"/>
    <w:rsid w:val="00C671CB"/>
    <w:rsid w:val="00C677D4"/>
    <w:rsid w:val="00C67C7E"/>
    <w:rsid w:val="00C67F69"/>
    <w:rsid w:val="00C700A7"/>
    <w:rsid w:val="00C701F9"/>
    <w:rsid w:val="00C70244"/>
    <w:rsid w:val="00C70307"/>
    <w:rsid w:val="00C70C46"/>
    <w:rsid w:val="00C70E39"/>
    <w:rsid w:val="00C714BE"/>
    <w:rsid w:val="00C718BC"/>
    <w:rsid w:val="00C71943"/>
    <w:rsid w:val="00C72A90"/>
    <w:rsid w:val="00C7330E"/>
    <w:rsid w:val="00C73315"/>
    <w:rsid w:val="00C73995"/>
    <w:rsid w:val="00C73D26"/>
    <w:rsid w:val="00C74459"/>
    <w:rsid w:val="00C75078"/>
    <w:rsid w:val="00C75734"/>
    <w:rsid w:val="00C75CE3"/>
    <w:rsid w:val="00C76364"/>
    <w:rsid w:val="00C76612"/>
    <w:rsid w:val="00C76655"/>
    <w:rsid w:val="00C7684A"/>
    <w:rsid w:val="00C76F56"/>
    <w:rsid w:val="00C774E6"/>
    <w:rsid w:val="00C77543"/>
    <w:rsid w:val="00C7777A"/>
    <w:rsid w:val="00C778CD"/>
    <w:rsid w:val="00C77C0C"/>
    <w:rsid w:val="00C80500"/>
    <w:rsid w:val="00C806F7"/>
    <w:rsid w:val="00C80896"/>
    <w:rsid w:val="00C80A44"/>
    <w:rsid w:val="00C80D03"/>
    <w:rsid w:val="00C8128A"/>
    <w:rsid w:val="00C81835"/>
    <w:rsid w:val="00C81AB0"/>
    <w:rsid w:val="00C82CE5"/>
    <w:rsid w:val="00C8386E"/>
    <w:rsid w:val="00C8411F"/>
    <w:rsid w:val="00C841C8"/>
    <w:rsid w:val="00C842CB"/>
    <w:rsid w:val="00C84A98"/>
    <w:rsid w:val="00C856CC"/>
    <w:rsid w:val="00C86887"/>
    <w:rsid w:val="00C87F0B"/>
    <w:rsid w:val="00C90180"/>
    <w:rsid w:val="00C90480"/>
    <w:rsid w:val="00C9049C"/>
    <w:rsid w:val="00C916A8"/>
    <w:rsid w:val="00C91741"/>
    <w:rsid w:val="00C91EBC"/>
    <w:rsid w:val="00C920D4"/>
    <w:rsid w:val="00C9226B"/>
    <w:rsid w:val="00C92777"/>
    <w:rsid w:val="00C936C8"/>
    <w:rsid w:val="00C94A66"/>
    <w:rsid w:val="00C94A71"/>
    <w:rsid w:val="00C94EBC"/>
    <w:rsid w:val="00C95854"/>
    <w:rsid w:val="00C959D6"/>
    <w:rsid w:val="00C95BFB"/>
    <w:rsid w:val="00C96323"/>
    <w:rsid w:val="00C96501"/>
    <w:rsid w:val="00C96610"/>
    <w:rsid w:val="00C96C49"/>
    <w:rsid w:val="00C971B8"/>
    <w:rsid w:val="00CA0550"/>
    <w:rsid w:val="00CA14FD"/>
    <w:rsid w:val="00CA1618"/>
    <w:rsid w:val="00CA174F"/>
    <w:rsid w:val="00CA1933"/>
    <w:rsid w:val="00CA1CAD"/>
    <w:rsid w:val="00CA2CE1"/>
    <w:rsid w:val="00CA35CD"/>
    <w:rsid w:val="00CA3618"/>
    <w:rsid w:val="00CA3B4E"/>
    <w:rsid w:val="00CA469E"/>
    <w:rsid w:val="00CA4943"/>
    <w:rsid w:val="00CA4B91"/>
    <w:rsid w:val="00CA4DC9"/>
    <w:rsid w:val="00CA512A"/>
    <w:rsid w:val="00CA5394"/>
    <w:rsid w:val="00CA547E"/>
    <w:rsid w:val="00CA5751"/>
    <w:rsid w:val="00CA5A42"/>
    <w:rsid w:val="00CA5DB5"/>
    <w:rsid w:val="00CA5DC4"/>
    <w:rsid w:val="00CA5E57"/>
    <w:rsid w:val="00CA5E62"/>
    <w:rsid w:val="00CA6819"/>
    <w:rsid w:val="00CA68A3"/>
    <w:rsid w:val="00CA6EA5"/>
    <w:rsid w:val="00CA7977"/>
    <w:rsid w:val="00CA7BB0"/>
    <w:rsid w:val="00CB13E7"/>
    <w:rsid w:val="00CB1800"/>
    <w:rsid w:val="00CB3428"/>
    <w:rsid w:val="00CB3DD6"/>
    <w:rsid w:val="00CB42F7"/>
    <w:rsid w:val="00CB43F4"/>
    <w:rsid w:val="00CB4535"/>
    <w:rsid w:val="00CB520B"/>
    <w:rsid w:val="00CB52BA"/>
    <w:rsid w:val="00CB531C"/>
    <w:rsid w:val="00CB60E2"/>
    <w:rsid w:val="00CB6578"/>
    <w:rsid w:val="00CB6E33"/>
    <w:rsid w:val="00CB74D3"/>
    <w:rsid w:val="00CB76A4"/>
    <w:rsid w:val="00CB7DEB"/>
    <w:rsid w:val="00CC01CD"/>
    <w:rsid w:val="00CC053C"/>
    <w:rsid w:val="00CC0DA7"/>
    <w:rsid w:val="00CC1142"/>
    <w:rsid w:val="00CC1559"/>
    <w:rsid w:val="00CC1605"/>
    <w:rsid w:val="00CC1D48"/>
    <w:rsid w:val="00CC2514"/>
    <w:rsid w:val="00CC25E3"/>
    <w:rsid w:val="00CC28CA"/>
    <w:rsid w:val="00CC2B24"/>
    <w:rsid w:val="00CC2D05"/>
    <w:rsid w:val="00CC305B"/>
    <w:rsid w:val="00CC319B"/>
    <w:rsid w:val="00CC35C5"/>
    <w:rsid w:val="00CC37A8"/>
    <w:rsid w:val="00CC3E9C"/>
    <w:rsid w:val="00CC44F8"/>
    <w:rsid w:val="00CC45F3"/>
    <w:rsid w:val="00CC47F9"/>
    <w:rsid w:val="00CC5A1F"/>
    <w:rsid w:val="00CC5AE9"/>
    <w:rsid w:val="00CC5EAB"/>
    <w:rsid w:val="00CC6372"/>
    <w:rsid w:val="00CC6BF5"/>
    <w:rsid w:val="00CD071D"/>
    <w:rsid w:val="00CD1168"/>
    <w:rsid w:val="00CD143E"/>
    <w:rsid w:val="00CD1A11"/>
    <w:rsid w:val="00CD1B91"/>
    <w:rsid w:val="00CD1F47"/>
    <w:rsid w:val="00CD2869"/>
    <w:rsid w:val="00CD296C"/>
    <w:rsid w:val="00CD2EED"/>
    <w:rsid w:val="00CD3187"/>
    <w:rsid w:val="00CD36DE"/>
    <w:rsid w:val="00CD3CE6"/>
    <w:rsid w:val="00CD4611"/>
    <w:rsid w:val="00CD46DA"/>
    <w:rsid w:val="00CD47E3"/>
    <w:rsid w:val="00CD4D57"/>
    <w:rsid w:val="00CD5060"/>
    <w:rsid w:val="00CD5525"/>
    <w:rsid w:val="00CD5746"/>
    <w:rsid w:val="00CD5984"/>
    <w:rsid w:val="00CD5EDB"/>
    <w:rsid w:val="00CD647F"/>
    <w:rsid w:val="00CD6E22"/>
    <w:rsid w:val="00CD6E68"/>
    <w:rsid w:val="00CD7723"/>
    <w:rsid w:val="00CD7DDB"/>
    <w:rsid w:val="00CD7F31"/>
    <w:rsid w:val="00CD7FE0"/>
    <w:rsid w:val="00CE0019"/>
    <w:rsid w:val="00CE03E9"/>
    <w:rsid w:val="00CE04A1"/>
    <w:rsid w:val="00CE080F"/>
    <w:rsid w:val="00CE0D8D"/>
    <w:rsid w:val="00CE1815"/>
    <w:rsid w:val="00CE21CB"/>
    <w:rsid w:val="00CE228F"/>
    <w:rsid w:val="00CE3376"/>
    <w:rsid w:val="00CE376C"/>
    <w:rsid w:val="00CE3846"/>
    <w:rsid w:val="00CE4083"/>
    <w:rsid w:val="00CE418C"/>
    <w:rsid w:val="00CE42DA"/>
    <w:rsid w:val="00CE4570"/>
    <w:rsid w:val="00CE4C73"/>
    <w:rsid w:val="00CE4C86"/>
    <w:rsid w:val="00CE4DDC"/>
    <w:rsid w:val="00CE51B4"/>
    <w:rsid w:val="00CE5670"/>
    <w:rsid w:val="00CE5CD1"/>
    <w:rsid w:val="00CE6781"/>
    <w:rsid w:val="00CE6B44"/>
    <w:rsid w:val="00CE764B"/>
    <w:rsid w:val="00CF0229"/>
    <w:rsid w:val="00CF07FC"/>
    <w:rsid w:val="00CF099B"/>
    <w:rsid w:val="00CF0B3D"/>
    <w:rsid w:val="00CF1922"/>
    <w:rsid w:val="00CF1A9F"/>
    <w:rsid w:val="00CF2BB9"/>
    <w:rsid w:val="00CF3244"/>
    <w:rsid w:val="00CF39E9"/>
    <w:rsid w:val="00CF3AE4"/>
    <w:rsid w:val="00CF3FE5"/>
    <w:rsid w:val="00CF445F"/>
    <w:rsid w:val="00CF4B55"/>
    <w:rsid w:val="00CF4B5A"/>
    <w:rsid w:val="00CF54A8"/>
    <w:rsid w:val="00CF58D3"/>
    <w:rsid w:val="00CF626A"/>
    <w:rsid w:val="00CF66EE"/>
    <w:rsid w:val="00CF699F"/>
    <w:rsid w:val="00CF74D5"/>
    <w:rsid w:val="00CF7648"/>
    <w:rsid w:val="00CF7B90"/>
    <w:rsid w:val="00CF7EA1"/>
    <w:rsid w:val="00D00768"/>
    <w:rsid w:val="00D01564"/>
    <w:rsid w:val="00D01813"/>
    <w:rsid w:val="00D02370"/>
    <w:rsid w:val="00D03C40"/>
    <w:rsid w:val="00D042A3"/>
    <w:rsid w:val="00D04726"/>
    <w:rsid w:val="00D053A4"/>
    <w:rsid w:val="00D0569F"/>
    <w:rsid w:val="00D05746"/>
    <w:rsid w:val="00D063E7"/>
    <w:rsid w:val="00D06E4B"/>
    <w:rsid w:val="00D06F18"/>
    <w:rsid w:val="00D07013"/>
    <w:rsid w:val="00D0767F"/>
    <w:rsid w:val="00D07771"/>
    <w:rsid w:val="00D104EF"/>
    <w:rsid w:val="00D10E05"/>
    <w:rsid w:val="00D10F43"/>
    <w:rsid w:val="00D10FD7"/>
    <w:rsid w:val="00D123FC"/>
    <w:rsid w:val="00D12764"/>
    <w:rsid w:val="00D13129"/>
    <w:rsid w:val="00D1316F"/>
    <w:rsid w:val="00D1382C"/>
    <w:rsid w:val="00D13A70"/>
    <w:rsid w:val="00D13AAF"/>
    <w:rsid w:val="00D142D0"/>
    <w:rsid w:val="00D144D9"/>
    <w:rsid w:val="00D145EF"/>
    <w:rsid w:val="00D14930"/>
    <w:rsid w:val="00D14B60"/>
    <w:rsid w:val="00D15106"/>
    <w:rsid w:val="00D15637"/>
    <w:rsid w:val="00D15AE9"/>
    <w:rsid w:val="00D17479"/>
    <w:rsid w:val="00D17AB9"/>
    <w:rsid w:val="00D17BB6"/>
    <w:rsid w:val="00D2004D"/>
    <w:rsid w:val="00D200F8"/>
    <w:rsid w:val="00D2094D"/>
    <w:rsid w:val="00D20BA7"/>
    <w:rsid w:val="00D21330"/>
    <w:rsid w:val="00D213A5"/>
    <w:rsid w:val="00D2212A"/>
    <w:rsid w:val="00D225C3"/>
    <w:rsid w:val="00D25A81"/>
    <w:rsid w:val="00D266F9"/>
    <w:rsid w:val="00D2685F"/>
    <w:rsid w:val="00D268B1"/>
    <w:rsid w:val="00D27161"/>
    <w:rsid w:val="00D27883"/>
    <w:rsid w:val="00D2788F"/>
    <w:rsid w:val="00D27C53"/>
    <w:rsid w:val="00D30166"/>
    <w:rsid w:val="00D303BB"/>
    <w:rsid w:val="00D3050C"/>
    <w:rsid w:val="00D30839"/>
    <w:rsid w:val="00D31933"/>
    <w:rsid w:val="00D31CDB"/>
    <w:rsid w:val="00D31DB3"/>
    <w:rsid w:val="00D32856"/>
    <w:rsid w:val="00D33E23"/>
    <w:rsid w:val="00D34790"/>
    <w:rsid w:val="00D34949"/>
    <w:rsid w:val="00D34E25"/>
    <w:rsid w:val="00D35032"/>
    <w:rsid w:val="00D35127"/>
    <w:rsid w:val="00D351E1"/>
    <w:rsid w:val="00D359BD"/>
    <w:rsid w:val="00D3673D"/>
    <w:rsid w:val="00D36B33"/>
    <w:rsid w:val="00D36DFF"/>
    <w:rsid w:val="00D36F3C"/>
    <w:rsid w:val="00D36FE6"/>
    <w:rsid w:val="00D37804"/>
    <w:rsid w:val="00D402F5"/>
    <w:rsid w:val="00D40527"/>
    <w:rsid w:val="00D4126F"/>
    <w:rsid w:val="00D41871"/>
    <w:rsid w:val="00D419A6"/>
    <w:rsid w:val="00D41AC7"/>
    <w:rsid w:val="00D41B0D"/>
    <w:rsid w:val="00D41D04"/>
    <w:rsid w:val="00D431D3"/>
    <w:rsid w:val="00D43A17"/>
    <w:rsid w:val="00D43C20"/>
    <w:rsid w:val="00D440A7"/>
    <w:rsid w:val="00D448EC"/>
    <w:rsid w:val="00D44D39"/>
    <w:rsid w:val="00D46875"/>
    <w:rsid w:val="00D468BC"/>
    <w:rsid w:val="00D4740B"/>
    <w:rsid w:val="00D47A06"/>
    <w:rsid w:val="00D47A29"/>
    <w:rsid w:val="00D47E4C"/>
    <w:rsid w:val="00D503B8"/>
    <w:rsid w:val="00D5056C"/>
    <w:rsid w:val="00D50C37"/>
    <w:rsid w:val="00D510D0"/>
    <w:rsid w:val="00D51306"/>
    <w:rsid w:val="00D532AF"/>
    <w:rsid w:val="00D53746"/>
    <w:rsid w:val="00D53E80"/>
    <w:rsid w:val="00D5622F"/>
    <w:rsid w:val="00D562D0"/>
    <w:rsid w:val="00D5642D"/>
    <w:rsid w:val="00D56E21"/>
    <w:rsid w:val="00D572C9"/>
    <w:rsid w:val="00D57388"/>
    <w:rsid w:val="00D575C5"/>
    <w:rsid w:val="00D577B0"/>
    <w:rsid w:val="00D577FB"/>
    <w:rsid w:val="00D600A7"/>
    <w:rsid w:val="00D60808"/>
    <w:rsid w:val="00D61245"/>
    <w:rsid w:val="00D629D5"/>
    <w:rsid w:val="00D62AEA"/>
    <w:rsid w:val="00D6322D"/>
    <w:rsid w:val="00D6385C"/>
    <w:rsid w:val="00D63E28"/>
    <w:rsid w:val="00D64977"/>
    <w:rsid w:val="00D65EED"/>
    <w:rsid w:val="00D65FDE"/>
    <w:rsid w:val="00D665CA"/>
    <w:rsid w:val="00D6673B"/>
    <w:rsid w:val="00D66E8E"/>
    <w:rsid w:val="00D675EC"/>
    <w:rsid w:val="00D67813"/>
    <w:rsid w:val="00D7023A"/>
    <w:rsid w:val="00D70A44"/>
    <w:rsid w:val="00D70DEF"/>
    <w:rsid w:val="00D71513"/>
    <w:rsid w:val="00D71E0E"/>
    <w:rsid w:val="00D724A6"/>
    <w:rsid w:val="00D72BE1"/>
    <w:rsid w:val="00D72FF4"/>
    <w:rsid w:val="00D739A2"/>
    <w:rsid w:val="00D7426E"/>
    <w:rsid w:val="00D7473F"/>
    <w:rsid w:val="00D74775"/>
    <w:rsid w:val="00D748AD"/>
    <w:rsid w:val="00D74F32"/>
    <w:rsid w:val="00D75041"/>
    <w:rsid w:val="00D7531A"/>
    <w:rsid w:val="00D75D9D"/>
    <w:rsid w:val="00D7645A"/>
    <w:rsid w:val="00D76D0D"/>
    <w:rsid w:val="00D76E46"/>
    <w:rsid w:val="00D77DEB"/>
    <w:rsid w:val="00D77EF5"/>
    <w:rsid w:val="00D800AC"/>
    <w:rsid w:val="00D806F2"/>
    <w:rsid w:val="00D80BCE"/>
    <w:rsid w:val="00D81122"/>
    <w:rsid w:val="00D81443"/>
    <w:rsid w:val="00D8152D"/>
    <w:rsid w:val="00D81710"/>
    <w:rsid w:val="00D819C0"/>
    <w:rsid w:val="00D81D3A"/>
    <w:rsid w:val="00D820B4"/>
    <w:rsid w:val="00D825C1"/>
    <w:rsid w:val="00D82931"/>
    <w:rsid w:val="00D836AB"/>
    <w:rsid w:val="00D83D08"/>
    <w:rsid w:val="00D83EDD"/>
    <w:rsid w:val="00D8483E"/>
    <w:rsid w:val="00D84A3D"/>
    <w:rsid w:val="00D84D26"/>
    <w:rsid w:val="00D856D7"/>
    <w:rsid w:val="00D8720A"/>
    <w:rsid w:val="00D87A0D"/>
    <w:rsid w:val="00D87F07"/>
    <w:rsid w:val="00D90433"/>
    <w:rsid w:val="00D90C34"/>
    <w:rsid w:val="00D91982"/>
    <w:rsid w:val="00D91D47"/>
    <w:rsid w:val="00D91ECF"/>
    <w:rsid w:val="00D92101"/>
    <w:rsid w:val="00D92ED7"/>
    <w:rsid w:val="00D93CD1"/>
    <w:rsid w:val="00D941BA"/>
    <w:rsid w:val="00D94D39"/>
    <w:rsid w:val="00D9557C"/>
    <w:rsid w:val="00D95581"/>
    <w:rsid w:val="00D96160"/>
    <w:rsid w:val="00D9648F"/>
    <w:rsid w:val="00D967D2"/>
    <w:rsid w:val="00D96DD3"/>
    <w:rsid w:val="00D97384"/>
    <w:rsid w:val="00D9788E"/>
    <w:rsid w:val="00DA1359"/>
    <w:rsid w:val="00DA1407"/>
    <w:rsid w:val="00DA2483"/>
    <w:rsid w:val="00DA2686"/>
    <w:rsid w:val="00DA31F7"/>
    <w:rsid w:val="00DA416C"/>
    <w:rsid w:val="00DA46A1"/>
    <w:rsid w:val="00DA4F1F"/>
    <w:rsid w:val="00DA53E1"/>
    <w:rsid w:val="00DA6BFD"/>
    <w:rsid w:val="00DA7044"/>
    <w:rsid w:val="00DA7A7D"/>
    <w:rsid w:val="00DA7CB5"/>
    <w:rsid w:val="00DA7DEF"/>
    <w:rsid w:val="00DB0737"/>
    <w:rsid w:val="00DB0FCF"/>
    <w:rsid w:val="00DB117E"/>
    <w:rsid w:val="00DB2283"/>
    <w:rsid w:val="00DB2635"/>
    <w:rsid w:val="00DB2723"/>
    <w:rsid w:val="00DB2909"/>
    <w:rsid w:val="00DB3303"/>
    <w:rsid w:val="00DB40A7"/>
    <w:rsid w:val="00DB414F"/>
    <w:rsid w:val="00DB444B"/>
    <w:rsid w:val="00DB570E"/>
    <w:rsid w:val="00DB61FA"/>
    <w:rsid w:val="00DB6E27"/>
    <w:rsid w:val="00DB7D64"/>
    <w:rsid w:val="00DC016C"/>
    <w:rsid w:val="00DC09AF"/>
    <w:rsid w:val="00DC0D11"/>
    <w:rsid w:val="00DC0E9F"/>
    <w:rsid w:val="00DC0F51"/>
    <w:rsid w:val="00DC120B"/>
    <w:rsid w:val="00DC1A0C"/>
    <w:rsid w:val="00DC225C"/>
    <w:rsid w:val="00DC257A"/>
    <w:rsid w:val="00DC2729"/>
    <w:rsid w:val="00DC2CF9"/>
    <w:rsid w:val="00DC344C"/>
    <w:rsid w:val="00DC35D9"/>
    <w:rsid w:val="00DC37F3"/>
    <w:rsid w:val="00DC3A15"/>
    <w:rsid w:val="00DC420B"/>
    <w:rsid w:val="00DC4329"/>
    <w:rsid w:val="00DC468C"/>
    <w:rsid w:val="00DC5210"/>
    <w:rsid w:val="00DC70B3"/>
    <w:rsid w:val="00DC73DA"/>
    <w:rsid w:val="00DD06BE"/>
    <w:rsid w:val="00DD0FE6"/>
    <w:rsid w:val="00DD105E"/>
    <w:rsid w:val="00DD1259"/>
    <w:rsid w:val="00DD17BA"/>
    <w:rsid w:val="00DD1994"/>
    <w:rsid w:val="00DD1DD1"/>
    <w:rsid w:val="00DD203F"/>
    <w:rsid w:val="00DD2131"/>
    <w:rsid w:val="00DD24C2"/>
    <w:rsid w:val="00DD2616"/>
    <w:rsid w:val="00DD2C1A"/>
    <w:rsid w:val="00DD2C38"/>
    <w:rsid w:val="00DD338F"/>
    <w:rsid w:val="00DD396C"/>
    <w:rsid w:val="00DD3D54"/>
    <w:rsid w:val="00DD44DD"/>
    <w:rsid w:val="00DD4648"/>
    <w:rsid w:val="00DD481F"/>
    <w:rsid w:val="00DD4AD0"/>
    <w:rsid w:val="00DD4B42"/>
    <w:rsid w:val="00DD4E32"/>
    <w:rsid w:val="00DD4EAE"/>
    <w:rsid w:val="00DD6CCE"/>
    <w:rsid w:val="00DD6DE4"/>
    <w:rsid w:val="00DD781D"/>
    <w:rsid w:val="00DD7953"/>
    <w:rsid w:val="00DE002D"/>
    <w:rsid w:val="00DE11C5"/>
    <w:rsid w:val="00DE17E9"/>
    <w:rsid w:val="00DE1A53"/>
    <w:rsid w:val="00DE1D91"/>
    <w:rsid w:val="00DE2149"/>
    <w:rsid w:val="00DE2292"/>
    <w:rsid w:val="00DE30F6"/>
    <w:rsid w:val="00DE389F"/>
    <w:rsid w:val="00DE3A92"/>
    <w:rsid w:val="00DE3B87"/>
    <w:rsid w:val="00DE3D4B"/>
    <w:rsid w:val="00DE434F"/>
    <w:rsid w:val="00DE43E9"/>
    <w:rsid w:val="00DE50E8"/>
    <w:rsid w:val="00DE5A1D"/>
    <w:rsid w:val="00DE5B8A"/>
    <w:rsid w:val="00DE6DF9"/>
    <w:rsid w:val="00DE75D7"/>
    <w:rsid w:val="00DE7C13"/>
    <w:rsid w:val="00DE7C3C"/>
    <w:rsid w:val="00DF0355"/>
    <w:rsid w:val="00DF099E"/>
    <w:rsid w:val="00DF1834"/>
    <w:rsid w:val="00DF1B59"/>
    <w:rsid w:val="00DF273A"/>
    <w:rsid w:val="00DF2B07"/>
    <w:rsid w:val="00DF2F05"/>
    <w:rsid w:val="00DF2FE2"/>
    <w:rsid w:val="00DF3831"/>
    <w:rsid w:val="00DF4357"/>
    <w:rsid w:val="00DF4ACE"/>
    <w:rsid w:val="00DF4BDF"/>
    <w:rsid w:val="00DF4FC5"/>
    <w:rsid w:val="00DF67CF"/>
    <w:rsid w:val="00DF6D82"/>
    <w:rsid w:val="00DF6DA6"/>
    <w:rsid w:val="00DF7697"/>
    <w:rsid w:val="00DF7ED6"/>
    <w:rsid w:val="00E003CE"/>
    <w:rsid w:val="00E00731"/>
    <w:rsid w:val="00E01262"/>
    <w:rsid w:val="00E0174F"/>
    <w:rsid w:val="00E03720"/>
    <w:rsid w:val="00E03FE7"/>
    <w:rsid w:val="00E05599"/>
    <w:rsid w:val="00E05C5D"/>
    <w:rsid w:val="00E06041"/>
    <w:rsid w:val="00E065CC"/>
    <w:rsid w:val="00E06964"/>
    <w:rsid w:val="00E06A21"/>
    <w:rsid w:val="00E06A47"/>
    <w:rsid w:val="00E06B91"/>
    <w:rsid w:val="00E0761B"/>
    <w:rsid w:val="00E10D09"/>
    <w:rsid w:val="00E10D6E"/>
    <w:rsid w:val="00E10EF6"/>
    <w:rsid w:val="00E11036"/>
    <w:rsid w:val="00E11406"/>
    <w:rsid w:val="00E11493"/>
    <w:rsid w:val="00E11BD2"/>
    <w:rsid w:val="00E11EE7"/>
    <w:rsid w:val="00E1245E"/>
    <w:rsid w:val="00E13358"/>
    <w:rsid w:val="00E13C9F"/>
    <w:rsid w:val="00E141E4"/>
    <w:rsid w:val="00E144BA"/>
    <w:rsid w:val="00E15349"/>
    <w:rsid w:val="00E15A7C"/>
    <w:rsid w:val="00E16679"/>
    <w:rsid w:val="00E16BB9"/>
    <w:rsid w:val="00E16C4C"/>
    <w:rsid w:val="00E16E76"/>
    <w:rsid w:val="00E20304"/>
    <w:rsid w:val="00E2031A"/>
    <w:rsid w:val="00E20611"/>
    <w:rsid w:val="00E20DD5"/>
    <w:rsid w:val="00E21973"/>
    <w:rsid w:val="00E219CE"/>
    <w:rsid w:val="00E224CB"/>
    <w:rsid w:val="00E225AC"/>
    <w:rsid w:val="00E228EA"/>
    <w:rsid w:val="00E22F9A"/>
    <w:rsid w:val="00E2366F"/>
    <w:rsid w:val="00E23838"/>
    <w:rsid w:val="00E245A2"/>
    <w:rsid w:val="00E24E44"/>
    <w:rsid w:val="00E251B8"/>
    <w:rsid w:val="00E25C02"/>
    <w:rsid w:val="00E25C58"/>
    <w:rsid w:val="00E26187"/>
    <w:rsid w:val="00E2642F"/>
    <w:rsid w:val="00E26A6A"/>
    <w:rsid w:val="00E27908"/>
    <w:rsid w:val="00E27B91"/>
    <w:rsid w:val="00E27ED2"/>
    <w:rsid w:val="00E30755"/>
    <w:rsid w:val="00E30C3A"/>
    <w:rsid w:val="00E30D4E"/>
    <w:rsid w:val="00E30F92"/>
    <w:rsid w:val="00E31250"/>
    <w:rsid w:val="00E312CF"/>
    <w:rsid w:val="00E314CB"/>
    <w:rsid w:val="00E31998"/>
    <w:rsid w:val="00E31D30"/>
    <w:rsid w:val="00E31E10"/>
    <w:rsid w:val="00E329E7"/>
    <w:rsid w:val="00E32BF2"/>
    <w:rsid w:val="00E32D63"/>
    <w:rsid w:val="00E331C7"/>
    <w:rsid w:val="00E3337E"/>
    <w:rsid w:val="00E339B0"/>
    <w:rsid w:val="00E34B5B"/>
    <w:rsid w:val="00E354DD"/>
    <w:rsid w:val="00E35534"/>
    <w:rsid w:val="00E35B35"/>
    <w:rsid w:val="00E35F9E"/>
    <w:rsid w:val="00E3676E"/>
    <w:rsid w:val="00E3696E"/>
    <w:rsid w:val="00E36B57"/>
    <w:rsid w:val="00E36BA7"/>
    <w:rsid w:val="00E373AD"/>
    <w:rsid w:val="00E374E3"/>
    <w:rsid w:val="00E378AB"/>
    <w:rsid w:val="00E379A3"/>
    <w:rsid w:val="00E37DA2"/>
    <w:rsid w:val="00E40424"/>
    <w:rsid w:val="00E40AA1"/>
    <w:rsid w:val="00E40AFB"/>
    <w:rsid w:val="00E41122"/>
    <w:rsid w:val="00E412BD"/>
    <w:rsid w:val="00E434FD"/>
    <w:rsid w:val="00E459BB"/>
    <w:rsid w:val="00E45A22"/>
    <w:rsid w:val="00E45AEA"/>
    <w:rsid w:val="00E463FC"/>
    <w:rsid w:val="00E4699C"/>
    <w:rsid w:val="00E46BA8"/>
    <w:rsid w:val="00E46CB8"/>
    <w:rsid w:val="00E471F6"/>
    <w:rsid w:val="00E472AB"/>
    <w:rsid w:val="00E478AB"/>
    <w:rsid w:val="00E47924"/>
    <w:rsid w:val="00E47D18"/>
    <w:rsid w:val="00E5002D"/>
    <w:rsid w:val="00E50A41"/>
    <w:rsid w:val="00E52D93"/>
    <w:rsid w:val="00E52FEE"/>
    <w:rsid w:val="00E53015"/>
    <w:rsid w:val="00E5326B"/>
    <w:rsid w:val="00E53469"/>
    <w:rsid w:val="00E544FB"/>
    <w:rsid w:val="00E54872"/>
    <w:rsid w:val="00E55166"/>
    <w:rsid w:val="00E555C8"/>
    <w:rsid w:val="00E55646"/>
    <w:rsid w:val="00E5567D"/>
    <w:rsid w:val="00E5573E"/>
    <w:rsid w:val="00E55ED0"/>
    <w:rsid w:val="00E564B1"/>
    <w:rsid w:val="00E565EE"/>
    <w:rsid w:val="00E56BB2"/>
    <w:rsid w:val="00E57CA2"/>
    <w:rsid w:val="00E57E70"/>
    <w:rsid w:val="00E601BA"/>
    <w:rsid w:val="00E60493"/>
    <w:rsid w:val="00E609EC"/>
    <w:rsid w:val="00E61019"/>
    <w:rsid w:val="00E6121B"/>
    <w:rsid w:val="00E61DE7"/>
    <w:rsid w:val="00E62283"/>
    <w:rsid w:val="00E62895"/>
    <w:rsid w:val="00E62A9F"/>
    <w:rsid w:val="00E634C2"/>
    <w:rsid w:val="00E638C5"/>
    <w:rsid w:val="00E64009"/>
    <w:rsid w:val="00E6418D"/>
    <w:rsid w:val="00E6448D"/>
    <w:rsid w:val="00E645FF"/>
    <w:rsid w:val="00E64CEB"/>
    <w:rsid w:val="00E65BBE"/>
    <w:rsid w:val="00E66A4A"/>
    <w:rsid w:val="00E66B63"/>
    <w:rsid w:val="00E67908"/>
    <w:rsid w:val="00E67B68"/>
    <w:rsid w:val="00E70B10"/>
    <w:rsid w:val="00E70B33"/>
    <w:rsid w:val="00E70D27"/>
    <w:rsid w:val="00E7151E"/>
    <w:rsid w:val="00E71797"/>
    <w:rsid w:val="00E71C7F"/>
    <w:rsid w:val="00E732F4"/>
    <w:rsid w:val="00E7355B"/>
    <w:rsid w:val="00E73B55"/>
    <w:rsid w:val="00E73EEA"/>
    <w:rsid w:val="00E73FCC"/>
    <w:rsid w:val="00E741EE"/>
    <w:rsid w:val="00E7471C"/>
    <w:rsid w:val="00E748A9"/>
    <w:rsid w:val="00E753D8"/>
    <w:rsid w:val="00E75880"/>
    <w:rsid w:val="00E75D9B"/>
    <w:rsid w:val="00E7628D"/>
    <w:rsid w:val="00E80B57"/>
    <w:rsid w:val="00E813B7"/>
    <w:rsid w:val="00E81762"/>
    <w:rsid w:val="00E817B8"/>
    <w:rsid w:val="00E8253A"/>
    <w:rsid w:val="00E8327F"/>
    <w:rsid w:val="00E833D9"/>
    <w:rsid w:val="00E83A98"/>
    <w:rsid w:val="00E83B24"/>
    <w:rsid w:val="00E84071"/>
    <w:rsid w:val="00E84682"/>
    <w:rsid w:val="00E8468E"/>
    <w:rsid w:val="00E84715"/>
    <w:rsid w:val="00E85264"/>
    <w:rsid w:val="00E867F0"/>
    <w:rsid w:val="00E86807"/>
    <w:rsid w:val="00E869C6"/>
    <w:rsid w:val="00E87306"/>
    <w:rsid w:val="00E875AE"/>
    <w:rsid w:val="00E902DE"/>
    <w:rsid w:val="00E9074B"/>
    <w:rsid w:val="00E92D77"/>
    <w:rsid w:val="00E92E96"/>
    <w:rsid w:val="00E9374F"/>
    <w:rsid w:val="00E93853"/>
    <w:rsid w:val="00E93A9A"/>
    <w:rsid w:val="00E940D6"/>
    <w:rsid w:val="00E9424B"/>
    <w:rsid w:val="00E946A8"/>
    <w:rsid w:val="00E949C2"/>
    <w:rsid w:val="00E94A84"/>
    <w:rsid w:val="00E95063"/>
    <w:rsid w:val="00E96149"/>
    <w:rsid w:val="00E9635B"/>
    <w:rsid w:val="00E965A8"/>
    <w:rsid w:val="00E971BE"/>
    <w:rsid w:val="00E97403"/>
    <w:rsid w:val="00E9769A"/>
    <w:rsid w:val="00E97A43"/>
    <w:rsid w:val="00EA0139"/>
    <w:rsid w:val="00EA063C"/>
    <w:rsid w:val="00EA0B30"/>
    <w:rsid w:val="00EA0DFC"/>
    <w:rsid w:val="00EA11C4"/>
    <w:rsid w:val="00EA1E2A"/>
    <w:rsid w:val="00EA20E2"/>
    <w:rsid w:val="00EA26EA"/>
    <w:rsid w:val="00EA27FB"/>
    <w:rsid w:val="00EA2A72"/>
    <w:rsid w:val="00EA30D2"/>
    <w:rsid w:val="00EA31F2"/>
    <w:rsid w:val="00EA3316"/>
    <w:rsid w:val="00EA3C6E"/>
    <w:rsid w:val="00EA3E8C"/>
    <w:rsid w:val="00EA5AB5"/>
    <w:rsid w:val="00EA6FED"/>
    <w:rsid w:val="00EA70D9"/>
    <w:rsid w:val="00EA751C"/>
    <w:rsid w:val="00EA77A5"/>
    <w:rsid w:val="00EA7DA2"/>
    <w:rsid w:val="00EB0735"/>
    <w:rsid w:val="00EB1589"/>
    <w:rsid w:val="00EB194B"/>
    <w:rsid w:val="00EB2441"/>
    <w:rsid w:val="00EB24B0"/>
    <w:rsid w:val="00EB24F0"/>
    <w:rsid w:val="00EB31F0"/>
    <w:rsid w:val="00EB35AC"/>
    <w:rsid w:val="00EB36D8"/>
    <w:rsid w:val="00EB5DBC"/>
    <w:rsid w:val="00EB64D6"/>
    <w:rsid w:val="00EB6738"/>
    <w:rsid w:val="00EB6A3E"/>
    <w:rsid w:val="00EB7A20"/>
    <w:rsid w:val="00EC05F4"/>
    <w:rsid w:val="00EC1774"/>
    <w:rsid w:val="00EC199F"/>
    <w:rsid w:val="00EC1F27"/>
    <w:rsid w:val="00EC1F6B"/>
    <w:rsid w:val="00EC2423"/>
    <w:rsid w:val="00EC2DA7"/>
    <w:rsid w:val="00EC3428"/>
    <w:rsid w:val="00EC37B2"/>
    <w:rsid w:val="00EC438C"/>
    <w:rsid w:val="00EC4634"/>
    <w:rsid w:val="00EC4AC0"/>
    <w:rsid w:val="00EC4CC1"/>
    <w:rsid w:val="00EC527A"/>
    <w:rsid w:val="00EC556D"/>
    <w:rsid w:val="00EC569F"/>
    <w:rsid w:val="00EC5C3B"/>
    <w:rsid w:val="00EC6602"/>
    <w:rsid w:val="00EC6C89"/>
    <w:rsid w:val="00EC6D34"/>
    <w:rsid w:val="00EC799E"/>
    <w:rsid w:val="00EC7E96"/>
    <w:rsid w:val="00ED1080"/>
    <w:rsid w:val="00ED1947"/>
    <w:rsid w:val="00ED1997"/>
    <w:rsid w:val="00ED1B87"/>
    <w:rsid w:val="00ED20FB"/>
    <w:rsid w:val="00ED2F62"/>
    <w:rsid w:val="00ED2FDF"/>
    <w:rsid w:val="00ED40F9"/>
    <w:rsid w:val="00ED4BC8"/>
    <w:rsid w:val="00ED4BE2"/>
    <w:rsid w:val="00ED4C17"/>
    <w:rsid w:val="00ED5AF0"/>
    <w:rsid w:val="00ED61DC"/>
    <w:rsid w:val="00ED65CA"/>
    <w:rsid w:val="00ED6D34"/>
    <w:rsid w:val="00ED73AB"/>
    <w:rsid w:val="00ED78D9"/>
    <w:rsid w:val="00ED7C3F"/>
    <w:rsid w:val="00ED7F5C"/>
    <w:rsid w:val="00EE1632"/>
    <w:rsid w:val="00EE1652"/>
    <w:rsid w:val="00EE198D"/>
    <w:rsid w:val="00EE324B"/>
    <w:rsid w:val="00EE36C1"/>
    <w:rsid w:val="00EE3ABB"/>
    <w:rsid w:val="00EE3FBD"/>
    <w:rsid w:val="00EE419B"/>
    <w:rsid w:val="00EE41CC"/>
    <w:rsid w:val="00EE43FC"/>
    <w:rsid w:val="00EE5667"/>
    <w:rsid w:val="00EE5D33"/>
    <w:rsid w:val="00EE71AA"/>
    <w:rsid w:val="00EE725A"/>
    <w:rsid w:val="00EE726C"/>
    <w:rsid w:val="00EE7644"/>
    <w:rsid w:val="00EE797B"/>
    <w:rsid w:val="00EF04F8"/>
    <w:rsid w:val="00EF05AC"/>
    <w:rsid w:val="00EF0D97"/>
    <w:rsid w:val="00EF12C7"/>
    <w:rsid w:val="00EF1C71"/>
    <w:rsid w:val="00EF1D84"/>
    <w:rsid w:val="00EF1EC7"/>
    <w:rsid w:val="00EF1ED2"/>
    <w:rsid w:val="00EF233C"/>
    <w:rsid w:val="00EF273D"/>
    <w:rsid w:val="00EF2AD9"/>
    <w:rsid w:val="00EF2CFE"/>
    <w:rsid w:val="00EF366F"/>
    <w:rsid w:val="00EF3E7C"/>
    <w:rsid w:val="00EF41BB"/>
    <w:rsid w:val="00EF4BCF"/>
    <w:rsid w:val="00EF5B00"/>
    <w:rsid w:val="00EF5CB8"/>
    <w:rsid w:val="00EF5D21"/>
    <w:rsid w:val="00EF6059"/>
    <w:rsid w:val="00EF665E"/>
    <w:rsid w:val="00EF6C51"/>
    <w:rsid w:val="00EF6D0F"/>
    <w:rsid w:val="00EF6EFE"/>
    <w:rsid w:val="00EF7161"/>
    <w:rsid w:val="00EF78BC"/>
    <w:rsid w:val="00F009BD"/>
    <w:rsid w:val="00F01298"/>
    <w:rsid w:val="00F01F40"/>
    <w:rsid w:val="00F01FCF"/>
    <w:rsid w:val="00F02B96"/>
    <w:rsid w:val="00F035F9"/>
    <w:rsid w:val="00F037E1"/>
    <w:rsid w:val="00F03AA1"/>
    <w:rsid w:val="00F03D97"/>
    <w:rsid w:val="00F056E6"/>
    <w:rsid w:val="00F060E3"/>
    <w:rsid w:val="00F060E7"/>
    <w:rsid w:val="00F0628C"/>
    <w:rsid w:val="00F063CB"/>
    <w:rsid w:val="00F073E1"/>
    <w:rsid w:val="00F07AA3"/>
    <w:rsid w:val="00F07ABE"/>
    <w:rsid w:val="00F07D5E"/>
    <w:rsid w:val="00F07E3A"/>
    <w:rsid w:val="00F1070A"/>
    <w:rsid w:val="00F113B7"/>
    <w:rsid w:val="00F117A8"/>
    <w:rsid w:val="00F11A06"/>
    <w:rsid w:val="00F11B38"/>
    <w:rsid w:val="00F126EB"/>
    <w:rsid w:val="00F12DA8"/>
    <w:rsid w:val="00F1437F"/>
    <w:rsid w:val="00F149AF"/>
    <w:rsid w:val="00F14FE8"/>
    <w:rsid w:val="00F150A3"/>
    <w:rsid w:val="00F15356"/>
    <w:rsid w:val="00F153B8"/>
    <w:rsid w:val="00F159A6"/>
    <w:rsid w:val="00F15E93"/>
    <w:rsid w:val="00F16546"/>
    <w:rsid w:val="00F16EFF"/>
    <w:rsid w:val="00F17306"/>
    <w:rsid w:val="00F174B5"/>
    <w:rsid w:val="00F200FA"/>
    <w:rsid w:val="00F20540"/>
    <w:rsid w:val="00F208DC"/>
    <w:rsid w:val="00F20ED0"/>
    <w:rsid w:val="00F20FA7"/>
    <w:rsid w:val="00F214B7"/>
    <w:rsid w:val="00F22362"/>
    <w:rsid w:val="00F2294D"/>
    <w:rsid w:val="00F22ECA"/>
    <w:rsid w:val="00F232B1"/>
    <w:rsid w:val="00F23B3A"/>
    <w:rsid w:val="00F2412C"/>
    <w:rsid w:val="00F241B0"/>
    <w:rsid w:val="00F24986"/>
    <w:rsid w:val="00F262B0"/>
    <w:rsid w:val="00F264EA"/>
    <w:rsid w:val="00F26965"/>
    <w:rsid w:val="00F26975"/>
    <w:rsid w:val="00F26E46"/>
    <w:rsid w:val="00F273C6"/>
    <w:rsid w:val="00F27409"/>
    <w:rsid w:val="00F30326"/>
    <w:rsid w:val="00F306EE"/>
    <w:rsid w:val="00F30D5C"/>
    <w:rsid w:val="00F30E43"/>
    <w:rsid w:val="00F319AD"/>
    <w:rsid w:val="00F31B06"/>
    <w:rsid w:val="00F31C3D"/>
    <w:rsid w:val="00F31F1C"/>
    <w:rsid w:val="00F32207"/>
    <w:rsid w:val="00F32608"/>
    <w:rsid w:val="00F32F5B"/>
    <w:rsid w:val="00F32FA9"/>
    <w:rsid w:val="00F33AF2"/>
    <w:rsid w:val="00F34473"/>
    <w:rsid w:val="00F34780"/>
    <w:rsid w:val="00F34A3C"/>
    <w:rsid w:val="00F3599C"/>
    <w:rsid w:val="00F360AD"/>
    <w:rsid w:val="00F36FF0"/>
    <w:rsid w:val="00F3706A"/>
    <w:rsid w:val="00F377D9"/>
    <w:rsid w:val="00F37CD5"/>
    <w:rsid w:val="00F40C61"/>
    <w:rsid w:val="00F40DE8"/>
    <w:rsid w:val="00F41128"/>
    <w:rsid w:val="00F4154D"/>
    <w:rsid w:val="00F428CB"/>
    <w:rsid w:val="00F4297D"/>
    <w:rsid w:val="00F42A8B"/>
    <w:rsid w:val="00F42FE6"/>
    <w:rsid w:val="00F43648"/>
    <w:rsid w:val="00F43D2F"/>
    <w:rsid w:val="00F43EC2"/>
    <w:rsid w:val="00F4421B"/>
    <w:rsid w:val="00F44962"/>
    <w:rsid w:val="00F45030"/>
    <w:rsid w:val="00F45648"/>
    <w:rsid w:val="00F45DE8"/>
    <w:rsid w:val="00F460F5"/>
    <w:rsid w:val="00F47384"/>
    <w:rsid w:val="00F474FF"/>
    <w:rsid w:val="00F503AB"/>
    <w:rsid w:val="00F50EAA"/>
    <w:rsid w:val="00F5100B"/>
    <w:rsid w:val="00F515E9"/>
    <w:rsid w:val="00F53176"/>
    <w:rsid w:val="00F53247"/>
    <w:rsid w:val="00F541B0"/>
    <w:rsid w:val="00F551E1"/>
    <w:rsid w:val="00F55235"/>
    <w:rsid w:val="00F5557A"/>
    <w:rsid w:val="00F55A82"/>
    <w:rsid w:val="00F55C02"/>
    <w:rsid w:val="00F55E7A"/>
    <w:rsid w:val="00F55E87"/>
    <w:rsid w:val="00F55F21"/>
    <w:rsid w:val="00F56091"/>
    <w:rsid w:val="00F561CD"/>
    <w:rsid w:val="00F56271"/>
    <w:rsid w:val="00F562D5"/>
    <w:rsid w:val="00F56A2B"/>
    <w:rsid w:val="00F56C0B"/>
    <w:rsid w:val="00F572CD"/>
    <w:rsid w:val="00F5754A"/>
    <w:rsid w:val="00F577C2"/>
    <w:rsid w:val="00F60318"/>
    <w:rsid w:val="00F60515"/>
    <w:rsid w:val="00F60F8B"/>
    <w:rsid w:val="00F61292"/>
    <w:rsid w:val="00F6194C"/>
    <w:rsid w:val="00F62BDA"/>
    <w:rsid w:val="00F633A7"/>
    <w:rsid w:val="00F633E1"/>
    <w:rsid w:val="00F63466"/>
    <w:rsid w:val="00F63A2F"/>
    <w:rsid w:val="00F63BD4"/>
    <w:rsid w:val="00F64A26"/>
    <w:rsid w:val="00F656EC"/>
    <w:rsid w:val="00F6674D"/>
    <w:rsid w:val="00F70024"/>
    <w:rsid w:val="00F700AB"/>
    <w:rsid w:val="00F703CB"/>
    <w:rsid w:val="00F7042E"/>
    <w:rsid w:val="00F704E3"/>
    <w:rsid w:val="00F70C78"/>
    <w:rsid w:val="00F70CCB"/>
    <w:rsid w:val="00F70DE2"/>
    <w:rsid w:val="00F70EFD"/>
    <w:rsid w:val="00F70FC3"/>
    <w:rsid w:val="00F7110B"/>
    <w:rsid w:val="00F71181"/>
    <w:rsid w:val="00F71429"/>
    <w:rsid w:val="00F71E76"/>
    <w:rsid w:val="00F7279F"/>
    <w:rsid w:val="00F72FF9"/>
    <w:rsid w:val="00F73013"/>
    <w:rsid w:val="00F730FC"/>
    <w:rsid w:val="00F73752"/>
    <w:rsid w:val="00F7378B"/>
    <w:rsid w:val="00F7388A"/>
    <w:rsid w:val="00F73C61"/>
    <w:rsid w:val="00F743DD"/>
    <w:rsid w:val="00F74560"/>
    <w:rsid w:val="00F74570"/>
    <w:rsid w:val="00F74B46"/>
    <w:rsid w:val="00F74BCE"/>
    <w:rsid w:val="00F74EB9"/>
    <w:rsid w:val="00F757A0"/>
    <w:rsid w:val="00F75C82"/>
    <w:rsid w:val="00F75DCD"/>
    <w:rsid w:val="00F76432"/>
    <w:rsid w:val="00F76E06"/>
    <w:rsid w:val="00F77366"/>
    <w:rsid w:val="00F77D35"/>
    <w:rsid w:val="00F8049B"/>
    <w:rsid w:val="00F815AC"/>
    <w:rsid w:val="00F81DA6"/>
    <w:rsid w:val="00F8264F"/>
    <w:rsid w:val="00F8278B"/>
    <w:rsid w:val="00F82B43"/>
    <w:rsid w:val="00F82C98"/>
    <w:rsid w:val="00F83B84"/>
    <w:rsid w:val="00F84761"/>
    <w:rsid w:val="00F852A5"/>
    <w:rsid w:val="00F85741"/>
    <w:rsid w:val="00F85ADA"/>
    <w:rsid w:val="00F85DA7"/>
    <w:rsid w:val="00F85E1E"/>
    <w:rsid w:val="00F9130C"/>
    <w:rsid w:val="00F91EAB"/>
    <w:rsid w:val="00F92516"/>
    <w:rsid w:val="00F929CE"/>
    <w:rsid w:val="00F929EF"/>
    <w:rsid w:val="00F92B3D"/>
    <w:rsid w:val="00F92BD7"/>
    <w:rsid w:val="00F932F9"/>
    <w:rsid w:val="00F93E09"/>
    <w:rsid w:val="00F959BF"/>
    <w:rsid w:val="00F95EF9"/>
    <w:rsid w:val="00F96530"/>
    <w:rsid w:val="00F965E8"/>
    <w:rsid w:val="00F9676B"/>
    <w:rsid w:val="00F96DEE"/>
    <w:rsid w:val="00F97511"/>
    <w:rsid w:val="00F97A16"/>
    <w:rsid w:val="00F97A68"/>
    <w:rsid w:val="00FA03B8"/>
    <w:rsid w:val="00FA1318"/>
    <w:rsid w:val="00FA1DB6"/>
    <w:rsid w:val="00FA1E69"/>
    <w:rsid w:val="00FA25B7"/>
    <w:rsid w:val="00FA2B92"/>
    <w:rsid w:val="00FA45A1"/>
    <w:rsid w:val="00FA45C7"/>
    <w:rsid w:val="00FA4DDD"/>
    <w:rsid w:val="00FA5706"/>
    <w:rsid w:val="00FA5E55"/>
    <w:rsid w:val="00FA64D2"/>
    <w:rsid w:val="00FA6FBE"/>
    <w:rsid w:val="00FA7C5F"/>
    <w:rsid w:val="00FA7CD9"/>
    <w:rsid w:val="00FB043E"/>
    <w:rsid w:val="00FB06D3"/>
    <w:rsid w:val="00FB13C4"/>
    <w:rsid w:val="00FB191B"/>
    <w:rsid w:val="00FB2586"/>
    <w:rsid w:val="00FB27AE"/>
    <w:rsid w:val="00FB2FC9"/>
    <w:rsid w:val="00FB3435"/>
    <w:rsid w:val="00FB34FF"/>
    <w:rsid w:val="00FB3865"/>
    <w:rsid w:val="00FB390E"/>
    <w:rsid w:val="00FB42BA"/>
    <w:rsid w:val="00FB43FE"/>
    <w:rsid w:val="00FB46CC"/>
    <w:rsid w:val="00FB571C"/>
    <w:rsid w:val="00FB58BE"/>
    <w:rsid w:val="00FB5C5F"/>
    <w:rsid w:val="00FB6273"/>
    <w:rsid w:val="00FB637E"/>
    <w:rsid w:val="00FB6C64"/>
    <w:rsid w:val="00FC0386"/>
    <w:rsid w:val="00FC0FE7"/>
    <w:rsid w:val="00FC20B0"/>
    <w:rsid w:val="00FC2619"/>
    <w:rsid w:val="00FC264D"/>
    <w:rsid w:val="00FC2C12"/>
    <w:rsid w:val="00FC3066"/>
    <w:rsid w:val="00FC330D"/>
    <w:rsid w:val="00FC3570"/>
    <w:rsid w:val="00FC3628"/>
    <w:rsid w:val="00FC37DF"/>
    <w:rsid w:val="00FC3946"/>
    <w:rsid w:val="00FC395A"/>
    <w:rsid w:val="00FC3DE3"/>
    <w:rsid w:val="00FC3F41"/>
    <w:rsid w:val="00FC4087"/>
    <w:rsid w:val="00FC4695"/>
    <w:rsid w:val="00FC585C"/>
    <w:rsid w:val="00FC5DE4"/>
    <w:rsid w:val="00FC6204"/>
    <w:rsid w:val="00FC6A26"/>
    <w:rsid w:val="00FC7CAA"/>
    <w:rsid w:val="00FC7F3F"/>
    <w:rsid w:val="00FD11F0"/>
    <w:rsid w:val="00FD15D1"/>
    <w:rsid w:val="00FD18BE"/>
    <w:rsid w:val="00FD2B26"/>
    <w:rsid w:val="00FD307C"/>
    <w:rsid w:val="00FD371A"/>
    <w:rsid w:val="00FD3762"/>
    <w:rsid w:val="00FD3D4A"/>
    <w:rsid w:val="00FD3F72"/>
    <w:rsid w:val="00FD4331"/>
    <w:rsid w:val="00FD495E"/>
    <w:rsid w:val="00FD53D3"/>
    <w:rsid w:val="00FD595C"/>
    <w:rsid w:val="00FD5F1E"/>
    <w:rsid w:val="00FD6131"/>
    <w:rsid w:val="00FD6189"/>
    <w:rsid w:val="00FD6540"/>
    <w:rsid w:val="00FD7EA5"/>
    <w:rsid w:val="00FE12C2"/>
    <w:rsid w:val="00FE173D"/>
    <w:rsid w:val="00FE1AE5"/>
    <w:rsid w:val="00FE1C29"/>
    <w:rsid w:val="00FE25C6"/>
    <w:rsid w:val="00FE2E8D"/>
    <w:rsid w:val="00FE3526"/>
    <w:rsid w:val="00FE3B31"/>
    <w:rsid w:val="00FE429B"/>
    <w:rsid w:val="00FE42F7"/>
    <w:rsid w:val="00FE4896"/>
    <w:rsid w:val="00FE4907"/>
    <w:rsid w:val="00FE493D"/>
    <w:rsid w:val="00FE5183"/>
    <w:rsid w:val="00FE5644"/>
    <w:rsid w:val="00FE56E3"/>
    <w:rsid w:val="00FE5F29"/>
    <w:rsid w:val="00FE632D"/>
    <w:rsid w:val="00FE7581"/>
    <w:rsid w:val="00FE76EC"/>
    <w:rsid w:val="00FE77A8"/>
    <w:rsid w:val="00FF0DA6"/>
    <w:rsid w:val="00FF11FA"/>
    <w:rsid w:val="00FF1882"/>
    <w:rsid w:val="00FF1B80"/>
    <w:rsid w:val="00FF21D8"/>
    <w:rsid w:val="00FF2283"/>
    <w:rsid w:val="00FF243F"/>
    <w:rsid w:val="00FF2E46"/>
    <w:rsid w:val="00FF2EF0"/>
    <w:rsid w:val="00FF4074"/>
    <w:rsid w:val="00FF4261"/>
    <w:rsid w:val="00FF4747"/>
    <w:rsid w:val="00FF5250"/>
    <w:rsid w:val="00FF5D82"/>
    <w:rsid w:val="00FF6794"/>
    <w:rsid w:val="00FF75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1DC743"/>
  <w15:docId w15:val="{39CA1440-9F43-42E9-A10C-35DD98E41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it-IT" w:eastAsia="it-IT" w:bidi="ar-SA"/>
      </w:rPr>
    </w:rPrDefault>
    <w:pPrDefault>
      <w:pPr>
        <w:spacing w:after="200" w:line="288"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6FBE"/>
  </w:style>
  <w:style w:type="paragraph" w:styleId="Titolo1">
    <w:name w:val="heading 1"/>
    <w:basedOn w:val="Normale"/>
    <w:next w:val="Normale"/>
    <w:link w:val="Titolo1Carattere"/>
    <w:uiPriority w:val="9"/>
    <w:qFormat/>
    <w:rsid w:val="00FA6FBE"/>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itolo2">
    <w:name w:val="heading 2"/>
    <w:basedOn w:val="Normale"/>
    <w:next w:val="Normale"/>
    <w:link w:val="Titolo2Carattere"/>
    <w:uiPriority w:val="9"/>
    <w:unhideWhenUsed/>
    <w:qFormat/>
    <w:rsid w:val="00FA6FBE"/>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itolo3">
    <w:name w:val="heading 3"/>
    <w:basedOn w:val="Normale"/>
    <w:next w:val="Normale"/>
    <w:link w:val="Titolo3Carattere"/>
    <w:uiPriority w:val="9"/>
    <w:unhideWhenUsed/>
    <w:qFormat/>
    <w:rsid w:val="00FA6FBE"/>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itolo4">
    <w:name w:val="heading 4"/>
    <w:basedOn w:val="Normale"/>
    <w:next w:val="Normale"/>
    <w:link w:val="Titolo4Carattere"/>
    <w:uiPriority w:val="9"/>
    <w:unhideWhenUsed/>
    <w:qFormat/>
    <w:rsid w:val="00FA6FBE"/>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itolo5">
    <w:name w:val="heading 5"/>
    <w:basedOn w:val="Normale"/>
    <w:next w:val="Normale"/>
    <w:link w:val="Titolo5Carattere"/>
    <w:uiPriority w:val="9"/>
    <w:unhideWhenUsed/>
    <w:qFormat/>
    <w:rsid w:val="00FA6FBE"/>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itolo6">
    <w:name w:val="heading 6"/>
    <w:basedOn w:val="Normale"/>
    <w:next w:val="Normale"/>
    <w:link w:val="Titolo6Carattere"/>
    <w:uiPriority w:val="9"/>
    <w:unhideWhenUsed/>
    <w:qFormat/>
    <w:rsid w:val="00FA6FBE"/>
    <w:pPr>
      <w:keepNext/>
      <w:keepLines/>
      <w:spacing w:before="40" w:after="0"/>
      <w:outlineLvl w:val="5"/>
    </w:pPr>
    <w:rPr>
      <w:rFonts w:asciiTheme="majorHAnsi" w:eastAsiaTheme="majorEastAsia" w:hAnsiTheme="majorHAnsi" w:cstheme="majorBidi"/>
      <w:color w:val="F79646" w:themeColor="accent6"/>
    </w:rPr>
  </w:style>
  <w:style w:type="paragraph" w:styleId="Titolo7">
    <w:name w:val="heading 7"/>
    <w:basedOn w:val="Normale"/>
    <w:next w:val="Normale"/>
    <w:link w:val="Titolo7Carattere"/>
    <w:uiPriority w:val="9"/>
    <w:semiHidden/>
    <w:unhideWhenUsed/>
    <w:qFormat/>
    <w:rsid w:val="00FA6FBE"/>
    <w:pPr>
      <w:keepNext/>
      <w:keepLines/>
      <w:spacing w:before="40" w:after="0"/>
      <w:outlineLvl w:val="6"/>
    </w:pPr>
    <w:rPr>
      <w:rFonts w:asciiTheme="majorHAnsi" w:eastAsiaTheme="majorEastAsia" w:hAnsiTheme="majorHAnsi" w:cstheme="majorBidi"/>
      <w:b/>
      <w:bCs/>
      <w:color w:val="F79646" w:themeColor="accent6"/>
    </w:rPr>
  </w:style>
  <w:style w:type="paragraph" w:styleId="Titolo8">
    <w:name w:val="heading 8"/>
    <w:basedOn w:val="Normale"/>
    <w:next w:val="Normale"/>
    <w:link w:val="Titolo8Carattere"/>
    <w:uiPriority w:val="9"/>
    <w:semiHidden/>
    <w:unhideWhenUsed/>
    <w:qFormat/>
    <w:rsid w:val="00FA6FBE"/>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itolo9">
    <w:name w:val="heading 9"/>
    <w:basedOn w:val="Normale"/>
    <w:next w:val="Normale"/>
    <w:link w:val="Titolo9Carattere"/>
    <w:uiPriority w:val="9"/>
    <w:semiHidden/>
    <w:unhideWhenUsed/>
    <w:qFormat/>
    <w:rsid w:val="00FA6FBE"/>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rsid w:val="00FB34FF"/>
    <w:pPr>
      <w:spacing w:before="100" w:beforeAutospacing="1" w:after="100" w:afterAutospacing="1"/>
    </w:pPr>
  </w:style>
  <w:style w:type="paragraph" w:styleId="Intestazione">
    <w:name w:val="header"/>
    <w:basedOn w:val="Normale"/>
    <w:link w:val="IntestazioneCarattere"/>
    <w:uiPriority w:val="99"/>
    <w:rsid w:val="00FB34FF"/>
    <w:pPr>
      <w:tabs>
        <w:tab w:val="center" w:pos="4819"/>
        <w:tab w:val="right" w:pos="9638"/>
      </w:tabs>
      <w:jc w:val="both"/>
    </w:pPr>
    <w:rPr>
      <w:rFonts w:ascii="Garamond" w:hAnsi="Garamond"/>
      <w:sz w:val="28"/>
    </w:rPr>
  </w:style>
  <w:style w:type="paragraph" w:styleId="Pidipagina">
    <w:name w:val="footer"/>
    <w:basedOn w:val="Normale"/>
    <w:link w:val="PidipaginaCarattere"/>
    <w:uiPriority w:val="99"/>
    <w:rsid w:val="00FB34FF"/>
    <w:pPr>
      <w:tabs>
        <w:tab w:val="center" w:pos="4819"/>
        <w:tab w:val="right" w:pos="9638"/>
      </w:tabs>
      <w:jc w:val="both"/>
    </w:pPr>
    <w:rPr>
      <w:rFonts w:ascii="Garamond" w:hAnsi="Garamond"/>
      <w:sz w:val="28"/>
    </w:rPr>
  </w:style>
  <w:style w:type="character" w:styleId="Numeropagina">
    <w:name w:val="page number"/>
    <w:basedOn w:val="Carpredefinitoparagrafo"/>
    <w:uiPriority w:val="99"/>
    <w:rsid w:val="00FB34FF"/>
  </w:style>
  <w:style w:type="paragraph" w:styleId="Testonotaapidipagina">
    <w:name w:val="footnote text"/>
    <w:aliases w:val="A Footnote"/>
    <w:basedOn w:val="Normale"/>
    <w:link w:val="TestonotaapidipaginaCarattere"/>
    <w:rsid w:val="00FB34FF"/>
    <w:rPr>
      <w:sz w:val="20"/>
      <w:szCs w:val="20"/>
    </w:rPr>
  </w:style>
  <w:style w:type="character" w:styleId="Rimandonotaapidipagina">
    <w:name w:val="footnote reference"/>
    <w:uiPriority w:val="99"/>
    <w:qFormat/>
    <w:rsid w:val="00FB34FF"/>
    <w:rPr>
      <w:vertAlign w:val="superscript"/>
    </w:rPr>
  </w:style>
  <w:style w:type="paragraph" w:customStyle="1" w:styleId="vedianche">
    <w:name w:val="vedianche"/>
    <w:basedOn w:val="Normale"/>
    <w:rsid w:val="00FB34FF"/>
    <w:pPr>
      <w:spacing w:before="100" w:beforeAutospacing="1" w:after="100" w:afterAutospacing="1"/>
    </w:pPr>
  </w:style>
  <w:style w:type="character" w:styleId="Collegamentoipertestuale">
    <w:name w:val="Hyperlink"/>
    <w:uiPriority w:val="99"/>
    <w:rsid w:val="00FB34FF"/>
    <w:rPr>
      <w:color w:val="0000FF"/>
      <w:u w:val="single"/>
    </w:rPr>
  </w:style>
  <w:style w:type="paragraph" w:styleId="Rientrocorpodeltesto">
    <w:name w:val="Body Text Indent"/>
    <w:basedOn w:val="Normale"/>
    <w:link w:val="RientrocorpodeltestoCarattere"/>
    <w:uiPriority w:val="99"/>
    <w:rsid w:val="00FB34FF"/>
    <w:pPr>
      <w:spacing w:after="120"/>
      <w:ind w:left="283"/>
      <w:jc w:val="both"/>
    </w:pPr>
    <w:rPr>
      <w:rFonts w:ascii="Verdana" w:hAnsi="Verdana"/>
      <w:sz w:val="22"/>
    </w:rPr>
  </w:style>
  <w:style w:type="paragraph" w:styleId="Corpotesto">
    <w:name w:val="Body Text"/>
    <w:basedOn w:val="Normale"/>
    <w:link w:val="CorpotestoCarattere"/>
    <w:uiPriority w:val="99"/>
    <w:rsid w:val="00FB34FF"/>
    <w:pPr>
      <w:spacing w:line="360" w:lineRule="auto"/>
    </w:pPr>
    <w:rPr>
      <w:rFonts w:ascii="Arial" w:hAnsi="Arial" w:cs="Arial"/>
      <w:b/>
      <w:bCs/>
      <w:szCs w:val="23"/>
    </w:rPr>
  </w:style>
  <w:style w:type="character" w:customStyle="1" w:styleId="apple-style-span">
    <w:name w:val="apple-style-span"/>
    <w:basedOn w:val="Carpredefinitoparagrafo"/>
    <w:rsid w:val="00FB34FF"/>
  </w:style>
  <w:style w:type="paragraph" w:styleId="Corpodeltesto2">
    <w:name w:val="Body Text 2"/>
    <w:basedOn w:val="Normale"/>
    <w:rsid w:val="00FB34FF"/>
    <w:pPr>
      <w:spacing w:after="80" w:line="360" w:lineRule="auto"/>
      <w:jc w:val="both"/>
    </w:pPr>
    <w:rPr>
      <w:rFonts w:ascii="Arial" w:hAnsi="Arial" w:cs="Arial"/>
      <w:sz w:val="23"/>
      <w:szCs w:val="23"/>
    </w:rPr>
  </w:style>
  <w:style w:type="character" w:customStyle="1" w:styleId="apple-converted-space">
    <w:name w:val="apple-converted-space"/>
    <w:basedOn w:val="Carpredefinitoparagrafo"/>
    <w:rsid w:val="00FB34FF"/>
  </w:style>
  <w:style w:type="paragraph" w:styleId="Rientrocorpodeltesto2">
    <w:name w:val="Body Text Indent 2"/>
    <w:basedOn w:val="Normale"/>
    <w:rsid w:val="00FB34FF"/>
    <w:pPr>
      <w:spacing w:after="120"/>
      <w:ind w:left="360"/>
      <w:jc w:val="both"/>
    </w:pPr>
    <w:rPr>
      <w:rFonts w:ascii="Arial" w:hAnsi="Arial" w:cs="Arial"/>
      <w:sz w:val="23"/>
      <w:szCs w:val="23"/>
    </w:rPr>
  </w:style>
  <w:style w:type="paragraph" w:styleId="Rientrocorpodeltesto3">
    <w:name w:val="Body Text Indent 3"/>
    <w:basedOn w:val="Normale"/>
    <w:rsid w:val="00FB34FF"/>
    <w:pPr>
      <w:spacing w:after="120"/>
      <w:ind w:left="540"/>
      <w:jc w:val="both"/>
    </w:pPr>
    <w:rPr>
      <w:rFonts w:ascii="Arial" w:hAnsi="Arial" w:cs="Arial"/>
      <w:sz w:val="23"/>
      <w:szCs w:val="23"/>
    </w:rPr>
  </w:style>
  <w:style w:type="character" w:styleId="Enfasigrassetto">
    <w:name w:val="Strong"/>
    <w:basedOn w:val="Carpredefinitoparagrafo"/>
    <w:uiPriority w:val="22"/>
    <w:qFormat/>
    <w:rsid w:val="00FA6FBE"/>
    <w:rPr>
      <w:b/>
      <w:bCs/>
    </w:rPr>
  </w:style>
  <w:style w:type="character" w:styleId="Enfasicorsivo">
    <w:name w:val="Emphasis"/>
    <w:basedOn w:val="Carpredefinitoparagrafo"/>
    <w:uiPriority w:val="20"/>
    <w:qFormat/>
    <w:rsid w:val="00FA6FBE"/>
    <w:rPr>
      <w:i/>
      <w:iCs/>
      <w:color w:val="F79646" w:themeColor="accent6"/>
    </w:rPr>
  </w:style>
  <w:style w:type="paragraph" w:styleId="Testonormale">
    <w:name w:val="Plain Text"/>
    <w:basedOn w:val="Normale"/>
    <w:link w:val="TestonormaleCarattere"/>
    <w:uiPriority w:val="99"/>
    <w:rsid w:val="00FB34FF"/>
    <w:rPr>
      <w:rFonts w:ascii="Courier New" w:hAnsi="Courier New" w:cs="Courier New"/>
      <w:sz w:val="20"/>
      <w:szCs w:val="20"/>
    </w:rPr>
  </w:style>
  <w:style w:type="paragraph" w:styleId="Corpodeltesto3">
    <w:name w:val="Body Text 3"/>
    <w:basedOn w:val="Normale"/>
    <w:link w:val="Corpodeltesto3Carattere"/>
    <w:uiPriority w:val="99"/>
    <w:rsid w:val="00FB34FF"/>
    <w:pPr>
      <w:spacing w:after="120"/>
    </w:pPr>
    <w:rPr>
      <w:sz w:val="16"/>
      <w:szCs w:val="16"/>
    </w:rPr>
  </w:style>
  <w:style w:type="paragraph" w:customStyle="1" w:styleId="TAVOLARapann">
    <w:name w:val="TAVOLA Rapann"/>
    <w:next w:val="Normale"/>
    <w:link w:val="TAVOLARapannCarattere"/>
    <w:rsid w:val="00FB34FF"/>
    <w:pPr>
      <w:tabs>
        <w:tab w:val="left" w:pos="1276"/>
      </w:tabs>
      <w:spacing w:line="200" w:lineRule="exact"/>
      <w:ind w:left="1276" w:hanging="1276"/>
      <w:jc w:val="both"/>
    </w:pPr>
    <w:rPr>
      <w:rFonts w:ascii="Arial" w:hAnsi="Arial"/>
      <w:b/>
      <w:bCs/>
      <w:sz w:val="18"/>
    </w:rPr>
  </w:style>
  <w:style w:type="character" w:customStyle="1" w:styleId="TAVOLARapannCarattere">
    <w:name w:val="TAVOLA Rapann Carattere"/>
    <w:link w:val="TAVOLARapann"/>
    <w:rsid w:val="00FB34FF"/>
    <w:rPr>
      <w:rFonts w:ascii="Arial" w:hAnsi="Arial"/>
      <w:b/>
      <w:bCs/>
      <w:sz w:val="18"/>
      <w:lang w:val="it-IT" w:eastAsia="it-IT" w:bidi="ar-SA"/>
    </w:rPr>
  </w:style>
  <w:style w:type="paragraph" w:customStyle="1" w:styleId="tesina">
    <w:name w:val="tesina"/>
    <w:basedOn w:val="Normale"/>
    <w:rsid w:val="00FB34FF"/>
    <w:pPr>
      <w:widowControl w:val="0"/>
      <w:autoSpaceDE w:val="0"/>
      <w:autoSpaceDN w:val="0"/>
      <w:adjustRightInd w:val="0"/>
      <w:spacing w:line="285" w:lineRule="atLeast"/>
      <w:ind w:left="390" w:right="390"/>
      <w:jc w:val="both"/>
    </w:pPr>
  </w:style>
  <w:style w:type="paragraph" w:customStyle="1" w:styleId="desc">
    <w:name w:val="desc"/>
    <w:basedOn w:val="Normale"/>
    <w:rsid w:val="00FB34FF"/>
    <w:pPr>
      <w:spacing w:before="100" w:beforeAutospacing="1" w:after="100" w:afterAutospacing="1"/>
    </w:pPr>
  </w:style>
  <w:style w:type="character" w:customStyle="1" w:styleId="glossario">
    <w:name w:val="glossario"/>
    <w:basedOn w:val="Carpredefinitoparagrafo"/>
    <w:rsid w:val="00FB34FF"/>
  </w:style>
  <w:style w:type="paragraph" w:styleId="Testofumetto">
    <w:name w:val="Balloon Text"/>
    <w:basedOn w:val="Normale"/>
    <w:link w:val="TestofumettoCarattere"/>
    <w:uiPriority w:val="99"/>
    <w:rsid w:val="00B506F1"/>
    <w:rPr>
      <w:rFonts w:ascii="Tahoma" w:hAnsi="Tahoma"/>
      <w:sz w:val="16"/>
      <w:szCs w:val="16"/>
      <w:lang w:val="x-none" w:eastAsia="x-none"/>
    </w:rPr>
  </w:style>
  <w:style w:type="character" w:customStyle="1" w:styleId="TestofumettoCarattere">
    <w:name w:val="Testo fumetto Carattere"/>
    <w:link w:val="Testofumetto"/>
    <w:uiPriority w:val="99"/>
    <w:rsid w:val="00B506F1"/>
    <w:rPr>
      <w:rFonts w:ascii="Tahoma" w:hAnsi="Tahoma" w:cs="Tahoma"/>
      <w:sz w:val="16"/>
      <w:szCs w:val="16"/>
    </w:rPr>
  </w:style>
  <w:style w:type="character" w:styleId="Rimandocommento">
    <w:name w:val="annotation reference"/>
    <w:uiPriority w:val="99"/>
    <w:rsid w:val="002A2D78"/>
    <w:rPr>
      <w:sz w:val="16"/>
      <w:szCs w:val="16"/>
    </w:rPr>
  </w:style>
  <w:style w:type="paragraph" w:styleId="Testocommento">
    <w:name w:val="annotation text"/>
    <w:basedOn w:val="Normale"/>
    <w:link w:val="TestocommentoCarattere"/>
    <w:uiPriority w:val="99"/>
    <w:rsid w:val="002A2D78"/>
    <w:rPr>
      <w:sz w:val="20"/>
      <w:szCs w:val="20"/>
    </w:rPr>
  </w:style>
  <w:style w:type="character" w:customStyle="1" w:styleId="TestocommentoCarattere">
    <w:name w:val="Testo commento Carattere"/>
    <w:basedOn w:val="Carpredefinitoparagrafo"/>
    <w:link w:val="Testocommento"/>
    <w:uiPriority w:val="99"/>
    <w:rsid w:val="002A2D78"/>
  </w:style>
  <w:style w:type="paragraph" w:styleId="Soggettocommento">
    <w:name w:val="annotation subject"/>
    <w:basedOn w:val="Testocommento"/>
    <w:next w:val="Testocommento"/>
    <w:link w:val="SoggettocommentoCarattere"/>
    <w:uiPriority w:val="99"/>
    <w:rsid w:val="002A2D78"/>
    <w:rPr>
      <w:b/>
      <w:bCs/>
    </w:rPr>
  </w:style>
  <w:style w:type="character" w:customStyle="1" w:styleId="SoggettocommentoCarattere">
    <w:name w:val="Soggetto commento Carattere"/>
    <w:link w:val="Soggettocommento"/>
    <w:uiPriority w:val="99"/>
    <w:rsid w:val="002A2D78"/>
    <w:rPr>
      <w:b/>
      <w:bCs/>
    </w:rPr>
  </w:style>
  <w:style w:type="paragraph" w:styleId="Paragrafoelenco">
    <w:name w:val="List Paragraph"/>
    <w:basedOn w:val="Normale"/>
    <w:link w:val="ParagrafoelencoCarattere"/>
    <w:uiPriority w:val="34"/>
    <w:qFormat/>
    <w:rsid w:val="009C4DFF"/>
    <w:pPr>
      <w:ind w:left="720"/>
      <w:contextualSpacing/>
    </w:pPr>
  </w:style>
  <w:style w:type="character" w:customStyle="1" w:styleId="PidipaginaCarattere">
    <w:name w:val="Piè di pagina Carattere"/>
    <w:basedOn w:val="Carpredefinitoparagrafo"/>
    <w:link w:val="Pidipagina"/>
    <w:uiPriority w:val="99"/>
    <w:rsid w:val="00CC37A8"/>
    <w:rPr>
      <w:rFonts w:ascii="Garamond" w:hAnsi="Garamond"/>
      <w:sz w:val="28"/>
      <w:szCs w:val="24"/>
    </w:rPr>
  </w:style>
  <w:style w:type="character" w:customStyle="1" w:styleId="mw-headline">
    <w:name w:val="mw-headline"/>
    <w:basedOn w:val="Carpredefinitoparagrafo"/>
    <w:rsid w:val="00CF66EE"/>
  </w:style>
  <w:style w:type="table" w:styleId="Grigliatabella">
    <w:name w:val="Table Grid"/>
    <w:basedOn w:val="Tabellanormale"/>
    <w:uiPriority w:val="99"/>
    <w:rsid w:val="00614E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AB47ED"/>
    <w:rPr>
      <w:sz w:val="24"/>
      <w:szCs w:val="24"/>
    </w:rPr>
  </w:style>
  <w:style w:type="character" w:customStyle="1" w:styleId="IntestazioneCarattere">
    <w:name w:val="Intestazione Carattere"/>
    <w:basedOn w:val="Carpredefinitoparagrafo"/>
    <w:link w:val="Intestazione"/>
    <w:uiPriority w:val="99"/>
    <w:rsid w:val="00DF2FE2"/>
    <w:rPr>
      <w:rFonts w:ascii="Garamond" w:hAnsi="Garamond"/>
      <w:sz w:val="28"/>
      <w:szCs w:val="24"/>
    </w:rPr>
  </w:style>
  <w:style w:type="character" w:customStyle="1" w:styleId="TestonotaapidipaginaCarattere">
    <w:name w:val="Testo nota a piè di pagina Carattere"/>
    <w:aliases w:val="A Footnote Carattere"/>
    <w:basedOn w:val="Carpredefinitoparagrafo"/>
    <w:link w:val="Testonotaapidipagina"/>
    <w:rsid w:val="00DD1259"/>
  </w:style>
  <w:style w:type="paragraph" w:styleId="Testonotadichiusura">
    <w:name w:val="endnote text"/>
    <w:basedOn w:val="Normale"/>
    <w:link w:val="TestonotadichiusuraCarattere"/>
    <w:semiHidden/>
    <w:unhideWhenUsed/>
    <w:rsid w:val="00C91EBC"/>
    <w:rPr>
      <w:sz w:val="20"/>
      <w:szCs w:val="20"/>
    </w:rPr>
  </w:style>
  <w:style w:type="character" w:customStyle="1" w:styleId="TestonotadichiusuraCarattere">
    <w:name w:val="Testo nota di chiusura Carattere"/>
    <w:basedOn w:val="Carpredefinitoparagrafo"/>
    <w:link w:val="Testonotadichiusura"/>
    <w:semiHidden/>
    <w:rsid w:val="00C91EBC"/>
  </w:style>
  <w:style w:type="character" w:styleId="Rimandonotadichiusura">
    <w:name w:val="endnote reference"/>
    <w:basedOn w:val="Carpredefinitoparagrafo"/>
    <w:uiPriority w:val="99"/>
    <w:semiHidden/>
    <w:unhideWhenUsed/>
    <w:rsid w:val="00C91EBC"/>
    <w:rPr>
      <w:vertAlign w:val="superscript"/>
    </w:rPr>
  </w:style>
  <w:style w:type="paragraph" w:customStyle="1" w:styleId="Default">
    <w:name w:val="Default"/>
    <w:rsid w:val="00A2532B"/>
    <w:pPr>
      <w:autoSpaceDE w:val="0"/>
      <w:autoSpaceDN w:val="0"/>
      <w:adjustRightInd w:val="0"/>
    </w:pPr>
    <w:rPr>
      <w:color w:val="000000"/>
      <w:sz w:val="24"/>
      <w:szCs w:val="24"/>
    </w:rPr>
  </w:style>
  <w:style w:type="character" w:customStyle="1" w:styleId="Titolo5Carattere">
    <w:name w:val="Titolo 5 Carattere"/>
    <w:basedOn w:val="Carpredefinitoparagrafo"/>
    <w:link w:val="Titolo5"/>
    <w:uiPriority w:val="9"/>
    <w:rsid w:val="00FA6FBE"/>
    <w:rPr>
      <w:rFonts w:asciiTheme="majorHAnsi" w:eastAsiaTheme="majorEastAsia" w:hAnsiTheme="majorHAnsi" w:cstheme="majorBidi"/>
      <w:i/>
      <w:iCs/>
      <w:color w:val="F79646" w:themeColor="accent6"/>
      <w:sz w:val="22"/>
      <w:szCs w:val="22"/>
    </w:rPr>
  </w:style>
  <w:style w:type="character" w:customStyle="1" w:styleId="Titolo4Carattere">
    <w:name w:val="Titolo 4 Carattere"/>
    <w:basedOn w:val="Carpredefinitoparagrafo"/>
    <w:link w:val="Titolo4"/>
    <w:uiPriority w:val="9"/>
    <w:rsid w:val="00FA6FBE"/>
    <w:rPr>
      <w:rFonts w:asciiTheme="majorHAnsi" w:eastAsiaTheme="majorEastAsia" w:hAnsiTheme="majorHAnsi" w:cstheme="majorBidi"/>
      <w:color w:val="F79646" w:themeColor="accent6"/>
      <w:sz w:val="22"/>
      <w:szCs w:val="22"/>
    </w:rPr>
  </w:style>
  <w:style w:type="character" w:customStyle="1" w:styleId="Titolo1Carattere">
    <w:name w:val="Titolo 1 Carattere"/>
    <w:basedOn w:val="Carpredefinitoparagrafo"/>
    <w:link w:val="Titolo1"/>
    <w:uiPriority w:val="9"/>
    <w:locked/>
    <w:rsid w:val="00FA6FBE"/>
    <w:rPr>
      <w:rFonts w:asciiTheme="majorHAnsi" w:eastAsiaTheme="majorEastAsia" w:hAnsiTheme="majorHAnsi" w:cstheme="majorBidi"/>
      <w:color w:val="E36C0A" w:themeColor="accent6" w:themeShade="BF"/>
      <w:sz w:val="40"/>
      <w:szCs w:val="40"/>
    </w:rPr>
  </w:style>
  <w:style w:type="character" w:customStyle="1" w:styleId="Titolo2Carattere">
    <w:name w:val="Titolo 2 Carattere"/>
    <w:basedOn w:val="Carpredefinitoparagrafo"/>
    <w:link w:val="Titolo2"/>
    <w:uiPriority w:val="9"/>
    <w:locked/>
    <w:rsid w:val="00FA6FBE"/>
    <w:rPr>
      <w:rFonts w:asciiTheme="majorHAnsi" w:eastAsiaTheme="majorEastAsia" w:hAnsiTheme="majorHAnsi" w:cstheme="majorBidi"/>
      <w:color w:val="E36C0A" w:themeColor="accent6" w:themeShade="BF"/>
      <w:sz w:val="28"/>
      <w:szCs w:val="28"/>
    </w:rPr>
  </w:style>
  <w:style w:type="character" w:customStyle="1" w:styleId="Titolo3Carattere">
    <w:name w:val="Titolo 3 Carattere"/>
    <w:basedOn w:val="Carpredefinitoparagrafo"/>
    <w:link w:val="Titolo3"/>
    <w:uiPriority w:val="9"/>
    <w:locked/>
    <w:rsid w:val="00FA6FBE"/>
    <w:rPr>
      <w:rFonts w:asciiTheme="majorHAnsi" w:eastAsiaTheme="majorEastAsia" w:hAnsiTheme="majorHAnsi" w:cstheme="majorBidi"/>
      <w:color w:val="E36C0A" w:themeColor="accent6" w:themeShade="BF"/>
      <w:sz w:val="24"/>
      <w:szCs w:val="24"/>
    </w:rPr>
  </w:style>
  <w:style w:type="character" w:customStyle="1" w:styleId="Titolo6Carattere">
    <w:name w:val="Titolo 6 Carattere"/>
    <w:basedOn w:val="Carpredefinitoparagrafo"/>
    <w:link w:val="Titolo6"/>
    <w:uiPriority w:val="9"/>
    <w:locked/>
    <w:rsid w:val="00FA6FBE"/>
    <w:rPr>
      <w:rFonts w:asciiTheme="majorHAnsi" w:eastAsiaTheme="majorEastAsia" w:hAnsiTheme="majorHAnsi" w:cstheme="majorBidi"/>
      <w:color w:val="F79646" w:themeColor="accent6"/>
    </w:rPr>
  </w:style>
  <w:style w:type="character" w:customStyle="1" w:styleId="CorpotestoCarattere">
    <w:name w:val="Corpo testo Carattere"/>
    <w:basedOn w:val="Carpredefinitoparagrafo"/>
    <w:link w:val="Corpotesto"/>
    <w:uiPriority w:val="99"/>
    <w:locked/>
    <w:rsid w:val="0007346F"/>
    <w:rPr>
      <w:rFonts w:ascii="Arial" w:hAnsi="Arial" w:cs="Arial"/>
      <w:b/>
      <w:bCs/>
      <w:sz w:val="24"/>
      <w:szCs w:val="23"/>
    </w:rPr>
  </w:style>
  <w:style w:type="character" w:customStyle="1" w:styleId="Corpodeltesto3Carattere">
    <w:name w:val="Corpo del testo 3 Carattere"/>
    <w:basedOn w:val="Carpredefinitoparagrafo"/>
    <w:link w:val="Corpodeltesto3"/>
    <w:uiPriority w:val="99"/>
    <w:locked/>
    <w:rsid w:val="0007346F"/>
    <w:rPr>
      <w:sz w:val="16"/>
      <w:szCs w:val="16"/>
    </w:rPr>
  </w:style>
  <w:style w:type="paragraph" w:styleId="Mappadocumento">
    <w:name w:val="Document Map"/>
    <w:basedOn w:val="Normale"/>
    <w:link w:val="MappadocumentoCarattere"/>
    <w:uiPriority w:val="99"/>
    <w:semiHidden/>
    <w:rsid w:val="0007346F"/>
    <w:pPr>
      <w:shd w:val="clear" w:color="auto" w:fill="000080"/>
    </w:pPr>
    <w:rPr>
      <w:sz w:val="2"/>
      <w:szCs w:val="2"/>
    </w:rPr>
  </w:style>
  <w:style w:type="character" w:customStyle="1" w:styleId="MappadocumentoCarattere">
    <w:name w:val="Mappa documento Carattere"/>
    <w:basedOn w:val="Carpredefinitoparagrafo"/>
    <w:link w:val="Mappadocumento"/>
    <w:uiPriority w:val="99"/>
    <w:semiHidden/>
    <w:rsid w:val="0007346F"/>
    <w:rPr>
      <w:sz w:val="2"/>
      <w:szCs w:val="2"/>
      <w:shd w:val="clear" w:color="auto" w:fill="000080"/>
    </w:rPr>
  </w:style>
  <w:style w:type="character" w:customStyle="1" w:styleId="RientrocorpodeltestoCarattere">
    <w:name w:val="Rientro corpo del testo Carattere"/>
    <w:basedOn w:val="Carpredefinitoparagrafo"/>
    <w:link w:val="Rientrocorpodeltesto"/>
    <w:uiPriority w:val="99"/>
    <w:locked/>
    <w:rsid w:val="0007346F"/>
    <w:rPr>
      <w:rFonts w:ascii="Verdana" w:hAnsi="Verdana"/>
      <w:sz w:val="22"/>
      <w:szCs w:val="24"/>
    </w:rPr>
  </w:style>
  <w:style w:type="paragraph" w:customStyle="1" w:styleId="Comunicato">
    <w:name w:val="Comunicato"/>
    <w:basedOn w:val="Normale"/>
    <w:link w:val="ComunicatoCarattere"/>
    <w:uiPriority w:val="99"/>
    <w:rsid w:val="0007346F"/>
    <w:pPr>
      <w:jc w:val="both"/>
    </w:pPr>
    <w:rPr>
      <w:sz w:val="23"/>
      <w:szCs w:val="20"/>
    </w:rPr>
  </w:style>
  <w:style w:type="character" w:customStyle="1" w:styleId="ComunicatoCarattere">
    <w:name w:val="Comunicato Carattere"/>
    <w:link w:val="Comunicato"/>
    <w:uiPriority w:val="99"/>
    <w:locked/>
    <w:rsid w:val="0007346F"/>
    <w:rPr>
      <w:sz w:val="23"/>
    </w:rPr>
  </w:style>
  <w:style w:type="paragraph" w:styleId="Sommario1">
    <w:name w:val="toc 1"/>
    <w:basedOn w:val="Normale"/>
    <w:next w:val="Normale"/>
    <w:autoRedefine/>
    <w:uiPriority w:val="99"/>
    <w:semiHidden/>
    <w:rsid w:val="0007346F"/>
    <w:pPr>
      <w:tabs>
        <w:tab w:val="right" w:leader="dot" w:pos="9060"/>
      </w:tabs>
      <w:spacing w:before="40" w:after="80"/>
    </w:pPr>
    <w:rPr>
      <w:rFonts w:ascii="Verdana" w:hAnsi="Verdana" w:cs="Verdana"/>
      <w:i/>
      <w:iCs/>
      <w:noProof/>
      <w:color w:val="800000"/>
      <w:sz w:val="18"/>
      <w:szCs w:val="18"/>
    </w:rPr>
  </w:style>
  <w:style w:type="character" w:customStyle="1" w:styleId="TestonormaleCarattere">
    <w:name w:val="Testo normale Carattere"/>
    <w:basedOn w:val="Carpredefinitoparagrafo"/>
    <w:link w:val="Testonormale"/>
    <w:uiPriority w:val="99"/>
    <w:locked/>
    <w:rsid w:val="0007346F"/>
    <w:rPr>
      <w:rFonts w:ascii="Courier New" w:hAnsi="Courier New" w:cs="Courier New"/>
    </w:rPr>
  </w:style>
  <w:style w:type="character" w:customStyle="1" w:styleId="CarattereCarattere9">
    <w:name w:val="Carattere Carattere9"/>
    <w:uiPriority w:val="99"/>
    <w:semiHidden/>
    <w:locked/>
    <w:rsid w:val="0007346F"/>
    <w:rPr>
      <w:sz w:val="20"/>
    </w:rPr>
  </w:style>
  <w:style w:type="character" w:styleId="Collegamentovisitato">
    <w:name w:val="FollowedHyperlink"/>
    <w:basedOn w:val="Carpredefinitoparagrafo"/>
    <w:uiPriority w:val="99"/>
    <w:semiHidden/>
    <w:unhideWhenUsed/>
    <w:rsid w:val="0007346F"/>
    <w:rPr>
      <w:color w:val="800080" w:themeColor="followedHyperlink"/>
      <w:u w:val="single"/>
    </w:rPr>
  </w:style>
  <w:style w:type="paragraph" w:customStyle="1" w:styleId="ATitoloTavolaFigura">
    <w:name w:val="A.Titolo Tavola/Figura"/>
    <w:link w:val="ATitoloTavolaFiguraCarattere"/>
    <w:rsid w:val="006A78F6"/>
    <w:pPr>
      <w:spacing w:before="440" w:after="180"/>
      <w:ind w:left="1202" w:hanging="1202"/>
      <w:jc w:val="both"/>
      <w:outlineLvl w:val="0"/>
    </w:pPr>
    <w:rPr>
      <w:rFonts w:cs="Arial"/>
      <w:b/>
      <w:szCs w:val="18"/>
    </w:rPr>
  </w:style>
  <w:style w:type="character" w:customStyle="1" w:styleId="ATitoloTavolaFiguraCarattere">
    <w:name w:val="A.Titolo Tavola/Figura Carattere"/>
    <w:link w:val="ATitoloTavolaFigura"/>
    <w:rsid w:val="006A78F6"/>
    <w:rPr>
      <w:rFonts w:cs="Arial"/>
      <w:b/>
      <w:szCs w:val="18"/>
    </w:rPr>
  </w:style>
  <w:style w:type="paragraph" w:customStyle="1" w:styleId="ANotapipagina">
    <w:name w:val="A.Nota piè pagina"/>
    <w:basedOn w:val="Normale"/>
    <w:link w:val="ANotapipaginaCarattere"/>
    <w:rsid w:val="00123063"/>
    <w:pPr>
      <w:tabs>
        <w:tab w:val="right" w:pos="170"/>
        <w:tab w:val="right" w:pos="284"/>
        <w:tab w:val="right" w:pos="454"/>
        <w:tab w:val="right" w:leader="dot" w:pos="7371"/>
      </w:tabs>
      <w:spacing w:after="20"/>
      <w:ind w:left="113" w:hanging="113"/>
      <w:jc w:val="both"/>
    </w:pPr>
    <w:rPr>
      <w:sz w:val="16"/>
      <w:szCs w:val="16"/>
    </w:rPr>
  </w:style>
  <w:style w:type="character" w:customStyle="1" w:styleId="ANotapipaginaCarattere">
    <w:name w:val="A.Nota piè pagina Carattere"/>
    <w:link w:val="ANotapipagina"/>
    <w:rsid w:val="00123063"/>
    <w:rPr>
      <w:sz w:val="16"/>
      <w:szCs w:val="16"/>
    </w:rPr>
  </w:style>
  <w:style w:type="character" w:customStyle="1" w:styleId="ParagrafoelencoCarattere">
    <w:name w:val="Paragrafo elenco Carattere"/>
    <w:basedOn w:val="Carpredefinitoparagrafo"/>
    <w:link w:val="Paragrafoelenco"/>
    <w:uiPriority w:val="34"/>
    <w:rsid w:val="002230CA"/>
  </w:style>
  <w:style w:type="paragraph" w:customStyle="1" w:styleId="Corpodeltesto">
    <w:name w:val="Corpo del testo"/>
    <w:basedOn w:val="Normale"/>
    <w:uiPriority w:val="1"/>
    <w:rsid w:val="00D92101"/>
    <w:pPr>
      <w:spacing w:before="7"/>
    </w:pPr>
    <w:rPr>
      <w:sz w:val="22"/>
      <w:szCs w:val="22"/>
    </w:rPr>
  </w:style>
  <w:style w:type="character" w:customStyle="1" w:styleId="Richiamoallanotaapidipagina">
    <w:name w:val="Richiamo alla nota a piè di pagina"/>
    <w:rsid w:val="00D92101"/>
    <w:rPr>
      <w:vertAlign w:val="superscript"/>
    </w:rPr>
  </w:style>
  <w:style w:type="character" w:customStyle="1" w:styleId="object">
    <w:name w:val="object"/>
    <w:basedOn w:val="Carpredefinitoparagrafo"/>
    <w:rsid w:val="001A10B4"/>
  </w:style>
  <w:style w:type="paragraph" w:customStyle="1" w:styleId="ATesto">
    <w:name w:val="A.Testo"/>
    <w:basedOn w:val="Titolo1"/>
    <w:link w:val="ATestoCarattere"/>
    <w:rsid w:val="00FD5F1E"/>
    <w:pPr>
      <w:keepNext w:val="0"/>
      <w:tabs>
        <w:tab w:val="right" w:leader="dot" w:pos="7371"/>
      </w:tabs>
      <w:spacing w:after="0"/>
      <w:ind w:firstLine="397"/>
    </w:pPr>
    <w:rPr>
      <w:rFonts w:ascii="Times New Roman" w:hAnsi="Times New Roman"/>
      <w:b/>
      <w:kern w:val="28"/>
      <w:szCs w:val="22"/>
    </w:rPr>
  </w:style>
  <w:style w:type="character" w:customStyle="1" w:styleId="ATestoCarattere">
    <w:name w:val="A.Testo Carattere"/>
    <w:link w:val="ATesto"/>
    <w:rsid w:val="00FD5F1E"/>
    <w:rPr>
      <w:bCs/>
      <w:kern w:val="28"/>
      <w:sz w:val="22"/>
      <w:szCs w:val="22"/>
    </w:rPr>
  </w:style>
  <w:style w:type="character" w:customStyle="1" w:styleId="Titolo7Carattere">
    <w:name w:val="Titolo 7 Carattere"/>
    <w:basedOn w:val="Carpredefinitoparagrafo"/>
    <w:link w:val="Titolo7"/>
    <w:uiPriority w:val="9"/>
    <w:semiHidden/>
    <w:rsid w:val="00FA6FBE"/>
    <w:rPr>
      <w:rFonts w:asciiTheme="majorHAnsi" w:eastAsiaTheme="majorEastAsia" w:hAnsiTheme="majorHAnsi" w:cstheme="majorBidi"/>
      <w:b/>
      <w:bCs/>
      <w:color w:val="F79646" w:themeColor="accent6"/>
    </w:rPr>
  </w:style>
  <w:style w:type="character" w:customStyle="1" w:styleId="Titolo8Carattere">
    <w:name w:val="Titolo 8 Carattere"/>
    <w:basedOn w:val="Carpredefinitoparagrafo"/>
    <w:link w:val="Titolo8"/>
    <w:uiPriority w:val="9"/>
    <w:semiHidden/>
    <w:rsid w:val="00FA6FBE"/>
    <w:rPr>
      <w:rFonts w:asciiTheme="majorHAnsi" w:eastAsiaTheme="majorEastAsia" w:hAnsiTheme="majorHAnsi" w:cstheme="majorBidi"/>
      <w:b/>
      <w:bCs/>
      <w:i/>
      <w:iCs/>
      <w:color w:val="F79646" w:themeColor="accent6"/>
      <w:sz w:val="20"/>
      <w:szCs w:val="20"/>
    </w:rPr>
  </w:style>
  <w:style w:type="character" w:customStyle="1" w:styleId="Titolo9Carattere">
    <w:name w:val="Titolo 9 Carattere"/>
    <w:basedOn w:val="Carpredefinitoparagrafo"/>
    <w:link w:val="Titolo9"/>
    <w:uiPriority w:val="9"/>
    <w:semiHidden/>
    <w:rsid w:val="00FA6FBE"/>
    <w:rPr>
      <w:rFonts w:asciiTheme="majorHAnsi" w:eastAsiaTheme="majorEastAsia" w:hAnsiTheme="majorHAnsi" w:cstheme="majorBidi"/>
      <w:i/>
      <w:iCs/>
      <w:color w:val="F79646" w:themeColor="accent6"/>
      <w:sz w:val="20"/>
      <w:szCs w:val="20"/>
    </w:rPr>
  </w:style>
  <w:style w:type="paragraph" w:styleId="Didascalia">
    <w:name w:val="caption"/>
    <w:basedOn w:val="Normale"/>
    <w:next w:val="Normale"/>
    <w:uiPriority w:val="35"/>
    <w:semiHidden/>
    <w:unhideWhenUsed/>
    <w:qFormat/>
    <w:rsid w:val="00FA6FBE"/>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FA6FBE"/>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uiPriority w:val="10"/>
    <w:rsid w:val="00FA6FBE"/>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FA6FBE"/>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FA6FBE"/>
    <w:rPr>
      <w:rFonts w:asciiTheme="majorHAnsi" w:eastAsiaTheme="majorEastAsia" w:hAnsiTheme="majorHAnsi" w:cstheme="majorBidi"/>
      <w:sz w:val="30"/>
      <w:szCs w:val="30"/>
    </w:rPr>
  </w:style>
  <w:style w:type="paragraph" w:styleId="Nessunaspaziatura">
    <w:name w:val="No Spacing"/>
    <w:uiPriority w:val="1"/>
    <w:qFormat/>
    <w:rsid w:val="00FA6FBE"/>
    <w:pPr>
      <w:spacing w:after="0" w:line="240" w:lineRule="auto"/>
    </w:pPr>
  </w:style>
  <w:style w:type="paragraph" w:styleId="Citazione">
    <w:name w:val="Quote"/>
    <w:basedOn w:val="Normale"/>
    <w:next w:val="Normale"/>
    <w:link w:val="CitazioneCarattere"/>
    <w:uiPriority w:val="29"/>
    <w:qFormat/>
    <w:rsid w:val="00FA6FBE"/>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FA6FBE"/>
    <w:rPr>
      <w:i/>
      <w:iCs/>
      <w:color w:val="262626" w:themeColor="text1" w:themeTint="D9"/>
    </w:rPr>
  </w:style>
  <w:style w:type="paragraph" w:styleId="Citazioneintensa">
    <w:name w:val="Intense Quote"/>
    <w:basedOn w:val="Normale"/>
    <w:next w:val="Normale"/>
    <w:link w:val="CitazioneintensaCarattere"/>
    <w:uiPriority w:val="30"/>
    <w:qFormat/>
    <w:rsid w:val="00FA6FBE"/>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zioneintensaCarattere">
    <w:name w:val="Citazione intensa Carattere"/>
    <w:basedOn w:val="Carpredefinitoparagrafo"/>
    <w:link w:val="Citazioneintensa"/>
    <w:uiPriority w:val="30"/>
    <w:rsid w:val="00FA6FBE"/>
    <w:rPr>
      <w:rFonts w:asciiTheme="majorHAnsi" w:eastAsiaTheme="majorEastAsia" w:hAnsiTheme="majorHAnsi" w:cstheme="majorBidi"/>
      <w:i/>
      <w:iCs/>
      <w:color w:val="F79646" w:themeColor="accent6"/>
      <w:sz w:val="32"/>
      <w:szCs w:val="32"/>
    </w:rPr>
  </w:style>
  <w:style w:type="character" w:styleId="Enfasidelicata">
    <w:name w:val="Subtle Emphasis"/>
    <w:basedOn w:val="Carpredefinitoparagrafo"/>
    <w:uiPriority w:val="19"/>
    <w:qFormat/>
    <w:rsid w:val="00FA6FBE"/>
    <w:rPr>
      <w:i/>
      <w:iCs/>
    </w:rPr>
  </w:style>
  <w:style w:type="character" w:styleId="Enfasiintensa">
    <w:name w:val="Intense Emphasis"/>
    <w:basedOn w:val="Carpredefinitoparagrafo"/>
    <w:uiPriority w:val="21"/>
    <w:qFormat/>
    <w:rsid w:val="00FA6FBE"/>
    <w:rPr>
      <w:b/>
      <w:bCs/>
      <w:i/>
      <w:iCs/>
    </w:rPr>
  </w:style>
  <w:style w:type="character" w:styleId="Riferimentodelicato">
    <w:name w:val="Subtle Reference"/>
    <w:basedOn w:val="Carpredefinitoparagrafo"/>
    <w:uiPriority w:val="31"/>
    <w:qFormat/>
    <w:rsid w:val="00FA6FBE"/>
    <w:rPr>
      <w:smallCaps/>
      <w:color w:val="595959" w:themeColor="text1" w:themeTint="A6"/>
    </w:rPr>
  </w:style>
  <w:style w:type="character" w:styleId="Riferimentointenso">
    <w:name w:val="Intense Reference"/>
    <w:basedOn w:val="Carpredefinitoparagrafo"/>
    <w:uiPriority w:val="32"/>
    <w:qFormat/>
    <w:rsid w:val="00FA6FBE"/>
    <w:rPr>
      <w:b/>
      <w:bCs/>
      <w:smallCaps/>
      <w:color w:val="F79646" w:themeColor="accent6"/>
    </w:rPr>
  </w:style>
  <w:style w:type="character" w:styleId="Titolodellibro">
    <w:name w:val="Book Title"/>
    <w:basedOn w:val="Carpredefinitoparagrafo"/>
    <w:uiPriority w:val="33"/>
    <w:qFormat/>
    <w:rsid w:val="00FA6FBE"/>
    <w:rPr>
      <w:b/>
      <w:bCs/>
      <w:caps w:val="0"/>
      <w:smallCaps/>
      <w:spacing w:val="7"/>
      <w:sz w:val="21"/>
      <w:szCs w:val="21"/>
    </w:rPr>
  </w:style>
  <w:style w:type="paragraph" w:styleId="Titolosommario">
    <w:name w:val="TOC Heading"/>
    <w:basedOn w:val="Titolo1"/>
    <w:next w:val="Normale"/>
    <w:uiPriority w:val="39"/>
    <w:semiHidden/>
    <w:unhideWhenUsed/>
    <w:qFormat/>
    <w:rsid w:val="00FA6FBE"/>
    <w:pPr>
      <w:outlineLvl w:val="9"/>
    </w:pPr>
  </w:style>
  <w:style w:type="character" w:customStyle="1" w:styleId="Menzionenonrisolta1">
    <w:name w:val="Menzione non risolta1"/>
    <w:basedOn w:val="Carpredefinitoparagrafo"/>
    <w:uiPriority w:val="99"/>
    <w:semiHidden/>
    <w:unhideWhenUsed/>
    <w:rsid w:val="00CE18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376">
      <w:bodyDiv w:val="1"/>
      <w:marLeft w:val="0"/>
      <w:marRight w:val="0"/>
      <w:marTop w:val="0"/>
      <w:marBottom w:val="0"/>
      <w:divBdr>
        <w:top w:val="none" w:sz="0" w:space="0" w:color="auto"/>
        <w:left w:val="none" w:sz="0" w:space="0" w:color="auto"/>
        <w:bottom w:val="none" w:sz="0" w:space="0" w:color="auto"/>
        <w:right w:val="none" w:sz="0" w:space="0" w:color="auto"/>
      </w:divBdr>
    </w:div>
    <w:div w:id="102656184">
      <w:bodyDiv w:val="1"/>
      <w:marLeft w:val="0"/>
      <w:marRight w:val="0"/>
      <w:marTop w:val="0"/>
      <w:marBottom w:val="0"/>
      <w:divBdr>
        <w:top w:val="none" w:sz="0" w:space="0" w:color="auto"/>
        <w:left w:val="none" w:sz="0" w:space="0" w:color="auto"/>
        <w:bottom w:val="none" w:sz="0" w:space="0" w:color="auto"/>
        <w:right w:val="none" w:sz="0" w:space="0" w:color="auto"/>
      </w:divBdr>
    </w:div>
    <w:div w:id="256140215">
      <w:bodyDiv w:val="1"/>
      <w:marLeft w:val="0"/>
      <w:marRight w:val="0"/>
      <w:marTop w:val="0"/>
      <w:marBottom w:val="0"/>
      <w:divBdr>
        <w:top w:val="none" w:sz="0" w:space="0" w:color="auto"/>
        <w:left w:val="none" w:sz="0" w:space="0" w:color="auto"/>
        <w:bottom w:val="none" w:sz="0" w:space="0" w:color="auto"/>
        <w:right w:val="none" w:sz="0" w:space="0" w:color="auto"/>
      </w:divBdr>
    </w:div>
    <w:div w:id="366373813">
      <w:bodyDiv w:val="1"/>
      <w:marLeft w:val="0"/>
      <w:marRight w:val="0"/>
      <w:marTop w:val="0"/>
      <w:marBottom w:val="0"/>
      <w:divBdr>
        <w:top w:val="none" w:sz="0" w:space="0" w:color="auto"/>
        <w:left w:val="none" w:sz="0" w:space="0" w:color="auto"/>
        <w:bottom w:val="none" w:sz="0" w:space="0" w:color="auto"/>
        <w:right w:val="none" w:sz="0" w:space="0" w:color="auto"/>
      </w:divBdr>
    </w:div>
    <w:div w:id="538975588">
      <w:bodyDiv w:val="1"/>
      <w:marLeft w:val="0"/>
      <w:marRight w:val="0"/>
      <w:marTop w:val="0"/>
      <w:marBottom w:val="0"/>
      <w:divBdr>
        <w:top w:val="none" w:sz="0" w:space="0" w:color="auto"/>
        <w:left w:val="none" w:sz="0" w:space="0" w:color="auto"/>
        <w:bottom w:val="none" w:sz="0" w:space="0" w:color="auto"/>
        <w:right w:val="none" w:sz="0" w:space="0" w:color="auto"/>
      </w:divBdr>
    </w:div>
    <w:div w:id="666784563">
      <w:bodyDiv w:val="1"/>
      <w:marLeft w:val="0"/>
      <w:marRight w:val="0"/>
      <w:marTop w:val="0"/>
      <w:marBottom w:val="0"/>
      <w:divBdr>
        <w:top w:val="none" w:sz="0" w:space="0" w:color="auto"/>
        <w:left w:val="none" w:sz="0" w:space="0" w:color="auto"/>
        <w:bottom w:val="none" w:sz="0" w:space="0" w:color="auto"/>
        <w:right w:val="none" w:sz="0" w:space="0" w:color="auto"/>
      </w:divBdr>
    </w:div>
    <w:div w:id="844247874">
      <w:bodyDiv w:val="1"/>
      <w:marLeft w:val="0"/>
      <w:marRight w:val="0"/>
      <w:marTop w:val="0"/>
      <w:marBottom w:val="0"/>
      <w:divBdr>
        <w:top w:val="none" w:sz="0" w:space="0" w:color="auto"/>
        <w:left w:val="none" w:sz="0" w:space="0" w:color="auto"/>
        <w:bottom w:val="none" w:sz="0" w:space="0" w:color="auto"/>
        <w:right w:val="none" w:sz="0" w:space="0" w:color="auto"/>
      </w:divBdr>
    </w:div>
    <w:div w:id="852109835">
      <w:bodyDiv w:val="1"/>
      <w:marLeft w:val="0"/>
      <w:marRight w:val="0"/>
      <w:marTop w:val="0"/>
      <w:marBottom w:val="0"/>
      <w:divBdr>
        <w:top w:val="none" w:sz="0" w:space="0" w:color="auto"/>
        <w:left w:val="none" w:sz="0" w:space="0" w:color="auto"/>
        <w:bottom w:val="none" w:sz="0" w:space="0" w:color="auto"/>
        <w:right w:val="none" w:sz="0" w:space="0" w:color="auto"/>
      </w:divBdr>
    </w:div>
    <w:div w:id="1030842314">
      <w:bodyDiv w:val="1"/>
      <w:marLeft w:val="0"/>
      <w:marRight w:val="0"/>
      <w:marTop w:val="0"/>
      <w:marBottom w:val="0"/>
      <w:divBdr>
        <w:top w:val="none" w:sz="0" w:space="0" w:color="auto"/>
        <w:left w:val="none" w:sz="0" w:space="0" w:color="auto"/>
        <w:bottom w:val="none" w:sz="0" w:space="0" w:color="auto"/>
        <w:right w:val="none" w:sz="0" w:space="0" w:color="auto"/>
      </w:divBdr>
    </w:div>
    <w:div w:id="1265265809">
      <w:bodyDiv w:val="1"/>
      <w:marLeft w:val="0"/>
      <w:marRight w:val="0"/>
      <w:marTop w:val="0"/>
      <w:marBottom w:val="0"/>
      <w:divBdr>
        <w:top w:val="none" w:sz="0" w:space="0" w:color="auto"/>
        <w:left w:val="none" w:sz="0" w:space="0" w:color="auto"/>
        <w:bottom w:val="none" w:sz="0" w:space="0" w:color="auto"/>
        <w:right w:val="none" w:sz="0" w:space="0" w:color="auto"/>
      </w:divBdr>
    </w:div>
    <w:div w:id="1470855870">
      <w:bodyDiv w:val="1"/>
      <w:marLeft w:val="0"/>
      <w:marRight w:val="0"/>
      <w:marTop w:val="0"/>
      <w:marBottom w:val="0"/>
      <w:divBdr>
        <w:top w:val="none" w:sz="0" w:space="0" w:color="auto"/>
        <w:left w:val="none" w:sz="0" w:space="0" w:color="auto"/>
        <w:bottom w:val="none" w:sz="0" w:space="0" w:color="auto"/>
        <w:right w:val="none" w:sz="0" w:space="0" w:color="auto"/>
      </w:divBdr>
    </w:div>
    <w:div w:id="1537086551">
      <w:bodyDiv w:val="1"/>
      <w:marLeft w:val="0"/>
      <w:marRight w:val="0"/>
      <w:marTop w:val="0"/>
      <w:marBottom w:val="0"/>
      <w:divBdr>
        <w:top w:val="none" w:sz="0" w:space="0" w:color="auto"/>
        <w:left w:val="none" w:sz="0" w:space="0" w:color="auto"/>
        <w:bottom w:val="none" w:sz="0" w:space="0" w:color="auto"/>
        <w:right w:val="none" w:sz="0" w:space="0" w:color="auto"/>
      </w:divBdr>
    </w:div>
    <w:div w:id="1563981558">
      <w:bodyDiv w:val="1"/>
      <w:marLeft w:val="0"/>
      <w:marRight w:val="0"/>
      <w:marTop w:val="0"/>
      <w:marBottom w:val="0"/>
      <w:divBdr>
        <w:top w:val="none" w:sz="0" w:space="0" w:color="auto"/>
        <w:left w:val="none" w:sz="0" w:space="0" w:color="auto"/>
        <w:bottom w:val="none" w:sz="0" w:space="0" w:color="auto"/>
        <w:right w:val="none" w:sz="0" w:space="0" w:color="auto"/>
      </w:divBdr>
    </w:div>
    <w:div w:id="1695494517">
      <w:bodyDiv w:val="1"/>
      <w:marLeft w:val="0"/>
      <w:marRight w:val="0"/>
      <w:marTop w:val="0"/>
      <w:marBottom w:val="0"/>
      <w:divBdr>
        <w:top w:val="none" w:sz="0" w:space="0" w:color="auto"/>
        <w:left w:val="none" w:sz="0" w:space="0" w:color="auto"/>
        <w:bottom w:val="none" w:sz="0" w:space="0" w:color="auto"/>
        <w:right w:val="none" w:sz="0" w:space="0" w:color="auto"/>
      </w:divBdr>
    </w:div>
    <w:div w:id="1702046355">
      <w:bodyDiv w:val="1"/>
      <w:marLeft w:val="0"/>
      <w:marRight w:val="0"/>
      <w:marTop w:val="0"/>
      <w:marBottom w:val="0"/>
      <w:divBdr>
        <w:top w:val="none" w:sz="0" w:space="0" w:color="auto"/>
        <w:left w:val="none" w:sz="0" w:space="0" w:color="auto"/>
        <w:bottom w:val="none" w:sz="0" w:space="0" w:color="auto"/>
        <w:right w:val="none" w:sz="0" w:space="0" w:color="auto"/>
      </w:divBdr>
    </w:div>
    <w:div w:id="1815952037">
      <w:bodyDiv w:val="1"/>
      <w:marLeft w:val="0"/>
      <w:marRight w:val="0"/>
      <w:marTop w:val="0"/>
      <w:marBottom w:val="0"/>
      <w:divBdr>
        <w:top w:val="none" w:sz="0" w:space="0" w:color="auto"/>
        <w:left w:val="none" w:sz="0" w:space="0" w:color="auto"/>
        <w:bottom w:val="none" w:sz="0" w:space="0" w:color="auto"/>
        <w:right w:val="none" w:sz="0" w:space="0" w:color="auto"/>
      </w:divBdr>
    </w:div>
    <w:div w:id="1852447772">
      <w:bodyDiv w:val="1"/>
      <w:marLeft w:val="0"/>
      <w:marRight w:val="0"/>
      <w:marTop w:val="0"/>
      <w:marBottom w:val="0"/>
      <w:divBdr>
        <w:top w:val="none" w:sz="0" w:space="0" w:color="auto"/>
        <w:left w:val="none" w:sz="0" w:space="0" w:color="auto"/>
        <w:bottom w:val="none" w:sz="0" w:space="0" w:color="auto"/>
        <w:right w:val="none" w:sz="0" w:space="0" w:color="auto"/>
      </w:divBdr>
    </w:div>
    <w:div w:id="1972129059">
      <w:bodyDiv w:val="1"/>
      <w:marLeft w:val="0"/>
      <w:marRight w:val="0"/>
      <w:marTop w:val="0"/>
      <w:marBottom w:val="0"/>
      <w:divBdr>
        <w:top w:val="none" w:sz="0" w:space="0" w:color="auto"/>
        <w:left w:val="none" w:sz="0" w:space="0" w:color="auto"/>
        <w:bottom w:val="none" w:sz="0" w:space="0" w:color="auto"/>
        <w:right w:val="none" w:sz="0" w:space="0" w:color="auto"/>
      </w:divBdr>
    </w:div>
    <w:div w:id="1992833935">
      <w:bodyDiv w:val="1"/>
      <w:marLeft w:val="0"/>
      <w:marRight w:val="0"/>
      <w:marTop w:val="0"/>
      <w:marBottom w:val="0"/>
      <w:divBdr>
        <w:top w:val="none" w:sz="0" w:space="0" w:color="auto"/>
        <w:left w:val="none" w:sz="0" w:space="0" w:color="auto"/>
        <w:bottom w:val="none" w:sz="0" w:space="0" w:color="auto"/>
        <w:right w:val="none" w:sz="0" w:space="0" w:color="auto"/>
      </w:divBdr>
    </w:div>
    <w:div w:id="212823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hyperlink" Target="mailto:ambrosel@istat.it" TargetMode="External"/><Relationship Id="rId3" Type="http://schemas.openxmlformats.org/officeDocument/2006/relationships/customXml" Target="../customXml/item3.xml"/><Relationship Id="rId21" Type="http://schemas.openxmlformats.org/officeDocument/2006/relationships/hyperlink" Target="https://www.istat.it/it/archivio/245778"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2.xml"/><Relationship Id="rId25" Type="http://schemas.openxmlformats.org/officeDocument/2006/relationships/hyperlink" Target="https://www.istat.it/it/files//2016/03/IWP_4_2016.pdf" TargetMode="Externa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image" Target="media/image6.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istat.it/it/files//2016/03/IWP_3_2016.pdf" TargetMode="Externa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hyperlink" Target="https://www.istat.it/it/files//2016/03/IWP_2_2016.pdf" TargetMode="Externa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istat.it/classificazione/documenti-ate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istat.it/it/files//2016/03/IWP_1_2016.pdf" TargetMode="External"/><Relationship Id="rId27" Type="http://schemas.openxmlformats.org/officeDocument/2006/relationships/hyperlink" Target="mailto:migliard@istat.it" TargetMode="Externa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mailto:ufficiostampa@istat.it" TargetMode="External"/><Relationship Id="rId2" Type="http://schemas.openxmlformats.org/officeDocument/2006/relationships/hyperlink" Target="https://contact.istat.it/" TargetMode="External"/><Relationship Id="rId1" Type="http://schemas.openxmlformats.org/officeDocument/2006/relationships/hyperlink" Target="mailto:ufficiostampa@istat.it" TargetMode="External"/><Relationship Id="rId5" Type="http://schemas.openxmlformats.org/officeDocument/2006/relationships/image" Target="media/image2.jpg"/><Relationship Id="rId4" Type="http://schemas.openxmlformats.org/officeDocument/2006/relationships/hyperlink" Target="https://contact.istat.it/"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nas-repo1.pc.istat.it\SHARE2\Ufficio_stampa\COMUNICATI%20in%20uscita\OTTOBRE%202026\15%20OTTOBRE%20REPORT%20CONTI%20IMPRESE%20E%20GRUPPI\figure%20report20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nas-repo1.pc.istat.it\SHARE2\Ufficio_stampa\COMUNICATI%20in%20uscita\OTTOBRE%202026\15%20OTTOBRE%20REPORT%20CONTI%20IMPRESE%20E%20GRUPPI\figure%20report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'figura 1'!$G$2</c:f>
              <c:strCache>
                <c:ptCount val="1"/>
                <c:pt idx="0">
                  <c:v> Imprese appartenenti a gruppi domestici </c:v>
                </c:pt>
              </c:strCache>
            </c:strRef>
          </c:tx>
          <c:spPr>
            <a:solidFill>
              <a:srgbClr val="9BBB59"/>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arrow" panose="020B0606020202030204" pitchFamily="34" charset="0"/>
                    <a:ea typeface="+mn-ea"/>
                    <a:cs typeface="+mn-cs"/>
                  </a:defRPr>
                </a:pPr>
                <a:endParaRPr lang="it-IT"/>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'figura 1'!$H$1:$K$1</c:f>
              <c:numCache>
                <c:formatCode>General</c:formatCode>
                <c:ptCount val="4"/>
                <c:pt idx="0">
                  <c:v>2021</c:v>
                </c:pt>
                <c:pt idx="1">
                  <c:v>2022</c:v>
                </c:pt>
                <c:pt idx="2">
                  <c:v>2023</c:v>
                </c:pt>
                <c:pt idx="3">
                  <c:v>2024</c:v>
                </c:pt>
              </c:numCache>
            </c:numRef>
          </c:cat>
          <c:val>
            <c:numRef>
              <c:f>'figura 1'!$H$2:$K$2</c:f>
              <c:numCache>
                <c:formatCode>0.0</c:formatCode>
                <c:ptCount val="4"/>
                <c:pt idx="0">
                  <c:v>15.0046319219267</c:v>
                </c:pt>
                <c:pt idx="1">
                  <c:v>14.25064324923134</c:v>
                </c:pt>
                <c:pt idx="2">
                  <c:v>12.231014150462311</c:v>
                </c:pt>
                <c:pt idx="3" formatCode="General">
                  <c:v>3.7</c:v>
                </c:pt>
              </c:numCache>
            </c:numRef>
          </c:val>
          <c:extLst>
            <c:ext xmlns:c16="http://schemas.microsoft.com/office/drawing/2014/chart" uri="{C3380CC4-5D6E-409C-BE32-E72D297353CC}">
              <c16:uniqueId val="{00000000-8FBB-4D24-B341-8A0B7DCD6EE0}"/>
            </c:ext>
          </c:extLst>
        </c:ser>
        <c:ser>
          <c:idx val="1"/>
          <c:order val="1"/>
          <c:tx>
            <c:strRef>
              <c:f>'figura 1'!$G$3</c:f>
              <c:strCache>
                <c:ptCount val="1"/>
                <c:pt idx="0">
                  <c:v> Imprese appartenenti a gruppi Multinazionali</c:v>
                </c:pt>
              </c:strCache>
            </c:strRef>
          </c:tx>
          <c:spPr>
            <a:solidFill>
              <a:srgbClr val="E42618"/>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arrow" panose="020B0606020202030204" pitchFamily="34" charset="0"/>
                    <a:ea typeface="+mn-ea"/>
                    <a:cs typeface="+mn-cs"/>
                  </a:defRPr>
                </a:pPr>
                <a:endParaRPr lang="it-IT"/>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'figura 1'!$H$1:$K$1</c:f>
              <c:numCache>
                <c:formatCode>General</c:formatCode>
                <c:ptCount val="4"/>
                <c:pt idx="0">
                  <c:v>2021</c:v>
                </c:pt>
                <c:pt idx="1">
                  <c:v>2022</c:v>
                </c:pt>
                <c:pt idx="2">
                  <c:v>2023</c:v>
                </c:pt>
                <c:pt idx="3">
                  <c:v>2024</c:v>
                </c:pt>
              </c:numCache>
            </c:numRef>
          </c:cat>
          <c:val>
            <c:numRef>
              <c:f>'figura 1'!$H$3:$K$3</c:f>
              <c:numCache>
                <c:formatCode>0.0</c:formatCode>
                <c:ptCount val="4"/>
                <c:pt idx="0">
                  <c:v>24.332904899063376</c:v>
                </c:pt>
                <c:pt idx="1">
                  <c:v>10.520805669167352</c:v>
                </c:pt>
                <c:pt idx="2">
                  <c:v>6.6990295701242513</c:v>
                </c:pt>
                <c:pt idx="3">
                  <c:v>3.9</c:v>
                </c:pt>
              </c:numCache>
            </c:numRef>
          </c:val>
          <c:extLst>
            <c:ext xmlns:c16="http://schemas.microsoft.com/office/drawing/2014/chart" uri="{C3380CC4-5D6E-409C-BE32-E72D297353CC}">
              <c16:uniqueId val="{00000001-8FBB-4D24-B341-8A0B7DCD6EE0}"/>
            </c:ext>
          </c:extLst>
        </c:ser>
        <c:ser>
          <c:idx val="2"/>
          <c:order val="2"/>
          <c:tx>
            <c:strRef>
              <c:f>'figura 1'!$G$4</c:f>
              <c:strCache>
                <c:ptCount val="1"/>
                <c:pt idx="0">
                  <c:v>Imprese non appartenenti a gruppi</c:v>
                </c:pt>
              </c:strCache>
            </c:strRef>
          </c:tx>
          <c:spPr>
            <a:solidFill>
              <a:srgbClr val="888888"/>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arrow" panose="020B0606020202030204" pitchFamily="34" charset="0"/>
                    <a:ea typeface="+mn-ea"/>
                    <a:cs typeface="+mn-cs"/>
                  </a:defRPr>
                </a:pPr>
                <a:endParaRPr lang="it-IT"/>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'figura 1'!$H$1:$K$1</c:f>
              <c:numCache>
                <c:formatCode>General</c:formatCode>
                <c:ptCount val="4"/>
                <c:pt idx="0">
                  <c:v>2021</c:v>
                </c:pt>
                <c:pt idx="1">
                  <c:v>2022</c:v>
                </c:pt>
                <c:pt idx="2">
                  <c:v>2023</c:v>
                </c:pt>
                <c:pt idx="3">
                  <c:v>2024</c:v>
                </c:pt>
              </c:numCache>
            </c:numRef>
          </c:cat>
          <c:val>
            <c:numRef>
              <c:f>'figura 1'!$H$4:$K$4</c:f>
              <c:numCache>
                <c:formatCode>0.0</c:formatCode>
                <c:ptCount val="4"/>
                <c:pt idx="0">
                  <c:v>21.7842819069398</c:v>
                </c:pt>
                <c:pt idx="1">
                  <c:v>10.932843885293158</c:v>
                </c:pt>
                <c:pt idx="2">
                  <c:v>13.523964750218326</c:v>
                </c:pt>
                <c:pt idx="3" formatCode="General">
                  <c:v>0.6</c:v>
                </c:pt>
              </c:numCache>
            </c:numRef>
          </c:val>
          <c:extLst>
            <c:ext xmlns:c16="http://schemas.microsoft.com/office/drawing/2014/chart" uri="{C3380CC4-5D6E-409C-BE32-E72D297353CC}">
              <c16:uniqueId val="{00000002-8FBB-4D24-B341-8A0B7DCD6EE0}"/>
            </c:ext>
          </c:extLst>
        </c:ser>
        <c:ser>
          <c:idx val="3"/>
          <c:order val="3"/>
          <c:tx>
            <c:strRef>
              <c:f>'figura 1'!$G$5</c:f>
              <c:strCache>
                <c:ptCount val="1"/>
                <c:pt idx="0">
                  <c:v>TOTALE </c:v>
                </c:pt>
              </c:strCache>
            </c:strRef>
          </c:tx>
          <c:spPr>
            <a:solidFill>
              <a:srgbClr val="1F497D"/>
            </a:solidFill>
            <a:ln>
              <a:noFill/>
            </a:ln>
            <a:effectLst/>
          </c:spPr>
          <c:invertIfNegative val="0"/>
          <c:dLbls>
            <c:dLbl>
              <c:idx val="0"/>
              <c:layout>
                <c:manualLayout>
                  <c:x val="1.824817518248175E-2"/>
                  <c:y val="-3.8628574689314771E-17"/>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8FBB-4D24-B341-8A0B7DCD6EE0}"/>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arrow" panose="020B0606020202030204" pitchFamily="34" charset="0"/>
                    <a:ea typeface="+mn-ea"/>
                    <a:cs typeface="+mn-cs"/>
                  </a:defRPr>
                </a:pPr>
                <a:endParaRPr lang="it-IT"/>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'figura 1'!$H$1:$K$1</c:f>
              <c:numCache>
                <c:formatCode>General</c:formatCode>
                <c:ptCount val="4"/>
                <c:pt idx="0">
                  <c:v>2021</c:v>
                </c:pt>
                <c:pt idx="1">
                  <c:v>2022</c:v>
                </c:pt>
                <c:pt idx="2">
                  <c:v>2023</c:v>
                </c:pt>
                <c:pt idx="3">
                  <c:v>2024</c:v>
                </c:pt>
              </c:numCache>
            </c:numRef>
          </c:cat>
          <c:val>
            <c:numRef>
              <c:f>'figura 1'!$H$5:$K$5</c:f>
              <c:numCache>
                <c:formatCode>0.0</c:formatCode>
                <c:ptCount val="4"/>
                <c:pt idx="0">
                  <c:v>21.559647671523301</c:v>
                </c:pt>
                <c:pt idx="1">
                  <c:v>11.3</c:v>
                </c:pt>
                <c:pt idx="2">
                  <c:v>7.3399771023610576</c:v>
                </c:pt>
                <c:pt idx="3" formatCode="General">
                  <c:v>2.5</c:v>
                </c:pt>
              </c:numCache>
            </c:numRef>
          </c:val>
          <c:extLst>
            <c:ext xmlns:c16="http://schemas.microsoft.com/office/drawing/2014/chart" uri="{C3380CC4-5D6E-409C-BE32-E72D297353CC}">
              <c16:uniqueId val="{00000004-8FBB-4D24-B341-8A0B7DCD6EE0}"/>
            </c:ext>
          </c:extLst>
        </c:ser>
        <c:dLbls>
          <c:dLblPos val="outEnd"/>
          <c:showLegendKey val="0"/>
          <c:showVal val="1"/>
          <c:showCatName val="0"/>
          <c:showSerName val="0"/>
          <c:showPercent val="0"/>
          <c:showBubbleSize val="0"/>
        </c:dLbls>
        <c:gapWidth val="219"/>
        <c:overlap val="-27"/>
        <c:axId val="511642879"/>
        <c:axId val="506145311"/>
      </c:barChart>
      <c:catAx>
        <c:axId val="511642879"/>
        <c:scaling>
          <c:orientation val="minMax"/>
        </c:scaling>
        <c:delete val="0"/>
        <c:axPos val="b"/>
        <c:majorGridlines>
          <c:spPr>
            <a:ln w="9525" cap="flat" cmpd="sng" algn="ctr">
              <a:solidFill>
                <a:schemeClr val="bg1"/>
              </a:solidFill>
              <a:round/>
            </a:ln>
            <a:effectLst/>
          </c:spPr>
        </c:majorGridlines>
        <c:numFmt formatCode="General" sourceLinked="1"/>
        <c:majorTickMark val="none"/>
        <c:minorTickMark val="none"/>
        <c:tickLblPos val="nextTo"/>
        <c:spPr>
          <a:noFill/>
          <a:ln w="9525" cap="flat" cmpd="sng" algn="ctr">
            <a:solidFill>
              <a:schemeClr val="bg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arrow" panose="020B0606020202030204" pitchFamily="34" charset="0"/>
                <a:ea typeface="+mn-ea"/>
                <a:cs typeface="+mn-cs"/>
              </a:defRPr>
            </a:pPr>
            <a:endParaRPr lang="it-IT"/>
          </a:p>
        </c:txPr>
        <c:crossAx val="506145311"/>
        <c:crosses val="autoZero"/>
        <c:auto val="1"/>
        <c:lblAlgn val="ctr"/>
        <c:lblOffset val="100"/>
        <c:noMultiLvlLbl val="0"/>
      </c:catAx>
      <c:valAx>
        <c:axId val="506145311"/>
        <c:scaling>
          <c:orientation val="minMax"/>
        </c:scaling>
        <c:delete val="0"/>
        <c:axPos val="l"/>
        <c:majorGridlines>
          <c:spPr>
            <a:ln w="9525" cap="flat" cmpd="sng" algn="ctr">
              <a:solidFill>
                <a:schemeClr val="bg1"/>
              </a:solidFill>
              <a:round/>
            </a:ln>
            <a:effectLst/>
          </c:spPr>
        </c:majorGridlines>
        <c:numFmt formatCode="0.0" sourceLinked="1"/>
        <c:majorTickMark val="none"/>
        <c:minorTickMark val="none"/>
        <c:tickLblPos val="nextTo"/>
        <c:spPr>
          <a:noFill/>
          <a:ln>
            <a:solidFill>
              <a:schemeClr val="bg1"/>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arrow" panose="020B0606020202030204" pitchFamily="34" charset="0"/>
                <a:ea typeface="+mn-ea"/>
                <a:cs typeface="+mn-cs"/>
              </a:defRPr>
            </a:pPr>
            <a:endParaRPr lang="it-IT"/>
          </a:p>
        </c:txPr>
        <c:crossAx val="511642879"/>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Narrow" panose="020B0606020202030204" pitchFamily="34" charset="0"/>
              <a:ea typeface="+mn-ea"/>
              <a:cs typeface="+mn-cs"/>
            </a:defRPr>
          </a:pPr>
          <a:endParaRPr lang="it-IT"/>
        </a:p>
      </c:txPr>
    </c:legend>
    <c:plotVisOnly val="1"/>
    <c:dispBlanksAs val="gap"/>
    <c:showDLblsOverMax val="0"/>
  </c:chart>
  <c:spPr>
    <a:noFill/>
    <a:ln w="9525" cap="flat" cmpd="sng" algn="ctr">
      <a:noFill/>
      <a:round/>
    </a:ln>
    <a:effectLst/>
  </c:spPr>
  <c:txPr>
    <a:bodyPr/>
    <a:lstStyle/>
    <a:p>
      <a:pPr>
        <a:defRPr sz="800">
          <a:latin typeface="Arial Narrow" panose="020B0606020202030204" pitchFamily="34" charset="0"/>
        </a:defRPr>
      </a:pPr>
      <a:endParaRPr lang="it-I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16718018943284E-2"/>
          <c:y val="4.902922557830007E-2"/>
          <c:w val="0.90039441401346554"/>
          <c:h val="0.80091601714124561"/>
        </c:manualLayout>
      </c:layout>
      <c:barChart>
        <c:barDir val="col"/>
        <c:grouping val="clustered"/>
        <c:varyColors val="0"/>
        <c:ser>
          <c:idx val="0"/>
          <c:order val="0"/>
          <c:tx>
            <c:strRef>
              <c:f>'figura 2'!$B$2</c:f>
              <c:strCache>
                <c:ptCount val="1"/>
                <c:pt idx="0">
                  <c:v>nei gruppi</c:v>
                </c:pt>
              </c:strCache>
            </c:strRef>
          </c:tx>
          <c:spPr>
            <a:solidFill>
              <a:srgbClr val="1F497D"/>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'figura 2'!$A$3:$A$8</c:f>
              <c:strCache>
                <c:ptCount val="6"/>
                <c:pt idx="0">
                  <c:v>0-9</c:v>
                </c:pt>
                <c:pt idx="1">
                  <c:v>10-19</c:v>
                </c:pt>
                <c:pt idx="2">
                  <c:v>20-49</c:v>
                </c:pt>
                <c:pt idx="3">
                  <c:v>50-249</c:v>
                </c:pt>
                <c:pt idx="4">
                  <c:v>250 e oltre</c:v>
                </c:pt>
                <c:pt idx="5">
                  <c:v>Totale </c:v>
                </c:pt>
              </c:strCache>
            </c:strRef>
          </c:cat>
          <c:val>
            <c:numRef>
              <c:f>'figura 2'!$B$3:$B$8</c:f>
              <c:numCache>
                <c:formatCode>#,##0.0</c:formatCode>
                <c:ptCount val="6"/>
                <c:pt idx="0">
                  <c:v>116.8753472887316</c:v>
                </c:pt>
                <c:pt idx="1">
                  <c:v>76.600289216876988</c:v>
                </c:pt>
                <c:pt idx="2">
                  <c:v>80.636870956569226</c:v>
                </c:pt>
                <c:pt idx="3">
                  <c:v>91.49590493920266</c:v>
                </c:pt>
                <c:pt idx="4">
                  <c:v>88.042583695626334</c:v>
                </c:pt>
                <c:pt idx="5">
                  <c:v>88.748986734259617</c:v>
                </c:pt>
              </c:numCache>
            </c:numRef>
          </c:val>
          <c:extLst>
            <c:ext xmlns:c16="http://schemas.microsoft.com/office/drawing/2014/chart" uri="{C3380CC4-5D6E-409C-BE32-E72D297353CC}">
              <c16:uniqueId val="{00000000-7EBE-4F96-BEB1-B1133669F97A}"/>
            </c:ext>
          </c:extLst>
        </c:ser>
        <c:ser>
          <c:idx val="1"/>
          <c:order val="1"/>
          <c:tx>
            <c:strRef>
              <c:f>'figura 2'!$C$2</c:f>
              <c:strCache>
                <c:ptCount val="1"/>
                <c:pt idx="0">
                  <c:v>non appartenenti a gruppi</c:v>
                </c:pt>
              </c:strCache>
            </c:strRef>
          </c:tx>
          <c:spPr>
            <a:solidFill>
              <a:srgbClr val="E42618"/>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'figura 2'!$A$3:$A$8</c:f>
              <c:strCache>
                <c:ptCount val="6"/>
                <c:pt idx="0">
                  <c:v>0-9</c:v>
                </c:pt>
                <c:pt idx="1">
                  <c:v>10-19</c:v>
                </c:pt>
                <c:pt idx="2">
                  <c:v>20-49</c:v>
                </c:pt>
                <c:pt idx="3">
                  <c:v>50-249</c:v>
                </c:pt>
                <c:pt idx="4">
                  <c:v>250 e oltre</c:v>
                </c:pt>
                <c:pt idx="5">
                  <c:v>Totale </c:v>
                </c:pt>
              </c:strCache>
            </c:strRef>
          </c:cat>
          <c:val>
            <c:numRef>
              <c:f>'figura 2'!$C$3:$C$8</c:f>
              <c:numCache>
                <c:formatCode>#,##0.0</c:formatCode>
                <c:ptCount val="6"/>
                <c:pt idx="0">
                  <c:v>36.861357202619885</c:v>
                </c:pt>
                <c:pt idx="1">
                  <c:v>48.303085771461397</c:v>
                </c:pt>
                <c:pt idx="2">
                  <c:v>53.351665345614322</c:v>
                </c:pt>
                <c:pt idx="3">
                  <c:v>50.074338828155255</c:v>
                </c:pt>
                <c:pt idx="4">
                  <c:v>36.622866956166952</c:v>
                </c:pt>
                <c:pt idx="5">
                  <c:v>41.221415842077448</c:v>
                </c:pt>
              </c:numCache>
            </c:numRef>
          </c:val>
          <c:extLst>
            <c:ext xmlns:c16="http://schemas.microsoft.com/office/drawing/2014/chart" uri="{C3380CC4-5D6E-409C-BE32-E72D297353CC}">
              <c16:uniqueId val="{00000001-7EBE-4F96-BEB1-B1133669F97A}"/>
            </c:ext>
          </c:extLst>
        </c:ser>
        <c:dLbls>
          <c:showLegendKey val="0"/>
          <c:showVal val="0"/>
          <c:showCatName val="0"/>
          <c:showSerName val="0"/>
          <c:showPercent val="0"/>
          <c:showBubbleSize val="0"/>
        </c:dLbls>
        <c:gapWidth val="150"/>
        <c:axId val="724116656"/>
        <c:axId val="825286496"/>
      </c:barChart>
      <c:catAx>
        <c:axId val="724116656"/>
        <c:scaling>
          <c:orientation val="minMax"/>
        </c:scaling>
        <c:delete val="0"/>
        <c:axPos val="b"/>
        <c:majorGridlines>
          <c:spPr>
            <a:ln>
              <a:solidFill>
                <a:schemeClr val="bg1"/>
              </a:solidFill>
            </a:ln>
          </c:spPr>
        </c:majorGridlines>
        <c:numFmt formatCode="General" sourceLinked="0"/>
        <c:majorTickMark val="out"/>
        <c:minorTickMark val="none"/>
        <c:tickLblPos val="nextTo"/>
        <c:spPr>
          <a:ln>
            <a:solidFill>
              <a:schemeClr val="bg1"/>
            </a:solidFill>
          </a:ln>
        </c:spPr>
        <c:crossAx val="825286496"/>
        <c:crosses val="autoZero"/>
        <c:auto val="1"/>
        <c:lblAlgn val="ctr"/>
        <c:lblOffset val="100"/>
        <c:noMultiLvlLbl val="0"/>
      </c:catAx>
      <c:valAx>
        <c:axId val="825286496"/>
        <c:scaling>
          <c:orientation val="minMax"/>
          <c:max val="125"/>
          <c:min val="0"/>
        </c:scaling>
        <c:delete val="0"/>
        <c:axPos val="l"/>
        <c:majorGridlines>
          <c:spPr>
            <a:ln>
              <a:solidFill>
                <a:schemeClr val="bg1"/>
              </a:solidFill>
            </a:ln>
          </c:spPr>
        </c:majorGridlines>
        <c:numFmt formatCode="#,##0" sourceLinked="0"/>
        <c:majorTickMark val="out"/>
        <c:minorTickMark val="none"/>
        <c:tickLblPos val="nextTo"/>
        <c:spPr>
          <a:ln>
            <a:solidFill>
              <a:schemeClr val="bg1"/>
            </a:solidFill>
          </a:ln>
        </c:spPr>
        <c:crossAx val="724116656"/>
        <c:crosses val="autoZero"/>
        <c:crossBetween val="between"/>
      </c:valAx>
      <c:spPr>
        <a:noFill/>
      </c:spPr>
    </c:plotArea>
    <c:legend>
      <c:legendPos val="t"/>
      <c:layout/>
      <c:overlay val="0"/>
    </c:legend>
    <c:plotVisOnly val="1"/>
    <c:dispBlanksAs val="gap"/>
    <c:showDLblsOverMax val="0"/>
  </c:chart>
  <c:spPr>
    <a:noFill/>
    <a:ln>
      <a:noFill/>
    </a:ln>
  </c:spPr>
  <c:txPr>
    <a:bodyPr/>
    <a:lstStyle/>
    <a:p>
      <a:pPr>
        <a:defRPr sz="800">
          <a:latin typeface="Arial Narrow" panose="020B0606020202030204" pitchFamily="34" charset="0"/>
        </a:defRPr>
      </a:pPr>
      <a:endParaRPr lang="it-IT"/>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bb7392-db91-43db-9b6a-d40b95d067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63DC0D574C2C4BAADE7BDE2CC7A3EA" ma:contentTypeVersion="10" ma:contentTypeDescription="Create a new document." ma:contentTypeScope="" ma:versionID="96e2ff9b0a6564dd3dc277c6655607e4">
  <xsd:schema xmlns:xsd="http://www.w3.org/2001/XMLSchema" xmlns:xs="http://www.w3.org/2001/XMLSchema" xmlns:p="http://schemas.microsoft.com/office/2006/metadata/properties" xmlns:ns3="c6bb7392-db91-43db-9b6a-d40b95d0671e" targetNamespace="http://schemas.microsoft.com/office/2006/metadata/properties" ma:root="true" ma:fieldsID="4c2a18f4866ccd9e049eb591f17805e1" ns3:_="">
    <xsd:import namespace="c6bb7392-db91-43db-9b6a-d40b95d0671e"/>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b7392-db91-43db-9b6a-d40b95d06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EB919-2999-40FF-BC54-569E34BF38C0}">
  <ds:schemaRefs>
    <ds:schemaRef ds:uri="http://schemas.microsoft.com/office/2006/metadata/properties"/>
    <ds:schemaRef ds:uri="http://purl.org/dc/terms/"/>
    <ds:schemaRef ds:uri="c6bb7392-db91-43db-9b6a-d40b95d0671e"/>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3671562-7077-468E-BE45-96E704BE64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b7392-db91-43db-9b6a-d40b95d06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082639-67E3-4888-9D33-1A3D7722CCD6}">
  <ds:schemaRefs>
    <ds:schemaRef ds:uri="http://schemas.microsoft.com/sharepoint/v3/contenttype/forms"/>
  </ds:schemaRefs>
</ds:datastoreItem>
</file>

<file path=customXml/itemProps4.xml><?xml version="1.0" encoding="utf-8"?>
<ds:datastoreItem xmlns:ds="http://schemas.openxmlformats.org/officeDocument/2006/customXml" ds:itemID="{FA2789A3-61CA-4D24-9EDD-0AC8A887A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8503</Words>
  <Characters>51388</Characters>
  <Application>Microsoft Office Word</Application>
  <DocSecurity>0</DocSecurity>
  <Lines>428</Lines>
  <Paragraphs>119</Paragraphs>
  <ScaleCrop>false</ScaleCrop>
  <HeadingPairs>
    <vt:vector size="2" baseType="variant">
      <vt:variant>
        <vt:lpstr>Titolo</vt:lpstr>
      </vt:variant>
      <vt:variant>
        <vt:i4>1</vt:i4>
      </vt:variant>
    </vt:vector>
  </HeadingPairs>
  <TitlesOfParts>
    <vt:vector size="1" baseType="lpstr">
      <vt:lpstr>Conti economici imprese e gruppi</vt:lpstr>
    </vt:vector>
  </TitlesOfParts>
  <Company>ISTAT</Company>
  <LinksUpToDate>false</LinksUpToDate>
  <CharactersWithSpaces>59772</CharactersWithSpaces>
  <SharedDoc>false</SharedDoc>
  <HLinks>
    <vt:vector size="18" baseType="variant">
      <vt:variant>
        <vt:i4>4456451</vt:i4>
      </vt:variant>
      <vt:variant>
        <vt:i4>3</vt:i4>
      </vt:variant>
      <vt:variant>
        <vt:i4>0</vt:i4>
      </vt:variant>
      <vt:variant>
        <vt:i4>5</vt:i4>
      </vt:variant>
      <vt:variant>
        <vt:lpwstr>http://demo.istat.it/</vt:lpwstr>
      </vt:variant>
      <vt:variant>
        <vt:lpwstr/>
      </vt:variant>
      <vt:variant>
        <vt:i4>5374032</vt:i4>
      </vt:variant>
      <vt:variant>
        <vt:i4>0</vt:i4>
      </vt:variant>
      <vt:variant>
        <vt:i4>0</vt:i4>
      </vt:variant>
      <vt:variant>
        <vt:i4>5</vt:i4>
      </vt:variant>
      <vt:variant>
        <vt:lpwstr>http://www.istat.it/it/archivio/99464</vt:lpwstr>
      </vt:variant>
      <vt:variant>
        <vt:lpwstr/>
      </vt:variant>
      <vt:variant>
        <vt:i4>2228278</vt:i4>
      </vt:variant>
      <vt:variant>
        <vt:i4>0</vt:i4>
      </vt:variant>
      <vt:variant>
        <vt:i4>0</vt:i4>
      </vt:variant>
      <vt:variant>
        <vt:i4>5</vt:i4>
      </vt:variant>
      <vt:variant>
        <vt:lpwstr>http://epp.eurostat.ec.europa.eu/portal/page/portal/population/data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 economici imprese e gruppi - Anno 2024</dc:title>
  <dc:subject/>
  <dc:creator>Istat</dc:creator>
  <cp:keywords/>
  <dc:description/>
  <cp:lastModifiedBy>Francesca Ferrante</cp:lastModifiedBy>
  <cp:revision>2</cp:revision>
  <cp:lastPrinted>2026-09-07T09:42:00Z</cp:lastPrinted>
  <dcterms:created xsi:type="dcterms:W3CDTF">2026-10-15T06:29:00Z</dcterms:created>
  <dcterms:modified xsi:type="dcterms:W3CDTF">2026-10-15T06:29:00Z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0x0101000363DC0D574C2C4BAADE7BDE2CC7A3EA</vt:lpwstr>
  </property>
</Properties>
</file>