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27" w:rsidRDefault="00626D42">
      <w:pPr>
        <w:spacing w:after="120"/>
        <w:jc w:val="right"/>
        <w:rPr>
          <w:rFonts w:ascii="Arial" w:hAnsi="Arial" w:cs="Arial"/>
          <w:b/>
          <w:sz w:val="20"/>
        </w:rPr>
      </w:pPr>
      <w:r>
        <w:rPr>
          <w:rFonts w:ascii="Arial" w:hAnsi="Arial" w:cs="Arial"/>
          <w:noProof/>
          <w:color w:val="000000"/>
          <w:sz w:val="20"/>
          <w:szCs w:val="28"/>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38100</wp:posOffset>
                </wp:positionV>
                <wp:extent cx="1701800" cy="304800"/>
                <wp:effectExtent l="0" t="0" r="3175" b="0"/>
                <wp:wrapNone/>
                <wp:docPr id="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AC5" w:rsidRDefault="004F5AC5">
                            <w:pPr>
                              <w:jc w:val="right"/>
                              <w:rPr>
                                <w:rFonts w:ascii="Arial Narrow" w:hAnsi="Arial Narrow"/>
                                <w:sz w:val="26"/>
                                <w:szCs w:val="26"/>
                              </w:rPr>
                            </w:pPr>
                            <w:r>
                              <w:rPr>
                                <w:rFonts w:ascii="Arial Narrow" w:hAnsi="Arial Narrow"/>
                                <w:sz w:val="26"/>
                                <w:szCs w:val="26"/>
                              </w:rPr>
                              <w:t>28 marzo 2014</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297pt;margin-top:3pt;width:13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" filled="f" stroked="f">
                <v:textbox inset=".5mm,.3mm,.5mm,.3mm">
                  <w:txbxContent>
                    <w:p w:rsidR="004F5AC5" w:rsidRDefault="004F5AC5">
                      <w:pPr>
                        <w:jc w:val="right"/>
                        <w:rPr>
                          <w:rFonts w:ascii="Arial Narrow" w:hAnsi="Arial Narrow"/>
                          <w:sz w:val="26"/>
                          <w:szCs w:val="26"/>
                        </w:rPr>
                      </w:pPr>
                      <w:r>
                        <w:rPr>
                          <w:rFonts w:ascii="Arial Narrow" w:hAnsi="Arial Narrow"/>
                          <w:sz w:val="26"/>
                          <w:szCs w:val="26"/>
                        </w:rPr>
                        <w:t>28 marzo 2014</w:t>
                      </w:r>
                    </w:p>
                  </w:txbxContent>
                </v:textbox>
              </v:shape>
            </w:pict>
          </mc:Fallback>
        </mc:AlternateContent>
      </w:r>
      <w:r w:rsidR="00A93D95">
        <w:rPr>
          <w:snapToGrid w:val="0"/>
          <w:color w:val="000000"/>
          <w:w w:val="0"/>
          <w:sz w:val="0"/>
          <w:szCs w:val="0"/>
          <w:u w:color="000000"/>
          <w:bdr w:val="none" w:sz="0" w:space="0" w:color="000000"/>
          <w:shd w:val="clear" w:color="000000" w:fill="000000"/>
          <w:lang w:eastAsia="x-none" w:bidi="x-none"/>
        </w:rPr>
        <w:t>74/</w:t>
      </w:r>
      <w:r w:rsidR="00763608" w:rsidRPr="00763608">
        <w:rPr>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color w:val="000000"/>
          <w:sz w:val="20"/>
          <w:szCs w:val="28"/>
        </w:rPr>
        <w:drawing>
          <wp:inline distT="0" distB="0" distL="0" distR="0">
            <wp:extent cx="6981825" cy="1304925"/>
            <wp:effectExtent l="0" t="0" r="9525" b="9525"/>
            <wp:docPr id="1" name="Immagine 1" descr="testat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ata-inf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1825" cy="1304925"/>
                    </a:xfrm>
                    <a:prstGeom prst="rect">
                      <a:avLst/>
                    </a:prstGeom>
                    <a:noFill/>
                    <a:ln>
                      <a:noFill/>
                    </a:ln>
                  </pic:spPr>
                </pic:pic>
              </a:graphicData>
            </a:graphic>
          </wp:inline>
        </w:drawing>
      </w:r>
    </w:p>
    <w:p w:rsidR="006A0427" w:rsidRDefault="006A0427">
      <w:pPr>
        <w:spacing w:after="120"/>
        <w:ind w:left="1814"/>
        <w:jc w:val="both"/>
        <w:rPr>
          <w:rFonts w:ascii="Arial" w:hAnsi="Arial" w:cs="Arial"/>
          <w:sz w:val="18"/>
          <w:szCs w:val="18"/>
        </w:rPr>
      </w:pPr>
    </w:p>
    <w:p w:rsidR="00FF6BBE" w:rsidRDefault="00FF6BBE" w:rsidP="00513350">
      <w:pPr>
        <w:spacing w:after="120"/>
        <w:ind w:left="1814"/>
        <w:jc w:val="both"/>
        <w:rPr>
          <w:rFonts w:ascii="Arial" w:hAnsi="Arial" w:cs="Arial"/>
          <w:sz w:val="18"/>
          <w:szCs w:val="18"/>
        </w:rPr>
      </w:pPr>
    </w:p>
    <w:p w:rsidR="007C62E8" w:rsidRDefault="007C62E8" w:rsidP="00513350">
      <w:pPr>
        <w:spacing w:after="120"/>
        <w:ind w:left="1814"/>
        <w:jc w:val="both"/>
        <w:rPr>
          <w:rFonts w:ascii="Arial" w:hAnsi="Arial" w:cs="Arial"/>
          <w:sz w:val="18"/>
          <w:szCs w:val="18"/>
        </w:rPr>
      </w:pPr>
    </w:p>
    <w:p w:rsidR="000E4E70" w:rsidRPr="00FE289C" w:rsidRDefault="000E4E70">
      <w:pPr>
        <w:spacing w:after="120"/>
        <w:ind w:left="1814"/>
        <w:jc w:val="both"/>
        <w:rPr>
          <w:rFonts w:ascii="Arial" w:hAnsi="Arial" w:cs="Arial"/>
          <w:sz w:val="18"/>
          <w:szCs w:val="18"/>
        </w:rPr>
      </w:pPr>
    </w:p>
    <w:p w:rsidR="006A0427" w:rsidRDefault="006A0427">
      <w:pPr>
        <w:spacing w:after="120"/>
        <w:ind w:left="1814"/>
        <w:rPr>
          <w:rFonts w:ascii="Arial Narrow" w:hAnsi="Arial Narrow" w:cs="Arial"/>
          <w:b/>
          <w:color w:val="808080"/>
          <w:sz w:val="48"/>
          <w:szCs w:val="52"/>
        </w:rPr>
      </w:pPr>
      <w:r>
        <w:rPr>
          <w:rFonts w:ascii="Arial Narrow" w:hAnsi="Arial Narrow" w:cs="Arial"/>
          <w:b/>
          <w:color w:val="808080"/>
          <w:sz w:val="48"/>
          <w:szCs w:val="52"/>
        </w:rPr>
        <w:t>GLI INDICI DEI PREZZI ALLA PRODUZIONE DEI PRODOTTI INDUSTRIALI</w:t>
      </w:r>
    </w:p>
    <w:p w:rsidR="001643E0" w:rsidRDefault="001643E0">
      <w:pPr>
        <w:spacing w:after="120"/>
        <w:ind w:left="1814"/>
        <w:jc w:val="both"/>
        <w:rPr>
          <w:rFonts w:ascii="Arial" w:hAnsi="Arial" w:cs="Arial"/>
          <w:bCs/>
          <w:color w:val="808080"/>
          <w:sz w:val="28"/>
          <w:szCs w:val="28"/>
        </w:rPr>
      </w:pPr>
    </w:p>
    <w:p w:rsidR="006A0427" w:rsidRPr="0065286A" w:rsidRDefault="00237961">
      <w:pPr>
        <w:spacing w:after="120"/>
        <w:ind w:left="1814"/>
        <w:jc w:val="both"/>
        <w:rPr>
          <w:rFonts w:ascii="Arial" w:hAnsi="Arial" w:cs="Arial"/>
          <w:bCs/>
          <w:color w:val="808080"/>
          <w:sz w:val="28"/>
          <w:szCs w:val="28"/>
        </w:rPr>
      </w:pPr>
      <w:r>
        <w:rPr>
          <w:rFonts w:ascii="Arial" w:hAnsi="Arial" w:cs="Arial"/>
          <w:bCs/>
          <w:color w:val="808080"/>
          <w:sz w:val="28"/>
          <w:szCs w:val="28"/>
        </w:rPr>
        <w:t xml:space="preserve">Base di calcolo </w:t>
      </w:r>
      <w:r w:rsidR="002B07EA">
        <w:rPr>
          <w:rFonts w:ascii="Arial" w:hAnsi="Arial" w:cs="Arial"/>
          <w:bCs/>
          <w:color w:val="808080"/>
          <w:sz w:val="28"/>
          <w:szCs w:val="28"/>
        </w:rPr>
        <w:t xml:space="preserve">Dicembre </w:t>
      </w:r>
      <w:r>
        <w:rPr>
          <w:rFonts w:ascii="Arial" w:hAnsi="Arial" w:cs="Arial"/>
          <w:bCs/>
          <w:color w:val="808080"/>
          <w:sz w:val="28"/>
          <w:szCs w:val="28"/>
        </w:rPr>
        <w:t>2013</w:t>
      </w:r>
    </w:p>
    <w:p w:rsidR="007C62E8" w:rsidRDefault="007C62E8" w:rsidP="0065286A">
      <w:pPr>
        <w:spacing w:after="120"/>
        <w:ind w:left="1814"/>
        <w:jc w:val="both"/>
        <w:rPr>
          <w:rFonts w:ascii="Arial" w:hAnsi="Arial" w:cs="Arial"/>
          <w:bCs/>
          <w:sz w:val="18"/>
          <w:szCs w:val="18"/>
        </w:rPr>
      </w:pPr>
    </w:p>
    <w:p w:rsidR="00FF444C" w:rsidRPr="00FE289C" w:rsidRDefault="00FF444C" w:rsidP="0065286A">
      <w:pPr>
        <w:spacing w:after="120"/>
        <w:ind w:left="1814"/>
        <w:jc w:val="both"/>
        <w:rPr>
          <w:rFonts w:ascii="Arial" w:hAnsi="Arial" w:cs="Arial"/>
          <w:bCs/>
          <w:sz w:val="18"/>
          <w:szCs w:val="18"/>
        </w:rPr>
      </w:pPr>
    </w:p>
    <w:p w:rsidR="006A0427" w:rsidRDefault="006A0427">
      <w:pPr>
        <w:spacing w:after="120"/>
        <w:ind w:left="1814"/>
        <w:jc w:val="both"/>
        <w:rPr>
          <w:rFonts w:ascii="Arial" w:hAnsi="Arial" w:cs="Arial"/>
          <w:sz w:val="20"/>
          <w:szCs w:val="20"/>
        </w:rPr>
      </w:pPr>
    </w:p>
    <w:p w:rsidR="00FE289C" w:rsidRDefault="00FE289C">
      <w:pPr>
        <w:spacing w:after="120"/>
        <w:ind w:left="1814"/>
        <w:jc w:val="both"/>
        <w:rPr>
          <w:rFonts w:ascii="Arial" w:hAnsi="Arial" w:cs="Arial"/>
          <w:sz w:val="20"/>
          <w:szCs w:val="20"/>
        </w:rPr>
        <w:sectPr w:rsidR="00FE289C" w:rsidSect="00152802">
          <w:headerReference w:type="default" r:id="rId10"/>
          <w:footerReference w:type="even" r:id="rId11"/>
          <w:footerReference w:type="default" r:id="rId12"/>
          <w:pgSz w:w="11906" w:h="16838" w:code="9"/>
          <w:pgMar w:top="567" w:right="680" w:bottom="680" w:left="680" w:header="720" w:footer="720" w:gutter="0"/>
          <w:pgNumType w:start="2"/>
          <w:cols w:space="708"/>
          <w:titlePg/>
          <w:docGrid w:linePitch="360"/>
        </w:sectPr>
      </w:pPr>
    </w:p>
    <w:p w:rsidR="00431C69" w:rsidRPr="009C314B" w:rsidRDefault="006810FD" w:rsidP="00EA3EFE">
      <w:pPr>
        <w:numPr>
          <w:ilvl w:val="0"/>
          <w:numId w:val="2"/>
        </w:numPr>
        <w:spacing w:after="120"/>
        <w:jc w:val="both"/>
        <w:rPr>
          <w:rFonts w:ascii="Arial" w:hAnsi="Arial" w:cs="Arial"/>
          <w:color w:val="000000"/>
          <w:spacing w:val="-4"/>
          <w:sz w:val="20"/>
          <w:szCs w:val="20"/>
        </w:rPr>
      </w:pPr>
      <w:r>
        <w:rPr>
          <w:rFonts w:ascii="Arial" w:hAnsi="Arial" w:cs="Arial"/>
          <w:spacing w:val="-4"/>
          <w:sz w:val="20"/>
          <w:szCs w:val="20"/>
        </w:rPr>
        <w:lastRenderedPageBreak/>
        <w:t>A partire da marzo 2014</w:t>
      </w:r>
      <w:r w:rsidR="00431C69" w:rsidRPr="009C314B">
        <w:rPr>
          <w:rFonts w:ascii="Arial" w:hAnsi="Arial" w:cs="Arial"/>
          <w:spacing w:val="-4"/>
          <w:sz w:val="20"/>
          <w:szCs w:val="20"/>
        </w:rPr>
        <w:t>, con la diffusione dei dati riferiti a gennaio, gli indici dei prezzi alla produzione dei prodotti industriali</w:t>
      </w:r>
      <w:r w:rsidR="00431C69">
        <w:rPr>
          <w:rFonts w:ascii="Arial" w:hAnsi="Arial" w:cs="Arial"/>
          <w:spacing w:val="-4"/>
          <w:sz w:val="20"/>
          <w:szCs w:val="20"/>
        </w:rPr>
        <w:t xml:space="preserve"> sono calcolati nella nuova base Dicembre 2013. La base di riferimento, in linea con gli altri indicatori congiunturali, </w:t>
      </w:r>
      <w:r w:rsidR="00EA3EFE">
        <w:rPr>
          <w:rFonts w:ascii="Arial" w:hAnsi="Arial" w:cs="Arial"/>
          <w:spacing w:val="-4"/>
          <w:sz w:val="20"/>
          <w:szCs w:val="20"/>
        </w:rPr>
        <w:t>resta</w:t>
      </w:r>
      <w:r w:rsidR="00431C69">
        <w:rPr>
          <w:rFonts w:ascii="Arial" w:hAnsi="Arial" w:cs="Arial"/>
          <w:spacing w:val="-4"/>
          <w:sz w:val="20"/>
          <w:szCs w:val="20"/>
        </w:rPr>
        <w:t xml:space="preserve"> l’anno 2010.</w:t>
      </w:r>
      <w:r w:rsidR="00431C69" w:rsidRPr="009C314B">
        <w:rPr>
          <w:rFonts w:ascii="Arial" w:hAnsi="Arial" w:cs="Arial"/>
          <w:color w:val="000000"/>
          <w:spacing w:val="-4"/>
          <w:sz w:val="20"/>
          <w:szCs w:val="20"/>
        </w:rPr>
        <w:t xml:space="preserve"> </w:t>
      </w:r>
    </w:p>
    <w:p w:rsidR="0096665B" w:rsidRPr="00597C75" w:rsidRDefault="006C5FEF" w:rsidP="00EA3EFE">
      <w:pPr>
        <w:pStyle w:val="Intestazione"/>
        <w:numPr>
          <w:ilvl w:val="0"/>
          <w:numId w:val="2"/>
        </w:numPr>
        <w:tabs>
          <w:tab w:val="clear" w:pos="4819"/>
          <w:tab w:val="clear" w:pos="9638"/>
        </w:tabs>
        <w:spacing w:after="120"/>
        <w:rPr>
          <w:rFonts w:ascii="Arial" w:hAnsi="Arial" w:cs="Arial"/>
          <w:sz w:val="20"/>
          <w:szCs w:val="20"/>
        </w:rPr>
      </w:pPr>
      <w:r>
        <w:rPr>
          <w:rFonts w:ascii="Arial" w:hAnsi="Arial" w:cs="Arial"/>
          <w:spacing w:val="-4"/>
          <w:sz w:val="20"/>
          <w:szCs w:val="20"/>
        </w:rPr>
        <w:t>L’aggiornamento annuale della base di calcolo consente di effettuare – pur nei limiti imposti dalle esigenze informative proprie dell’indagine statistica – una rotazione delle unità rispondenti pari a circa il 10% ogni anno. Le imprese escluse potrebbero rientrare nella rilevazione in un momento successivo. Contestualmente, vengono aggiornati il paniere dei prodotti e la struttura di ponderazione degli indici</w:t>
      </w:r>
      <w:r w:rsidR="004F5AC5">
        <w:rPr>
          <w:rFonts w:ascii="Arial" w:hAnsi="Arial" w:cs="Arial"/>
          <w:spacing w:val="-4"/>
          <w:sz w:val="20"/>
          <w:szCs w:val="20"/>
        </w:rPr>
        <w:t>.</w:t>
      </w:r>
    </w:p>
    <w:p w:rsidR="0096665B" w:rsidRPr="005957B3" w:rsidRDefault="00A64C2E" w:rsidP="00EA3EFE">
      <w:pPr>
        <w:pStyle w:val="Intestazione"/>
        <w:numPr>
          <w:ilvl w:val="0"/>
          <w:numId w:val="2"/>
        </w:numPr>
        <w:tabs>
          <w:tab w:val="clear" w:pos="4819"/>
          <w:tab w:val="clear" w:pos="9638"/>
        </w:tabs>
        <w:spacing w:after="120"/>
        <w:rPr>
          <w:rFonts w:ascii="Arial" w:hAnsi="Arial" w:cs="Arial"/>
          <w:sz w:val="20"/>
          <w:szCs w:val="20"/>
        </w:rPr>
      </w:pPr>
      <w:r>
        <w:rPr>
          <w:rFonts w:ascii="Arial" w:hAnsi="Arial" w:cs="Arial"/>
          <w:bCs/>
          <w:spacing w:val="-4"/>
          <w:sz w:val="20"/>
          <w:szCs w:val="20"/>
        </w:rPr>
        <w:t>Con riguardo al mercato interno, il saldo netto tra i nuovi prodotti della base Dicembre 20</w:t>
      </w:r>
      <w:r w:rsidR="007167D6">
        <w:rPr>
          <w:rFonts w:ascii="Arial" w:hAnsi="Arial" w:cs="Arial"/>
          <w:bCs/>
          <w:spacing w:val="-4"/>
          <w:sz w:val="20"/>
          <w:szCs w:val="20"/>
        </w:rPr>
        <w:t>13 e quelli esclusi è negativo</w:t>
      </w:r>
      <w:r>
        <w:rPr>
          <w:rFonts w:ascii="Arial" w:hAnsi="Arial" w:cs="Arial"/>
          <w:bCs/>
          <w:spacing w:val="-4"/>
          <w:sz w:val="20"/>
          <w:szCs w:val="20"/>
        </w:rPr>
        <w:t xml:space="preserve"> e pari </w:t>
      </w:r>
      <w:r w:rsidRPr="005957B3">
        <w:rPr>
          <w:rFonts w:ascii="Arial" w:hAnsi="Arial" w:cs="Arial"/>
          <w:bCs/>
          <w:spacing w:val="-4"/>
          <w:sz w:val="20"/>
          <w:szCs w:val="20"/>
        </w:rPr>
        <w:t xml:space="preserve">al </w:t>
      </w:r>
      <w:r w:rsidR="007167D6" w:rsidRPr="005957B3">
        <w:rPr>
          <w:rFonts w:ascii="Arial" w:hAnsi="Arial" w:cs="Arial"/>
          <w:bCs/>
          <w:spacing w:val="-4"/>
          <w:sz w:val="20"/>
          <w:szCs w:val="20"/>
        </w:rPr>
        <w:t>-1,9</w:t>
      </w:r>
      <w:r w:rsidRPr="005957B3">
        <w:rPr>
          <w:rFonts w:ascii="Arial" w:hAnsi="Arial" w:cs="Arial"/>
          <w:bCs/>
          <w:spacing w:val="-4"/>
          <w:sz w:val="20"/>
          <w:szCs w:val="20"/>
        </w:rPr>
        <w:t xml:space="preserve">%; il saldo è </w:t>
      </w:r>
      <w:r w:rsidR="007167D6" w:rsidRPr="005957B3">
        <w:rPr>
          <w:rFonts w:ascii="Arial" w:hAnsi="Arial" w:cs="Arial"/>
          <w:bCs/>
          <w:spacing w:val="-4"/>
          <w:sz w:val="20"/>
          <w:szCs w:val="20"/>
        </w:rPr>
        <w:t xml:space="preserve">negativo </w:t>
      </w:r>
      <w:r w:rsidR="00787CD3" w:rsidRPr="005957B3">
        <w:rPr>
          <w:rFonts w:ascii="Arial" w:hAnsi="Arial" w:cs="Arial"/>
          <w:bCs/>
          <w:spacing w:val="-4"/>
          <w:sz w:val="20"/>
          <w:szCs w:val="20"/>
        </w:rPr>
        <w:t>(</w:t>
      </w:r>
      <w:r w:rsidRPr="005957B3">
        <w:rPr>
          <w:rFonts w:ascii="Arial" w:hAnsi="Arial" w:cs="Arial"/>
          <w:bCs/>
          <w:spacing w:val="-4"/>
          <w:sz w:val="20"/>
          <w:szCs w:val="20"/>
        </w:rPr>
        <w:t xml:space="preserve">e pari a </w:t>
      </w:r>
      <w:r w:rsidR="007167D6" w:rsidRPr="005957B3">
        <w:rPr>
          <w:rFonts w:ascii="Arial" w:hAnsi="Arial" w:cs="Arial"/>
          <w:bCs/>
          <w:spacing w:val="-4"/>
          <w:sz w:val="20"/>
          <w:szCs w:val="20"/>
        </w:rPr>
        <w:t>-1,4%</w:t>
      </w:r>
      <w:r w:rsidR="00787CD3" w:rsidRPr="005957B3">
        <w:rPr>
          <w:rFonts w:ascii="Arial" w:hAnsi="Arial" w:cs="Arial"/>
          <w:bCs/>
          <w:spacing w:val="-4"/>
          <w:sz w:val="20"/>
          <w:szCs w:val="20"/>
        </w:rPr>
        <w:t>)</w:t>
      </w:r>
      <w:r w:rsidR="007167D6" w:rsidRPr="005957B3">
        <w:rPr>
          <w:rFonts w:ascii="Arial" w:hAnsi="Arial" w:cs="Arial"/>
          <w:bCs/>
          <w:spacing w:val="-4"/>
          <w:sz w:val="20"/>
          <w:szCs w:val="20"/>
        </w:rPr>
        <w:t xml:space="preserve"> </w:t>
      </w:r>
      <w:r w:rsidRPr="005957B3">
        <w:rPr>
          <w:rFonts w:ascii="Arial" w:hAnsi="Arial" w:cs="Arial"/>
          <w:bCs/>
          <w:spacing w:val="-4"/>
          <w:sz w:val="20"/>
          <w:szCs w:val="20"/>
        </w:rPr>
        <w:t>anche per il numero di quotazioni di prezzo e per le unità rispondenti</w:t>
      </w:r>
      <w:r w:rsidR="007167D6" w:rsidRPr="005957B3">
        <w:rPr>
          <w:rFonts w:ascii="Arial" w:hAnsi="Arial" w:cs="Arial"/>
          <w:bCs/>
          <w:spacing w:val="-4"/>
          <w:sz w:val="20"/>
          <w:szCs w:val="20"/>
        </w:rPr>
        <w:t xml:space="preserve"> </w:t>
      </w:r>
      <w:r w:rsidR="00787CD3" w:rsidRPr="005957B3">
        <w:rPr>
          <w:rFonts w:ascii="Arial" w:hAnsi="Arial" w:cs="Arial"/>
          <w:bCs/>
          <w:spacing w:val="-4"/>
          <w:sz w:val="20"/>
          <w:szCs w:val="20"/>
        </w:rPr>
        <w:t>(</w:t>
      </w:r>
      <w:r w:rsidR="007167D6" w:rsidRPr="005957B3">
        <w:rPr>
          <w:rFonts w:ascii="Arial" w:hAnsi="Arial" w:cs="Arial"/>
          <w:bCs/>
          <w:spacing w:val="-4"/>
          <w:sz w:val="20"/>
          <w:szCs w:val="20"/>
        </w:rPr>
        <w:t>-0,4%</w:t>
      </w:r>
      <w:r w:rsidR="00787CD3" w:rsidRPr="005957B3">
        <w:rPr>
          <w:rFonts w:ascii="Arial" w:hAnsi="Arial" w:cs="Arial"/>
          <w:bCs/>
          <w:spacing w:val="-4"/>
          <w:sz w:val="20"/>
          <w:szCs w:val="20"/>
        </w:rPr>
        <w:t>)</w:t>
      </w:r>
      <w:r w:rsidRPr="005957B3">
        <w:rPr>
          <w:rFonts w:ascii="Arial" w:hAnsi="Arial" w:cs="Arial"/>
          <w:bCs/>
          <w:spacing w:val="-4"/>
          <w:sz w:val="20"/>
          <w:szCs w:val="20"/>
        </w:rPr>
        <w:t xml:space="preserve">. Il </w:t>
      </w:r>
      <w:r w:rsidR="00A41D95" w:rsidRPr="005957B3">
        <w:rPr>
          <w:rFonts w:ascii="Arial" w:hAnsi="Arial" w:cs="Arial"/>
          <w:bCs/>
          <w:spacing w:val="-4"/>
          <w:sz w:val="20"/>
          <w:szCs w:val="20"/>
        </w:rPr>
        <w:t>5</w:t>
      </w:r>
      <w:r w:rsidR="00987562">
        <w:rPr>
          <w:rFonts w:ascii="Arial" w:hAnsi="Arial" w:cs="Arial"/>
          <w:bCs/>
          <w:spacing w:val="-4"/>
          <w:sz w:val="20"/>
          <w:szCs w:val="20"/>
        </w:rPr>
        <w:t>9</w:t>
      </w:r>
      <w:r w:rsidRPr="005957B3">
        <w:rPr>
          <w:rFonts w:ascii="Arial" w:hAnsi="Arial" w:cs="Arial"/>
          <w:bCs/>
          <w:spacing w:val="-4"/>
          <w:sz w:val="20"/>
          <w:szCs w:val="20"/>
        </w:rPr>
        <w:t>% delle imprese in uscita dalla base di calcolo precedente è stato sostituito per rotazione</w:t>
      </w:r>
      <w:r w:rsidR="00160EFA" w:rsidRPr="005957B3">
        <w:rPr>
          <w:rFonts w:ascii="Arial" w:hAnsi="Arial" w:cs="Arial"/>
          <w:bCs/>
          <w:spacing w:val="-4"/>
          <w:sz w:val="20"/>
          <w:szCs w:val="20"/>
        </w:rPr>
        <w:t>.</w:t>
      </w:r>
    </w:p>
    <w:p w:rsidR="00160EFA" w:rsidRPr="005957B3" w:rsidRDefault="00160EFA" w:rsidP="00EA3EFE">
      <w:pPr>
        <w:pStyle w:val="Intestazione"/>
        <w:numPr>
          <w:ilvl w:val="0"/>
          <w:numId w:val="2"/>
        </w:numPr>
        <w:tabs>
          <w:tab w:val="clear" w:pos="4819"/>
          <w:tab w:val="clear" w:pos="9638"/>
        </w:tabs>
        <w:spacing w:after="120"/>
        <w:rPr>
          <w:rFonts w:ascii="Arial" w:hAnsi="Arial" w:cs="Arial"/>
          <w:sz w:val="20"/>
          <w:szCs w:val="20"/>
        </w:rPr>
      </w:pPr>
      <w:r w:rsidRPr="005957B3">
        <w:rPr>
          <w:rFonts w:ascii="Arial" w:hAnsi="Arial" w:cs="Arial"/>
          <w:bCs/>
          <w:spacing w:val="-4"/>
          <w:sz w:val="20"/>
          <w:szCs w:val="20"/>
        </w:rPr>
        <w:t xml:space="preserve">Per il mercato estero, il saldo netto tra i nuovi prodotti della base Dicembre 2013 e quelli esclusi è </w:t>
      </w:r>
      <w:r w:rsidR="00A41D95" w:rsidRPr="005957B3">
        <w:rPr>
          <w:rFonts w:ascii="Arial" w:hAnsi="Arial" w:cs="Arial"/>
          <w:bCs/>
          <w:spacing w:val="-4"/>
          <w:sz w:val="20"/>
          <w:szCs w:val="20"/>
        </w:rPr>
        <w:t>negativo</w:t>
      </w:r>
      <w:r w:rsidRPr="005957B3">
        <w:rPr>
          <w:rFonts w:ascii="Arial" w:hAnsi="Arial" w:cs="Arial"/>
          <w:bCs/>
          <w:spacing w:val="-4"/>
          <w:sz w:val="20"/>
          <w:szCs w:val="20"/>
        </w:rPr>
        <w:t xml:space="preserve"> </w:t>
      </w:r>
      <w:r w:rsidR="00787CD3" w:rsidRPr="005957B3">
        <w:rPr>
          <w:rFonts w:ascii="Arial" w:hAnsi="Arial" w:cs="Arial"/>
          <w:bCs/>
          <w:spacing w:val="-4"/>
          <w:sz w:val="20"/>
          <w:szCs w:val="20"/>
        </w:rPr>
        <w:t>(</w:t>
      </w:r>
      <w:r w:rsidRPr="005957B3">
        <w:rPr>
          <w:rFonts w:ascii="Arial" w:hAnsi="Arial" w:cs="Arial"/>
          <w:bCs/>
          <w:spacing w:val="-4"/>
          <w:sz w:val="20"/>
          <w:szCs w:val="20"/>
        </w:rPr>
        <w:t xml:space="preserve">e pari al </w:t>
      </w:r>
      <w:r w:rsidR="00A41D95" w:rsidRPr="005957B3">
        <w:rPr>
          <w:rFonts w:ascii="Arial" w:hAnsi="Arial" w:cs="Arial"/>
          <w:bCs/>
          <w:spacing w:val="-4"/>
          <w:sz w:val="20"/>
          <w:szCs w:val="20"/>
        </w:rPr>
        <w:t>-</w:t>
      </w:r>
      <w:r w:rsidR="004F5AC5">
        <w:rPr>
          <w:rFonts w:ascii="Arial" w:hAnsi="Arial" w:cs="Arial"/>
          <w:bCs/>
          <w:spacing w:val="-4"/>
          <w:sz w:val="20"/>
          <w:szCs w:val="20"/>
        </w:rPr>
        <w:t>0,4</w:t>
      </w:r>
      <w:r w:rsidRPr="005957B3">
        <w:rPr>
          <w:rFonts w:ascii="Arial" w:hAnsi="Arial" w:cs="Arial"/>
          <w:bCs/>
          <w:spacing w:val="-4"/>
          <w:sz w:val="20"/>
          <w:szCs w:val="20"/>
        </w:rPr>
        <w:t>%</w:t>
      </w:r>
      <w:r w:rsidR="00787CD3" w:rsidRPr="005957B3">
        <w:rPr>
          <w:rFonts w:ascii="Arial" w:hAnsi="Arial" w:cs="Arial"/>
          <w:bCs/>
          <w:spacing w:val="-4"/>
          <w:sz w:val="20"/>
          <w:szCs w:val="20"/>
        </w:rPr>
        <w:t>)</w:t>
      </w:r>
      <w:r w:rsidRPr="005957B3">
        <w:rPr>
          <w:rFonts w:ascii="Arial" w:hAnsi="Arial" w:cs="Arial"/>
          <w:bCs/>
          <w:spacing w:val="-4"/>
          <w:sz w:val="20"/>
          <w:szCs w:val="20"/>
        </w:rPr>
        <w:t xml:space="preserve">; il saldo è positivo </w:t>
      </w:r>
      <w:r w:rsidR="00787CD3" w:rsidRPr="005957B3">
        <w:rPr>
          <w:rFonts w:ascii="Arial" w:hAnsi="Arial" w:cs="Arial"/>
          <w:bCs/>
          <w:spacing w:val="-4"/>
          <w:sz w:val="20"/>
          <w:szCs w:val="20"/>
        </w:rPr>
        <w:t>(</w:t>
      </w:r>
      <w:r w:rsidRPr="005957B3">
        <w:rPr>
          <w:rFonts w:ascii="Arial" w:hAnsi="Arial" w:cs="Arial"/>
          <w:bCs/>
          <w:spacing w:val="-4"/>
          <w:sz w:val="20"/>
          <w:szCs w:val="20"/>
        </w:rPr>
        <w:t xml:space="preserve">e pari a </w:t>
      </w:r>
      <w:r w:rsidR="001643E0">
        <w:rPr>
          <w:rFonts w:ascii="Arial" w:hAnsi="Arial" w:cs="Arial"/>
          <w:bCs/>
          <w:spacing w:val="-4"/>
          <w:sz w:val="20"/>
          <w:szCs w:val="20"/>
        </w:rPr>
        <w:t>+0,</w:t>
      </w:r>
      <w:r w:rsidR="00A41D95" w:rsidRPr="005957B3">
        <w:rPr>
          <w:rFonts w:ascii="Arial" w:hAnsi="Arial" w:cs="Arial"/>
          <w:bCs/>
          <w:spacing w:val="-4"/>
          <w:sz w:val="20"/>
          <w:szCs w:val="20"/>
        </w:rPr>
        <w:t>8</w:t>
      </w:r>
      <w:r w:rsidRPr="005957B3">
        <w:rPr>
          <w:rFonts w:ascii="Arial" w:hAnsi="Arial" w:cs="Arial"/>
          <w:bCs/>
          <w:spacing w:val="-4"/>
          <w:sz w:val="20"/>
          <w:szCs w:val="20"/>
        </w:rPr>
        <w:t xml:space="preserve">%) per il numero di quotazioni di prezzo e per le unità rispondenti </w:t>
      </w:r>
      <w:r w:rsidR="00787CD3" w:rsidRPr="005957B3">
        <w:rPr>
          <w:rFonts w:ascii="Arial" w:hAnsi="Arial" w:cs="Arial"/>
          <w:bCs/>
          <w:spacing w:val="-4"/>
          <w:sz w:val="20"/>
          <w:szCs w:val="20"/>
        </w:rPr>
        <w:t>(</w:t>
      </w:r>
      <w:r w:rsidR="00A41D95" w:rsidRPr="005957B3">
        <w:rPr>
          <w:rFonts w:ascii="Arial" w:hAnsi="Arial" w:cs="Arial"/>
          <w:bCs/>
          <w:spacing w:val="-4"/>
          <w:sz w:val="20"/>
          <w:szCs w:val="20"/>
        </w:rPr>
        <w:t>+4,5</w:t>
      </w:r>
      <w:r w:rsidRPr="005957B3">
        <w:rPr>
          <w:rFonts w:ascii="Arial" w:hAnsi="Arial" w:cs="Arial"/>
          <w:bCs/>
          <w:spacing w:val="-4"/>
          <w:sz w:val="20"/>
          <w:szCs w:val="20"/>
        </w:rPr>
        <w:t xml:space="preserve">%). Il </w:t>
      </w:r>
      <w:r w:rsidR="00690734">
        <w:rPr>
          <w:rFonts w:ascii="Arial" w:hAnsi="Arial" w:cs="Arial"/>
          <w:bCs/>
          <w:spacing w:val="-4"/>
          <w:sz w:val="20"/>
          <w:szCs w:val="20"/>
        </w:rPr>
        <w:t>51</w:t>
      </w:r>
      <w:r w:rsidRPr="005957B3">
        <w:rPr>
          <w:rFonts w:ascii="Arial" w:hAnsi="Arial" w:cs="Arial"/>
          <w:bCs/>
          <w:spacing w:val="-4"/>
          <w:sz w:val="20"/>
          <w:szCs w:val="20"/>
        </w:rPr>
        <w:t>% delle imprese in uscita dalla base di calcolo precedente è stato sostituito per rotazione.</w:t>
      </w:r>
    </w:p>
    <w:p w:rsidR="001B4B1B" w:rsidRPr="00513350" w:rsidRDefault="00FF6BBE" w:rsidP="00EA3EFE">
      <w:pPr>
        <w:pStyle w:val="Intestazione"/>
        <w:numPr>
          <w:ilvl w:val="0"/>
          <w:numId w:val="2"/>
        </w:numPr>
        <w:tabs>
          <w:tab w:val="clear" w:pos="4819"/>
          <w:tab w:val="clear" w:pos="9638"/>
        </w:tabs>
        <w:spacing w:after="120"/>
        <w:rPr>
          <w:rFonts w:ascii="Arial" w:hAnsi="Arial" w:cs="Arial"/>
          <w:sz w:val="20"/>
          <w:szCs w:val="20"/>
        </w:rPr>
      </w:pPr>
      <w:r w:rsidRPr="005957B3">
        <w:rPr>
          <w:rFonts w:ascii="Arial" w:hAnsi="Arial" w:cs="Arial"/>
          <w:sz w:val="20"/>
          <w:szCs w:val="20"/>
        </w:rPr>
        <w:t xml:space="preserve">Complessivamente, per l’indice totale, </w:t>
      </w:r>
      <w:r w:rsidRPr="005957B3">
        <w:rPr>
          <w:rFonts w:ascii="Arial" w:hAnsi="Arial" w:cs="Arial"/>
          <w:bCs/>
          <w:spacing w:val="-4"/>
          <w:sz w:val="20"/>
          <w:szCs w:val="20"/>
        </w:rPr>
        <w:t>il saldo netto tra i nuovi prodotti della base Dicembre 20</w:t>
      </w:r>
      <w:r w:rsidR="00787CD3" w:rsidRPr="005957B3">
        <w:rPr>
          <w:rFonts w:ascii="Arial" w:hAnsi="Arial" w:cs="Arial"/>
          <w:bCs/>
          <w:spacing w:val="-4"/>
          <w:sz w:val="20"/>
          <w:szCs w:val="20"/>
        </w:rPr>
        <w:t xml:space="preserve">13 e quelli esclusi è </w:t>
      </w:r>
      <w:r w:rsidR="00EA3EFE">
        <w:rPr>
          <w:rFonts w:ascii="Arial" w:hAnsi="Arial" w:cs="Arial"/>
          <w:bCs/>
          <w:spacing w:val="-4"/>
          <w:sz w:val="20"/>
          <w:szCs w:val="20"/>
        </w:rPr>
        <w:t>negativo</w:t>
      </w:r>
      <w:r w:rsidRPr="005957B3">
        <w:rPr>
          <w:rFonts w:ascii="Arial" w:hAnsi="Arial" w:cs="Arial"/>
          <w:bCs/>
          <w:spacing w:val="-4"/>
          <w:sz w:val="20"/>
          <w:szCs w:val="20"/>
        </w:rPr>
        <w:t xml:space="preserve"> e pari al </w:t>
      </w:r>
      <w:r w:rsidR="00787CD3" w:rsidRPr="005957B3">
        <w:rPr>
          <w:rFonts w:ascii="Arial" w:hAnsi="Arial" w:cs="Arial"/>
          <w:bCs/>
          <w:spacing w:val="-4"/>
          <w:sz w:val="20"/>
          <w:szCs w:val="20"/>
        </w:rPr>
        <w:t>-1,9</w:t>
      </w:r>
      <w:r w:rsidRPr="005957B3">
        <w:rPr>
          <w:rFonts w:ascii="Arial" w:hAnsi="Arial" w:cs="Arial"/>
          <w:bCs/>
          <w:spacing w:val="-4"/>
          <w:sz w:val="20"/>
          <w:szCs w:val="20"/>
        </w:rPr>
        <w:t xml:space="preserve">%; il saldo è </w:t>
      </w:r>
      <w:r w:rsidR="00787CD3" w:rsidRPr="005957B3">
        <w:rPr>
          <w:rFonts w:ascii="Arial" w:hAnsi="Arial" w:cs="Arial"/>
          <w:bCs/>
          <w:spacing w:val="-4"/>
          <w:sz w:val="20"/>
          <w:szCs w:val="20"/>
        </w:rPr>
        <w:t>negativo</w:t>
      </w:r>
      <w:r w:rsidRPr="005957B3">
        <w:rPr>
          <w:rFonts w:ascii="Arial" w:hAnsi="Arial" w:cs="Arial"/>
          <w:bCs/>
          <w:spacing w:val="-4"/>
          <w:sz w:val="20"/>
          <w:szCs w:val="20"/>
        </w:rPr>
        <w:t xml:space="preserve"> (e pari a </w:t>
      </w:r>
      <w:r w:rsidR="00787CD3" w:rsidRPr="005957B3">
        <w:rPr>
          <w:rFonts w:ascii="Arial" w:hAnsi="Arial" w:cs="Arial"/>
          <w:bCs/>
          <w:spacing w:val="-4"/>
          <w:sz w:val="20"/>
          <w:szCs w:val="20"/>
        </w:rPr>
        <w:t>-0,4</w:t>
      </w:r>
      <w:r w:rsidRPr="005957B3">
        <w:rPr>
          <w:rFonts w:ascii="Arial" w:hAnsi="Arial" w:cs="Arial"/>
          <w:bCs/>
          <w:spacing w:val="-4"/>
          <w:sz w:val="20"/>
          <w:szCs w:val="20"/>
        </w:rPr>
        <w:t xml:space="preserve">%) anche per il numero di quotazioni di prezzo e </w:t>
      </w:r>
      <w:r w:rsidR="00787CD3" w:rsidRPr="005957B3">
        <w:rPr>
          <w:rFonts w:ascii="Arial" w:hAnsi="Arial" w:cs="Arial"/>
          <w:bCs/>
          <w:spacing w:val="-4"/>
          <w:sz w:val="20"/>
          <w:szCs w:val="20"/>
        </w:rPr>
        <w:t xml:space="preserve">positivo </w:t>
      </w:r>
      <w:r w:rsidRPr="005957B3">
        <w:rPr>
          <w:rFonts w:ascii="Arial" w:hAnsi="Arial" w:cs="Arial"/>
          <w:bCs/>
          <w:spacing w:val="-4"/>
          <w:sz w:val="20"/>
          <w:szCs w:val="20"/>
        </w:rPr>
        <w:t xml:space="preserve">per le unità rispondenti </w:t>
      </w:r>
      <w:r w:rsidR="00F6613D">
        <w:rPr>
          <w:rFonts w:ascii="Arial" w:hAnsi="Arial" w:cs="Arial"/>
          <w:bCs/>
          <w:spacing w:val="-4"/>
          <w:sz w:val="20"/>
          <w:szCs w:val="20"/>
        </w:rPr>
        <w:t>(</w:t>
      </w:r>
      <w:r w:rsidR="00787CD3" w:rsidRPr="005957B3">
        <w:rPr>
          <w:rFonts w:ascii="Arial" w:hAnsi="Arial" w:cs="Arial"/>
          <w:bCs/>
          <w:spacing w:val="-4"/>
          <w:sz w:val="20"/>
          <w:szCs w:val="20"/>
        </w:rPr>
        <w:t>+1,9</w:t>
      </w:r>
      <w:r w:rsidRPr="005957B3">
        <w:rPr>
          <w:rFonts w:ascii="Arial" w:hAnsi="Arial" w:cs="Arial"/>
          <w:bCs/>
          <w:spacing w:val="-4"/>
          <w:sz w:val="20"/>
          <w:szCs w:val="20"/>
        </w:rPr>
        <w:t>%).</w:t>
      </w:r>
      <w:r>
        <w:rPr>
          <w:rFonts w:ascii="Arial" w:hAnsi="Arial" w:cs="Arial"/>
          <w:bCs/>
          <w:spacing w:val="-4"/>
          <w:sz w:val="20"/>
          <w:szCs w:val="20"/>
        </w:rPr>
        <w:t xml:space="preserve"> </w:t>
      </w:r>
    </w:p>
    <w:p w:rsidR="007C62E8" w:rsidRDefault="00DF121B" w:rsidP="00EA3EFE">
      <w:pPr>
        <w:numPr>
          <w:ilvl w:val="0"/>
          <w:numId w:val="2"/>
        </w:numPr>
        <w:spacing w:after="120"/>
        <w:jc w:val="both"/>
        <w:rPr>
          <w:rFonts w:ascii="Arial" w:hAnsi="Arial" w:cs="Arial"/>
          <w:bCs/>
          <w:spacing w:val="-4"/>
          <w:sz w:val="20"/>
          <w:szCs w:val="20"/>
        </w:rPr>
      </w:pPr>
      <w:r>
        <w:rPr>
          <w:rFonts w:ascii="Arial" w:hAnsi="Arial" w:cs="Arial"/>
          <w:bCs/>
          <w:spacing w:val="-4"/>
          <w:sz w:val="20"/>
          <w:szCs w:val="20"/>
        </w:rPr>
        <w:t xml:space="preserve">Con riferimento alla struttura di ponderazione, per il mercato interno il confronto tra </w:t>
      </w:r>
      <w:r w:rsidR="007C62E8">
        <w:rPr>
          <w:rFonts w:ascii="Arial" w:hAnsi="Arial" w:cs="Arial"/>
          <w:bCs/>
          <w:spacing w:val="-4"/>
          <w:sz w:val="20"/>
          <w:szCs w:val="20"/>
        </w:rPr>
        <w:t>la base di calcolo Dicembre 2013</w:t>
      </w:r>
      <w:r>
        <w:rPr>
          <w:rFonts w:ascii="Arial" w:hAnsi="Arial" w:cs="Arial"/>
          <w:bCs/>
          <w:spacing w:val="-4"/>
          <w:sz w:val="20"/>
          <w:szCs w:val="20"/>
        </w:rPr>
        <w:t xml:space="preserve"> e quella precedente evidenzia un aumento dell’incidenza </w:t>
      </w:r>
      <w:r w:rsidR="0008307E">
        <w:rPr>
          <w:rFonts w:ascii="Arial" w:hAnsi="Arial" w:cs="Arial"/>
          <w:bCs/>
          <w:spacing w:val="-4"/>
          <w:sz w:val="20"/>
          <w:szCs w:val="20"/>
        </w:rPr>
        <w:t>dei Beni intermedi</w:t>
      </w:r>
      <w:r>
        <w:rPr>
          <w:rFonts w:ascii="Arial" w:hAnsi="Arial" w:cs="Arial"/>
          <w:bCs/>
          <w:spacing w:val="-4"/>
          <w:sz w:val="20"/>
          <w:szCs w:val="20"/>
        </w:rPr>
        <w:t xml:space="preserve"> </w:t>
      </w:r>
      <w:r w:rsidR="00A3318B">
        <w:rPr>
          <w:rFonts w:ascii="Arial" w:hAnsi="Arial" w:cs="Arial"/>
          <w:bCs/>
          <w:spacing w:val="-4"/>
          <w:sz w:val="20"/>
          <w:szCs w:val="20"/>
        </w:rPr>
        <w:t>(+0,</w:t>
      </w:r>
      <w:r w:rsidR="0008307E">
        <w:rPr>
          <w:rFonts w:ascii="Arial" w:hAnsi="Arial" w:cs="Arial"/>
          <w:bCs/>
          <w:spacing w:val="-4"/>
          <w:sz w:val="20"/>
          <w:szCs w:val="20"/>
        </w:rPr>
        <w:t>5</w:t>
      </w:r>
      <w:r w:rsidR="00A3318B">
        <w:rPr>
          <w:rFonts w:ascii="Arial" w:hAnsi="Arial" w:cs="Arial"/>
          <w:bCs/>
          <w:spacing w:val="-4"/>
          <w:sz w:val="20"/>
          <w:szCs w:val="20"/>
        </w:rPr>
        <w:t xml:space="preserve"> punti percentuali); </w:t>
      </w:r>
      <w:r w:rsidR="00A3318B">
        <w:rPr>
          <w:rFonts w:ascii="Arial" w:hAnsi="Arial" w:cs="Arial"/>
          <w:bCs/>
          <w:spacing w:val="-4"/>
          <w:sz w:val="20"/>
          <w:szCs w:val="20"/>
        </w:rPr>
        <w:lastRenderedPageBreak/>
        <w:t>all’opposto, i Beni strumentali</w:t>
      </w:r>
      <w:r>
        <w:rPr>
          <w:rFonts w:ascii="Arial" w:hAnsi="Arial" w:cs="Arial"/>
          <w:bCs/>
          <w:spacing w:val="-4"/>
          <w:sz w:val="20"/>
          <w:szCs w:val="20"/>
        </w:rPr>
        <w:t xml:space="preserve"> subiscono il calo</w:t>
      </w:r>
      <w:r w:rsidR="007C62E8">
        <w:rPr>
          <w:rFonts w:ascii="Arial" w:hAnsi="Arial" w:cs="Arial"/>
          <w:bCs/>
          <w:spacing w:val="-4"/>
          <w:sz w:val="20"/>
          <w:szCs w:val="20"/>
        </w:rPr>
        <w:t xml:space="preserve"> </w:t>
      </w:r>
      <w:r>
        <w:rPr>
          <w:rFonts w:ascii="Arial" w:hAnsi="Arial" w:cs="Arial"/>
          <w:bCs/>
          <w:spacing w:val="-4"/>
          <w:sz w:val="20"/>
          <w:szCs w:val="20"/>
        </w:rPr>
        <w:t xml:space="preserve">maggiore, pari </w:t>
      </w:r>
      <w:r w:rsidR="007C62E8">
        <w:rPr>
          <w:rFonts w:ascii="Arial" w:hAnsi="Arial" w:cs="Arial"/>
          <w:bCs/>
          <w:spacing w:val="-4"/>
          <w:sz w:val="20"/>
          <w:szCs w:val="20"/>
        </w:rPr>
        <w:t xml:space="preserve">a </w:t>
      </w:r>
      <w:r w:rsidR="00A3318B">
        <w:rPr>
          <w:rFonts w:ascii="Arial" w:hAnsi="Arial" w:cs="Arial"/>
          <w:bCs/>
          <w:spacing w:val="-4"/>
          <w:sz w:val="20"/>
          <w:szCs w:val="20"/>
        </w:rPr>
        <w:t>-</w:t>
      </w:r>
      <w:r w:rsidR="0008307E">
        <w:rPr>
          <w:rFonts w:ascii="Arial" w:hAnsi="Arial" w:cs="Arial"/>
          <w:bCs/>
          <w:spacing w:val="-4"/>
          <w:sz w:val="20"/>
          <w:szCs w:val="20"/>
        </w:rPr>
        <w:t>0,8</w:t>
      </w:r>
      <w:r w:rsidR="00A3318B">
        <w:rPr>
          <w:rFonts w:ascii="Arial" w:hAnsi="Arial" w:cs="Arial"/>
          <w:bCs/>
          <w:spacing w:val="-4"/>
          <w:sz w:val="20"/>
          <w:szCs w:val="20"/>
        </w:rPr>
        <w:t xml:space="preserve"> </w:t>
      </w:r>
      <w:r w:rsidR="007C62E8">
        <w:rPr>
          <w:rFonts w:ascii="Arial" w:hAnsi="Arial" w:cs="Arial"/>
          <w:bCs/>
          <w:spacing w:val="-4"/>
          <w:sz w:val="20"/>
          <w:szCs w:val="20"/>
        </w:rPr>
        <w:t>punti</w:t>
      </w:r>
      <w:r>
        <w:rPr>
          <w:rFonts w:ascii="Arial" w:hAnsi="Arial" w:cs="Arial"/>
          <w:bCs/>
          <w:spacing w:val="-4"/>
          <w:sz w:val="20"/>
          <w:szCs w:val="20"/>
        </w:rPr>
        <w:t xml:space="preserve"> percentuali.</w:t>
      </w:r>
    </w:p>
    <w:p w:rsidR="007C62E8" w:rsidRPr="009C314B" w:rsidRDefault="007C62E8" w:rsidP="00EA3EFE">
      <w:pPr>
        <w:numPr>
          <w:ilvl w:val="0"/>
          <w:numId w:val="2"/>
        </w:numPr>
        <w:spacing w:after="120"/>
        <w:jc w:val="both"/>
        <w:rPr>
          <w:rFonts w:ascii="Arial" w:hAnsi="Arial" w:cs="Arial"/>
          <w:bCs/>
          <w:spacing w:val="-4"/>
          <w:sz w:val="20"/>
          <w:szCs w:val="20"/>
        </w:rPr>
      </w:pPr>
      <w:r>
        <w:rPr>
          <w:rFonts w:ascii="Arial" w:hAnsi="Arial" w:cs="Arial"/>
          <w:bCs/>
          <w:spacing w:val="-4"/>
          <w:sz w:val="20"/>
          <w:szCs w:val="20"/>
        </w:rPr>
        <w:t xml:space="preserve">Per il mercato estero, il confronto tra la struttura ponderale della base di calcolo Dicembre 2013 e quella precedente evidenzia un aumento dell’incidenza </w:t>
      </w:r>
      <w:r w:rsidR="00A3318B">
        <w:rPr>
          <w:rFonts w:ascii="Arial" w:hAnsi="Arial" w:cs="Arial"/>
          <w:bCs/>
          <w:spacing w:val="-4"/>
          <w:sz w:val="20"/>
          <w:szCs w:val="20"/>
        </w:rPr>
        <w:t>dei Beni strumentali (+0,</w:t>
      </w:r>
      <w:r w:rsidR="0008307E">
        <w:rPr>
          <w:rFonts w:ascii="Arial" w:hAnsi="Arial" w:cs="Arial"/>
          <w:bCs/>
          <w:spacing w:val="-4"/>
          <w:sz w:val="20"/>
          <w:szCs w:val="20"/>
        </w:rPr>
        <w:t>8</w:t>
      </w:r>
      <w:r w:rsidR="00A3318B">
        <w:rPr>
          <w:rFonts w:ascii="Arial" w:hAnsi="Arial" w:cs="Arial"/>
          <w:bCs/>
          <w:spacing w:val="-4"/>
          <w:sz w:val="20"/>
          <w:szCs w:val="20"/>
        </w:rPr>
        <w:t xml:space="preserve"> punti percentuali)</w:t>
      </w:r>
      <w:r>
        <w:rPr>
          <w:rFonts w:ascii="Arial" w:hAnsi="Arial" w:cs="Arial"/>
          <w:bCs/>
          <w:spacing w:val="-4"/>
          <w:sz w:val="20"/>
          <w:szCs w:val="20"/>
        </w:rPr>
        <w:t xml:space="preserve">; all’opposto </w:t>
      </w:r>
      <w:r w:rsidR="00A3318B">
        <w:rPr>
          <w:rFonts w:ascii="Arial" w:hAnsi="Arial" w:cs="Arial"/>
          <w:bCs/>
          <w:spacing w:val="-4"/>
          <w:sz w:val="20"/>
          <w:szCs w:val="20"/>
        </w:rPr>
        <w:t>l’Energia</w:t>
      </w:r>
      <w:r>
        <w:rPr>
          <w:rFonts w:ascii="Arial" w:hAnsi="Arial" w:cs="Arial"/>
          <w:bCs/>
          <w:spacing w:val="-4"/>
          <w:sz w:val="20"/>
          <w:szCs w:val="20"/>
        </w:rPr>
        <w:t xml:space="preserve"> subisc</w:t>
      </w:r>
      <w:r w:rsidR="00A3318B">
        <w:rPr>
          <w:rFonts w:ascii="Arial" w:hAnsi="Arial" w:cs="Arial"/>
          <w:bCs/>
          <w:spacing w:val="-4"/>
          <w:sz w:val="20"/>
          <w:szCs w:val="20"/>
        </w:rPr>
        <w:t>e</w:t>
      </w:r>
      <w:r>
        <w:rPr>
          <w:rFonts w:ascii="Arial" w:hAnsi="Arial" w:cs="Arial"/>
          <w:bCs/>
          <w:spacing w:val="-4"/>
          <w:sz w:val="20"/>
          <w:szCs w:val="20"/>
        </w:rPr>
        <w:t xml:space="preserve"> il calo maggiore, pari a </w:t>
      </w:r>
      <w:r w:rsidR="00A3318B">
        <w:rPr>
          <w:rFonts w:ascii="Arial" w:hAnsi="Arial" w:cs="Arial"/>
          <w:bCs/>
          <w:spacing w:val="-4"/>
          <w:sz w:val="20"/>
          <w:szCs w:val="20"/>
        </w:rPr>
        <w:t>-0,</w:t>
      </w:r>
      <w:r w:rsidR="0008307E">
        <w:rPr>
          <w:rFonts w:ascii="Arial" w:hAnsi="Arial" w:cs="Arial"/>
          <w:bCs/>
          <w:spacing w:val="-4"/>
          <w:sz w:val="20"/>
          <w:szCs w:val="20"/>
        </w:rPr>
        <w:t>7</w:t>
      </w:r>
      <w:r w:rsidR="00A3318B">
        <w:rPr>
          <w:rFonts w:ascii="Arial" w:hAnsi="Arial" w:cs="Arial"/>
          <w:bCs/>
          <w:spacing w:val="-4"/>
          <w:sz w:val="20"/>
          <w:szCs w:val="20"/>
        </w:rPr>
        <w:t xml:space="preserve"> p</w:t>
      </w:r>
      <w:r>
        <w:rPr>
          <w:rFonts w:ascii="Arial" w:hAnsi="Arial" w:cs="Arial"/>
          <w:bCs/>
          <w:spacing w:val="-4"/>
          <w:sz w:val="20"/>
          <w:szCs w:val="20"/>
        </w:rPr>
        <w:t>unti percentuali.</w:t>
      </w:r>
    </w:p>
    <w:p w:rsidR="007C62E8" w:rsidRPr="007C62E8" w:rsidRDefault="00E217C4" w:rsidP="00EA3EFE">
      <w:pPr>
        <w:numPr>
          <w:ilvl w:val="0"/>
          <w:numId w:val="2"/>
        </w:numPr>
        <w:spacing w:after="120"/>
        <w:jc w:val="both"/>
        <w:rPr>
          <w:rFonts w:ascii="Arial" w:hAnsi="Arial" w:cs="Arial"/>
          <w:bCs/>
          <w:spacing w:val="-4"/>
          <w:sz w:val="20"/>
          <w:szCs w:val="20"/>
        </w:rPr>
      </w:pPr>
      <w:r w:rsidRPr="007C62E8">
        <w:rPr>
          <w:rFonts w:ascii="Arial" w:hAnsi="Arial" w:cs="Arial"/>
          <w:sz w:val="20"/>
          <w:szCs w:val="20"/>
        </w:rPr>
        <w:t xml:space="preserve"> </w:t>
      </w:r>
      <w:r w:rsidR="007C62E8">
        <w:rPr>
          <w:rFonts w:ascii="Arial" w:hAnsi="Arial" w:cs="Arial"/>
          <w:sz w:val="20"/>
          <w:szCs w:val="20"/>
        </w:rPr>
        <w:t>Con riguardo all’indice totale, il confronto delle strutture di ponderazione delle bas</w:t>
      </w:r>
      <w:r w:rsidR="006810FD">
        <w:rPr>
          <w:rFonts w:ascii="Arial" w:hAnsi="Arial" w:cs="Arial"/>
          <w:sz w:val="20"/>
          <w:szCs w:val="20"/>
        </w:rPr>
        <w:t>i Dicembre 2013 e Dicembre 2012</w:t>
      </w:r>
      <w:r w:rsidR="007C62E8">
        <w:rPr>
          <w:rFonts w:ascii="Arial" w:hAnsi="Arial" w:cs="Arial"/>
          <w:sz w:val="20"/>
          <w:szCs w:val="20"/>
        </w:rPr>
        <w:t xml:space="preserve"> evidenzia </w:t>
      </w:r>
      <w:r w:rsidR="007C62E8" w:rsidRPr="007C62E8">
        <w:rPr>
          <w:rFonts w:ascii="Arial" w:hAnsi="Arial" w:cs="Arial"/>
          <w:bCs/>
          <w:spacing w:val="-4"/>
          <w:sz w:val="20"/>
          <w:szCs w:val="20"/>
        </w:rPr>
        <w:t xml:space="preserve">un aumento dell’incidenza </w:t>
      </w:r>
      <w:r w:rsidR="0008307E">
        <w:rPr>
          <w:rFonts w:ascii="Arial" w:hAnsi="Arial" w:cs="Arial"/>
          <w:bCs/>
          <w:spacing w:val="-4"/>
          <w:sz w:val="20"/>
          <w:szCs w:val="20"/>
        </w:rPr>
        <w:t>dei Beni intermedi</w:t>
      </w:r>
      <w:r w:rsidR="00A3318B">
        <w:rPr>
          <w:rFonts w:ascii="Arial" w:hAnsi="Arial" w:cs="Arial"/>
          <w:bCs/>
          <w:spacing w:val="-4"/>
          <w:sz w:val="20"/>
          <w:szCs w:val="20"/>
        </w:rPr>
        <w:t xml:space="preserve"> (+0,4 punti percentuali); all’opposto</w:t>
      </w:r>
      <w:r w:rsidR="0008307E">
        <w:rPr>
          <w:rFonts w:ascii="Arial" w:hAnsi="Arial" w:cs="Arial"/>
          <w:bCs/>
          <w:spacing w:val="-4"/>
          <w:sz w:val="20"/>
          <w:szCs w:val="20"/>
        </w:rPr>
        <w:t>, l’Energia</w:t>
      </w:r>
      <w:r w:rsidR="007C62E8" w:rsidRPr="007C62E8">
        <w:rPr>
          <w:rFonts w:ascii="Arial" w:hAnsi="Arial" w:cs="Arial"/>
          <w:bCs/>
          <w:spacing w:val="-4"/>
          <w:sz w:val="20"/>
          <w:szCs w:val="20"/>
        </w:rPr>
        <w:t xml:space="preserve"> subisc</w:t>
      </w:r>
      <w:r w:rsidR="0008307E">
        <w:rPr>
          <w:rFonts w:ascii="Arial" w:hAnsi="Arial" w:cs="Arial"/>
          <w:bCs/>
          <w:spacing w:val="-4"/>
          <w:sz w:val="20"/>
          <w:szCs w:val="20"/>
        </w:rPr>
        <w:t>e</w:t>
      </w:r>
      <w:r w:rsidR="007C62E8" w:rsidRPr="007C62E8">
        <w:rPr>
          <w:rFonts w:ascii="Arial" w:hAnsi="Arial" w:cs="Arial"/>
          <w:bCs/>
          <w:spacing w:val="-4"/>
          <w:sz w:val="20"/>
          <w:szCs w:val="20"/>
        </w:rPr>
        <w:t xml:space="preserve"> il calo maggiore, pari a </w:t>
      </w:r>
      <w:r w:rsidR="00A3318B">
        <w:rPr>
          <w:rFonts w:ascii="Arial" w:hAnsi="Arial" w:cs="Arial"/>
          <w:bCs/>
          <w:spacing w:val="-4"/>
          <w:sz w:val="20"/>
          <w:szCs w:val="20"/>
        </w:rPr>
        <w:t>-0,</w:t>
      </w:r>
      <w:r w:rsidR="0008307E">
        <w:rPr>
          <w:rFonts w:ascii="Arial" w:hAnsi="Arial" w:cs="Arial"/>
          <w:bCs/>
          <w:spacing w:val="-4"/>
          <w:sz w:val="20"/>
          <w:szCs w:val="20"/>
        </w:rPr>
        <w:t>4</w:t>
      </w:r>
      <w:r w:rsidR="007C62E8" w:rsidRPr="007C62E8">
        <w:rPr>
          <w:rFonts w:ascii="Arial" w:hAnsi="Arial" w:cs="Arial"/>
          <w:bCs/>
          <w:spacing w:val="-4"/>
          <w:sz w:val="20"/>
          <w:szCs w:val="20"/>
        </w:rPr>
        <w:t xml:space="preserve"> punti percentuali.</w:t>
      </w:r>
    </w:p>
    <w:p w:rsidR="00643BC3" w:rsidRPr="007C62E8" w:rsidRDefault="00643BC3" w:rsidP="00EA3EFE">
      <w:pPr>
        <w:numPr>
          <w:ilvl w:val="0"/>
          <w:numId w:val="2"/>
        </w:numPr>
        <w:tabs>
          <w:tab w:val="clear" w:pos="360"/>
          <w:tab w:val="num" w:pos="284"/>
          <w:tab w:val="num" w:pos="426"/>
        </w:tabs>
        <w:spacing w:after="120"/>
        <w:jc w:val="both"/>
        <w:rPr>
          <w:rFonts w:ascii="Arial" w:hAnsi="Arial" w:cs="Arial"/>
          <w:bCs/>
          <w:sz w:val="20"/>
          <w:szCs w:val="20"/>
        </w:rPr>
      </w:pPr>
      <w:r>
        <w:rPr>
          <w:rFonts w:ascii="Arial" w:hAnsi="Arial" w:cs="Arial"/>
          <w:sz w:val="20"/>
          <w:szCs w:val="20"/>
        </w:rPr>
        <w:t xml:space="preserve">Per quanto riguarda la diffusione, il numero di aggregati pubblicati subisce, rispetto a quelli derivanti dalla base di calcolo Dicembre 2012, un aumento  complessivo pari a </w:t>
      </w:r>
      <w:r w:rsidR="00BC7FE4">
        <w:rPr>
          <w:rFonts w:ascii="Arial" w:hAnsi="Arial" w:cs="Arial"/>
          <w:sz w:val="20"/>
          <w:szCs w:val="20"/>
        </w:rPr>
        <w:t>40</w:t>
      </w:r>
      <w:r>
        <w:rPr>
          <w:rFonts w:ascii="Arial" w:hAnsi="Arial" w:cs="Arial"/>
          <w:sz w:val="20"/>
          <w:szCs w:val="20"/>
        </w:rPr>
        <w:t xml:space="preserve">. In particolare il saldo a livello di </w:t>
      </w:r>
      <w:r w:rsidR="00BC7FE4">
        <w:rPr>
          <w:rFonts w:ascii="Arial" w:hAnsi="Arial" w:cs="Arial"/>
          <w:sz w:val="20"/>
          <w:szCs w:val="20"/>
        </w:rPr>
        <w:t xml:space="preserve">totale </w:t>
      </w:r>
      <w:r>
        <w:rPr>
          <w:rFonts w:ascii="Arial" w:hAnsi="Arial" w:cs="Arial"/>
          <w:sz w:val="20"/>
          <w:szCs w:val="20"/>
        </w:rPr>
        <w:t xml:space="preserve">aggregati è pari a </w:t>
      </w:r>
      <w:r w:rsidR="00BC7FE4">
        <w:rPr>
          <w:rFonts w:ascii="Arial" w:hAnsi="Arial" w:cs="Arial"/>
          <w:sz w:val="20"/>
          <w:szCs w:val="20"/>
        </w:rPr>
        <w:t>4</w:t>
      </w:r>
      <w:r>
        <w:rPr>
          <w:rFonts w:ascii="Arial" w:hAnsi="Arial" w:cs="Arial"/>
          <w:sz w:val="20"/>
          <w:szCs w:val="20"/>
        </w:rPr>
        <w:t xml:space="preserve"> (indice totale); </w:t>
      </w:r>
      <w:r w:rsidR="00BC7FE4">
        <w:rPr>
          <w:rFonts w:ascii="Arial" w:hAnsi="Arial" w:cs="Arial"/>
          <w:sz w:val="20"/>
          <w:szCs w:val="20"/>
        </w:rPr>
        <w:t>5</w:t>
      </w:r>
      <w:r>
        <w:rPr>
          <w:rFonts w:ascii="Arial" w:hAnsi="Arial" w:cs="Arial"/>
          <w:sz w:val="20"/>
          <w:szCs w:val="20"/>
        </w:rPr>
        <w:t xml:space="preserve"> (mercato interno); </w:t>
      </w:r>
      <w:r w:rsidR="00BC7FE4">
        <w:rPr>
          <w:rFonts w:ascii="Arial" w:hAnsi="Arial" w:cs="Arial"/>
          <w:sz w:val="20"/>
          <w:szCs w:val="20"/>
        </w:rPr>
        <w:t>10</w:t>
      </w:r>
      <w:r>
        <w:rPr>
          <w:rFonts w:ascii="Arial" w:hAnsi="Arial" w:cs="Arial"/>
          <w:sz w:val="20"/>
          <w:szCs w:val="20"/>
        </w:rPr>
        <w:t xml:space="preserve"> (mercato estero); </w:t>
      </w:r>
      <w:r w:rsidR="00BC7FE4">
        <w:rPr>
          <w:rFonts w:ascii="Arial" w:hAnsi="Arial" w:cs="Arial"/>
          <w:sz w:val="20"/>
          <w:szCs w:val="20"/>
        </w:rPr>
        <w:t>4</w:t>
      </w:r>
      <w:r>
        <w:rPr>
          <w:rFonts w:ascii="Arial" w:hAnsi="Arial" w:cs="Arial"/>
          <w:sz w:val="20"/>
          <w:szCs w:val="20"/>
        </w:rPr>
        <w:t xml:space="preserve"> (mercato estero, </w:t>
      </w:r>
      <w:r w:rsidR="00196A46">
        <w:rPr>
          <w:rFonts w:ascii="Arial" w:hAnsi="Arial" w:cs="Arial"/>
          <w:sz w:val="20"/>
          <w:szCs w:val="20"/>
        </w:rPr>
        <w:t>area</w:t>
      </w:r>
      <w:r>
        <w:rPr>
          <w:rFonts w:ascii="Arial" w:hAnsi="Arial" w:cs="Arial"/>
          <w:sz w:val="20"/>
          <w:szCs w:val="20"/>
        </w:rPr>
        <w:t xml:space="preserve"> euro); 1</w:t>
      </w:r>
      <w:r w:rsidR="00BC7FE4">
        <w:rPr>
          <w:rFonts w:ascii="Arial" w:hAnsi="Arial" w:cs="Arial"/>
          <w:sz w:val="20"/>
          <w:szCs w:val="20"/>
        </w:rPr>
        <w:t>7</w:t>
      </w:r>
      <w:r w:rsidR="002A77A9">
        <w:rPr>
          <w:rFonts w:ascii="Arial" w:hAnsi="Arial" w:cs="Arial"/>
          <w:sz w:val="20"/>
          <w:szCs w:val="20"/>
        </w:rPr>
        <w:t xml:space="preserve"> (mercato estero</w:t>
      </w:r>
      <w:r w:rsidR="006810FD">
        <w:rPr>
          <w:rFonts w:ascii="Arial" w:hAnsi="Arial" w:cs="Arial"/>
          <w:sz w:val="20"/>
          <w:szCs w:val="20"/>
        </w:rPr>
        <w:t>,</w:t>
      </w:r>
      <w:r w:rsidR="002A77A9">
        <w:rPr>
          <w:rFonts w:ascii="Arial" w:hAnsi="Arial" w:cs="Arial"/>
          <w:sz w:val="20"/>
          <w:szCs w:val="20"/>
        </w:rPr>
        <w:t xml:space="preserve"> </w:t>
      </w:r>
      <w:r w:rsidR="00196A46">
        <w:rPr>
          <w:rFonts w:ascii="Arial" w:hAnsi="Arial" w:cs="Arial"/>
          <w:sz w:val="20"/>
          <w:szCs w:val="20"/>
        </w:rPr>
        <w:t>area</w:t>
      </w:r>
      <w:r w:rsidR="00903245">
        <w:rPr>
          <w:rFonts w:ascii="Arial" w:hAnsi="Arial" w:cs="Arial"/>
          <w:sz w:val="20"/>
          <w:szCs w:val="20"/>
        </w:rPr>
        <w:t xml:space="preserve"> non </w:t>
      </w:r>
      <w:r w:rsidR="002A77A9">
        <w:rPr>
          <w:rFonts w:ascii="Arial" w:hAnsi="Arial" w:cs="Arial"/>
          <w:sz w:val="20"/>
          <w:szCs w:val="20"/>
        </w:rPr>
        <w:t>euro).</w:t>
      </w:r>
    </w:p>
    <w:p w:rsidR="007C62E8" w:rsidRPr="007C62E8" w:rsidRDefault="007C62E8" w:rsidP="007C62E8">
      <w:pPr>
        <w:tabs>
          <w:tab w:val="num" w:pos="426"/>
        </w:tabs>
        <w:spacing w:after="80"/>
        <w:jc w:val="both"/>
        <w:rPr>
          <w:rFonts w:ascii="Arial" w:hAnsi="Arial" w:cs="Arial"/>
          <w:bCs/>
          <w:sz w:val="20"/>
          <w:szCs w:val="20"/>
        </w:rPr>
      </w:pPr>
    </w:p>
    <w:p w:rsidR="00BC161A" w:rsidRDefault="00BC161A" w:rsidP="007C62E8">
      <w:pPr>
        <w:tabs>
          <w:tab w:val="num" w:pos="426"/>
        </w:tabs>
        <w:spacing w:after="80"/>
        <w:jc w:val="both"/>
        <w:rPr>
          <w:rFonts w:ascii="Arial" w:hAnsi="Arial" w:cs="Arial"/>
          <w:bCs/>
          <w:sz w:val="20"/>
          <w:szCs w:val="20"/>
        </w:rPr>
      </w:pPr>
    </w:p>
    <w:p w:rsidR="000E4E70" w:rsidRDefault="000E4E70" w:rsidP="00854C6B">
      <w:pPr>
        <w:jc w:val="both"/>
        <w:rPr>
          <w:rFonts w:ascii="Arial" w:hAnsi="Arial" w:cs="Arial"/>
          <w:bCs/>
          <w:sz w:val="20"/>
          <w:szCs w:val="20"/>
        </w:rPr>
        <w:sectPr w:rsidR="000E4E70" w:rsidSect="00152802">
          <w:type w:val="continuous"/>
          <w:pgSz w:w="11906" w:h="16838" w:code="9"/>
          <w:pgMar w:top="567" w:right="680" w:bottom="680" w:left="680" w:header="720" w:footer="720" w:gutter="0"/>
          <w:pgNumType w:start="1"/>
          <w:cols w:num="2" w:sep="1" w:space="567"/>
          <w:titlePg/>
          <w:docGrid w:linePitch="360"/>
        </w:sectPr>
      </w:pPr>
    </w:p>
    <w:p w:rsidR="003167C5" w:rsidRDefault="003167C5" w:rsidP="003167C5">
      <w:pPr>
        <w:spacing w:after="120"/>
        <w:ind w:left="1800"/>
        <w:jc w:val="both"/>
        <w:rPr>
          <w:rFonts w:ascii="Arial" w:hAnsi="Arial" w:cs="Arial"/>
          <w:color w:val="808080"/>
          <w:sz w:val="28"/>
          <w:szCs w:val="28"/>
        </w:rPr>
      </w:pPr>
      <w:r>
        <w:rPr>
          <w:rFonts w:ascii="Arial" w:hAnsi="Arial" w:cs="Arial"/>
          <w:color w:val="808080"/>
          <w:sz w:val="28"/>
          <w:szCs w:val="28"/>
        </w:rPr>
        <w:lastRenderedPageBreak/>
        <w:t>LA BASE DI CALCOLO DICEMBRE 2013</w:t>
      </w:r>
    </w:p>
    <w:p w:rsidR="00340CE1" w:rsidRPr="001552D0" w:rsidRDefault="00340CE1" w:rsidP="001552D0">
      <w:pPr>
        <w:spacing w:after="120"/>
        <w:ind w:left="1800"/>
        <w:jc w:val="both"/>
        <w:rPr>
          <w:rFonts w:ascii="Arial" w:hAnsi="Arial" w:cs="Arial"/>
          <w:b/>
          <w:bCs/>
          <w:sz w:val="22"/>
          <w:szCs w:val="22"/>
        </w:rPr>
      </w:pPr>
    </w:p>
    <w:p w:rsidR="00E6137D" w:rsidRDefault="00F21D02" w:rsidP="00E6137D">
      <w:pPr>
        <w:numPr>
          <w:ilvl w:val="0"/>
          <w:numId w:val="19"/>
        </w:numPr>
        <w:spacing w:after="120"/>
        <w:jc w:val="both"/>
        <w:rPr>
          <w:rFonts w:ascii="Arial" w:hAnsi="Arial" w:cs="Arial"/>
          <w:b/>
          <w:bCs/>
          <w:sz w:val="22"/>
          <w:szCs w:val="22"/>
        </w:rPr>
      </w:pPr>
      <w:r w:rsidRPr="00604101">
        <w:rPr>
          <w:rFonts w:ascii="Arial" w:hAnsi="Arial" w:cs="Arial"/>
          <w:b/>
          <w:bCs/>
          <w:sz w:val="22"/>
          <w:szCs w:val="22"/>
        </w:rPr>
        <w:t>L‘aggiornamento delle unità campionarie: prodotti, imprese e prezzi</w:t>
      </w:r>
    </w:p>
    <w:p w:rsidR="00604101" w:rsidRPr="00604101" w:rsidRDefault="00604101" w:rsidP="00604101">
      <w:pPr>
        <w:spacing w:after="120"/>
        <w:ind w:left="1800"/>
        <w:jc w:val="both"/>
        <w:rPr>
          <w:rFonts w:ascii="Arial" w:hAnsi="Arial" w:cs="Arial"/>
          <w:b/>
          <w:bCs/>
          <w:sz w:val="22"/>
          <w:szCs w:val="22"/>
        </w:rPr>
      </w:pPr>
    </w:p>
    <w:p w:rsidR="009A7239" w:rsidRPr="009A7239" w:rsidRDefault="009A7239" w:rsidP="009A7239">
      <w:pPr>
        <w:spacing w:after="120"/>
        <w:ind w:left="1814"/>
        <w:jc w:val="both"/>
        <w:rPr>
          <w:rFonts w:ascii="Arial" w:hAnsi="Arial" w:cs="Arial"/>
          <w:sz w:val="20"/>
          <w:szCs w:val="20"/>
        </w:rPr>
      </w:pPr>
      <w:r w:rsidRPr="009A7239">
        <w:rPr>
          <w:rFonts w:ascii="Arial" w:hAnsi="Arial" w:cs="Arial"/>
          <w:sz w:val="20"/>
          <w:szCs w:val="20"/>
        </w:rPr>
        <w:t>La rilevazione mensile dei prezzi alla produzione si effettua – con riferimento al mercato interno e alle aree euro e non euro del mercato estero – sulla base di un disegno di campionamento nel quale si definiscono, relativamente alla base di calcolo, la composizione del paniere dei prodotti e la lista delle unità di rilevazione. I prodotti costituiscono un campione rappresentativo dei principali beni fabbricati da imprese con stabilimenti di produzione localizzati in Italia e venduti all’interno del territorio nazionale (mercato interno) o direttamente esportati (mercato estero). Le informazioni anagrafiche relative alla ragione sociale e all’indirizzo delle imprese inserite nel campione e presso le quali si raccolgono le informazioni di base sono tratte dall’Archivio statistico delle imprese attive (ASIA).</w:t>
      </w:r>
    </w:p>
    <w:p w:rsidR="009A7239" w:rsidRPr="009A7239" w:rsidRDefault="009A7239" w:rsidP="009A7239">
      <w:pPr>
        <w:spacing w:after="120"/>
        <w:ind w:left="1814"/>
        <w:jc w:val="both"/>
        <w:rPr>
          <w:rFonts w:ascii="Arial" w:hAnsi="Arial" w:cs="Arial"/>
          <w:sz w:val="20"/>
          <w:szCs w:val="20"/>
        </w:rPr>
      </w:pPr>
      <w:r w:rsidRPr="009A7239">
        <w:rPr>
          <w:rFonts w:ascii="Arial" w:hAnsi="Arial" w:cs="Arial"/>
          <w:sz w:val="20"/>
          <w:szCs w:val="20"/>
        </w:rPr>
        <w:t>A ogni unità di rilevazione viene richiesto di fornire mensilmente il prezzo delle tipologie di prodotto più rappresentative della propria produzione. Si tratta di un prezzo di mercato o di transazione reale, cioè un prezzo che si riferisce a una vendita effettivamente realizzata. I prezzi sono rilevati franco fabbrica o magazzino del venditore per il mercato interno e franco frontiera nazionale (</w:t>
      </w:r>
      <w:proofErr w:type="spellStart"/>
      <w:r w:rsidRPr="005934CB">
        <w:rPr>
          <w:rFonts w:ascii="Arial" w:hAnsi="Arial" w:cs="Arial"/>
          <w:i/>
          <w:sz w:val="20"/>
          <w:szCs w:val="20"/>
        </w:rPr>
        <w:t>f.o.b</w:t>
      </w:r>
      <w:proofErr w:type="spellEnd"/>
      <w:r w:rsidRPr="005934CB">
        <w:rPr>
          <w:rFonts w:ascii="Arial" w:hAnsi="Arial" w:cs="Arial"/>
          <w:i/>
          <w:sz w:val="20"/>
          <w:szCs w:val="20"/>
        </w:rPr>
        <w:t>.</w:t>
      </w:r>
      <w:r w:rsidRPr="009A7239">
        <w:rPr>
          <w:rFonts w:ascii="Arial" w:hAnsi="Arial" w:cs="Arial"/>
          <w:sz w:val="20"/>
          <w:szCs w:val="20"/>
        </w:rPr>
        <w:t>) per il mercato estero, sono al netto dell'Iva e di ogni altro onere a carico dell'acquirente e definiti secondo le clausole contrattuali più usuali. I prezzi per entrambi i</w:t>
      </w:r>
      <w:r w:rsidR="005D70E0">
        <w:rPr>
          <w:rFonts w:ascii="Arial" w:hAnsi="Arial" w:cs="Arial"/>
          <w:sz w:val="20"/>
          <w:szCs w:val="20"/>
        </w:rPr>
        <w:t xml:space="preserve"> mercati sono rilevati in euro.</w:t>
      </w:r>
    </w:p>
    <w:p w:rsidR="00820A23" w:rsidRPr="004269B0" w:rsidRDefault="00820A23" w:rsidP="00820A23">
      <w:pPr>
        <w:spacing w:after="120"/>
        <w:ind w:left="1814"/>
        <w:jc w:val="both"/>
        <w:rPr>
          <w:rFonts w:ascii="Arial" w:hAnsi="Arial" w:cs="Arial"/>
          <w:sz w:val="20"/>
          <w:szCs w:val="20"/>
        </w:rPr>
      </w:pPr>
      <w:r w:rsidRPr="00117170">
        <w:rPr>
          <w:rFonts w:ascii="Arial" w:hAnsi="Arial" w:cs="Arial"/>
          <w:sz w:val="20"/>
          <w:szCs w:val="20"/>
        </w:rPr>
        <w:t xml:space="preserve">L’aggiornamento della base di calcolo Dicembre 2013 è il risultato del flusso di prodotti, imprese e prezzi in entrata nella nuova base di calcolo e in uscita dalla precedente, riferita a Dicembre 2012. I prodotti non più economicamente rilevanti, perché di scarsa incidenza sul fatturato industriale interno o su quello all’esportazione, sono stati eliminati. Viceversa, sono stati inseriti quelli la cui rilevanza, in termini di peso, è cresciuta diventando significativa. I nuovi panieri per il mercato interno e quello estero (Prospetti </w:t>
      </w:r>
      <w:r w:rsidR="00117170" w:rsidRPr="00117170">
        <w:rPr>
          <w:rFonts w:ascii="Arial" w:hAnsi="Arial" w:cs="Arial"/>
          <w:sz w:val="20"/>
          <w:szCs w:val="20"/>
        </w:rPr>
        <w:t>1</w:t>
      </w:r>
      <w:r w:rsidRPr="00117170">
        <w:rPr>
          <w:rFonts w:ascii="Arial" w:hAnsi="Arial" w:cs="Arial"/>
          <w:sz w:val="20"/>
          <w:szCs w:val="20"/>
        </w:rPr>
        <w:t xml:space="preserve"> e </w:t>
      </w:r>
      <w:r w:rsidR="00117170" w:rsidRPr="00117170">
        <w:rPr>
          <w:rFonts w:ascii="Arial" w:hAnsi="Arial" w:cs="Arial"/>
          <w:sz w:val="20"/>
          <w:szCs w:val="20"/>
        </w:rPr>
        <w:t>2</w:t>
      </w:r>
      <w:r w:rsidRPr="00117170">
        <w:rPr>
          <w:rFonts w:ascii="Arial" w:hAnsi="Arial" w:cs="Arial"/>
          <w:sz w:val="20"/>
          <w:szCs w:val="20"/>
        </w:rPr>
        <w:t>) sono composti, rispettivamente, da 1.241 e 1.127 voci di prodotto, relativamente ai quali sono rilevate mensilmente 10.925 e 8.990 quotazioni di prezzo. Quelli riguardanti le due componenti del mercato estero (euro e non euro) sono composti, rispettivamente, da 863 e 838 voci di prodotto e includono 4.389 e 4.601 quotazioni di prezzo. Con riguardo alle imprese, infine, sui mercati interno ed estero il numero delle unità è pari a 3.595 e 2.889.</w:t>
      </w:r>
    </w:p>
    <w:p w:rsidR="00696E8C" w:rsidRDefault="00696E8C" w:rsidP="00696E8C">
      <w:pPr>
        <w:spacing w:after="120"/>
        <w:ind w:left="1814"/>
        <w:jc w:val="both"/>
        <w:rPr>
          <w:rFonts w:ascii="Arial" w:hAnsi="Arial" w:cs="Arial"/>
          <w:sz w:val="20"/>
          <w:szCs w:val="20"/>
        </w:rPr>
      </w:pPr>
      <w:r w:rsidRPr="00117170">
        <w:rPr>
          <w:rFonts w:ascii="Arial" w:hAnsi="Arial" w:cs="Arial"/>
          <w:sz w:val="20"/>
          <w:szCs w:val="20"/>
        </w:rPr>
        <w:t xml:space="preserve">Il confronto tra le due basi di calcolo mette in evidenza un significativo </w:t>
      </w:r>
      <w:r w:rsidRPr="00117170">
        <w:rPr>
          <w:rFonts w:ascii="Arial" w:hAnsi="Arial" w:cs="Arial"/>
          <w:i/>
          <w:sz w:val="20"/>
          <w:szCs w:val="20"/>
        </w:rPr>
        <w:t>turnover</w:t>
      </w:r>
      <w:r w:rsidRPr="00117170">
        <w:rPr>
          <w:rFonts w:ascii="Arial" w:hAnsi="Arial" w:cs="Arial"/>
          <w:sz w:val="20"/>
          <w:szCs w:val="20"/>
        </w:rPr>
        <w:t xml:space="preserve"> di prodotti, imprese, prezzi. Per il mercato interno (Prospetto </w:t>
      </w:r>
      <w:r w:rsidR="00117170" w:rsidRPr="00117170">
        <w:rPr>
          <w:rFonts w:ascii="Arial" w:hAnsi="Arial" w:cs="Arial"/>
          <w:sz w:val="20"/>
          <w:szCs w:val="20"/>
        </w:rPr>
        <w:t>1</w:t>
      </w:r>
      <w:r w:rsidRPr="00117170">
        <w:rPr>
          <w:rFonts w:ascii="Arial" w:hAnsi="Arial" w:cs="Arial"/>
          <w:sz w:val="20"/>
          <w:szCs w:val="20"/>
        </w:rPr>
        <w:t xml:space="preserve">), il saldo netto tra i prodotti in uscita e quelli in entrata nella base di calcolo Dicembre 2013, è pari a -1,9% (approssimativamente, il 4,7% in entrata e il 6,6% in uscita). Sul mercato estero (Prospetto </w:t>
      </w:r>
      <w:r w:rsidR="00117170" w:rsidRPr="00117170">
        <w:rPr>
          <w:rFonts w:ascii="Arial" w:hAnsi="Arial" w:cs="Arial"/>
          <w:sz w:val="20"/>
          <w:szCs w:val="20"/>
        </w:rPr>
        <w:t>2</w:t>
      </w:r>
      <w:r w:rsidRPr="00117170">
        <w:rPr>
          <w:rFonts w:ascii="Arial" w:hAnsi="Arial" w:cs="Arial"/>
          <w:sz w:val="20"/>
          <w:szCs w:val="20"/>
        </w:rPr>
        <w:t>) il saldo è pari a zero per la zona euro (approssimativamente il 6,3% sia in entrata sia in uscita) mentre per l’area non euro il saldo è pari a -0,9% (circa il 5,6% in entrata e il 6,5% in uscita).</w:t>
      </w:r>
    </w:p>
    <w:p w:rsidR="000B70C5" w:rsidRDefault="000B70C5" w:rsidP="000B70C5">
      <w:pPr>
        <w:spacing w:after="120"/>
        <w:ind w:left="1814"/>
        <w:jc w:val="both"/>
        <w:rPr>
          <w:rFonts w:ascii="Arial" w:hAnsi="Arial" w:cs="Arial"/>
          <w:sz w:val="20"/>
          <w:szCs w:val="20"/>
        </w:rPr>
      </w:pPr>
    </w:p>
    <w:p w:rsidR="00F27D52" w:rsidRPr="00882CF0" w:rsidRDefault="00180425" w:rsidP="00F27D52">
      <w:pPr>
        <w:pStyle w:val="Soggettocommento"/>
        <w:spacing w:after="120"/>
        <w:ind w:left="1814"/>
        <w:jc w:val="both"/>
        <w:rPr>
          <w:rFonts w:ascii="Arial Narrow" w:hAnsi="Arial Narrow" w:cs="Arial"/>
          <w:b w:val="0"/>
          <w:bCs w:val="0"/>
          <w:caps/>
          <w:spacing w:val="-2"/>
          <w:sz w:val="19"/>
          <w:szCs w:val="19"/>
        </w:rPr>
      </w:pPr>
      <w:r>
        <w:rPr>
          <w:rFonts w:ascii="Arial Narrow" w:hAnsi="Arial Narrow" w:cs="Arial"/>
          <w:bCs w:val="0"/>
          <w:caps/>
          <w:color w:val="777777"/>
          <w:spacing w:val="-2"/>
          <w:szCs w:val="16"/>
        </w:rPr>
        <w:t>Prospetto</w:t>
      </w:r>
      <w:r w:rsidR="007619D7">
        <w:rPr>
          <w:rFonts w:ascii="Arial Narrow" w:hAnsi="Arial Narrow" w:cs="Arial"/>
          <w:bCs w:val="0"/>
          <w:caps/>
          <w:color w:val="777777"/>
          <w:spacing w:val="-2"/>
          <w:szCs w:val="16"/>
        </w:rPr>
        <w:t xml:space="preserve"> </w:t>
      </w:r>
      <w:r w:rsidR="00557CFD">
        <w:rPr>
          <w:rFonts w:ascii="Arial Narrow" w:hAnsi="Arial Narrow" w:cs="Arial"/>
          <w:bCs w:val="0"/>
          <w:caps/>
          <w:color w:val="777777"/>
          <w:spacing w:val="-2"/>
          <w:szCs w:val="16"/>
        </w:rPr>
        <w:t>1</w:t>
      </w:r>
      <w:r w:rsidR="00F27D52" w:rsidRPr="00882CF0">
        <w:rPr>
          <w:rFonts w:ascii="Arial Narrow" w:hAnsi="Arial Narrow" w:cs="Arial"/>
          <w:bCs w:val="0"/>
          <w:caps/>
          <w:color w:val="777777"/>
          <w:spacing w:val="-2"/>
          <w:szCs w:val="16"/>
        </w:rPr>
        <w:t>. Prezzi alla produzione dei prodotti industriali, Mercato interno. Numerosità del campione dei prodotti, prezzi e imprese</w:t>
      </w:r>
      <w:r w:rsidR="00F27D52" w:rsidRPr="00882CF0">
        <w:rPr>
          <w:rFonts w:ascii="Arial Narrow" w:hAnsi="Arial Narrow" w:cs="Arial"/>
          <w:b w:val="0"/>
          <w:bCs w:val="0"/>
          <w:caps/>
          <w:color w:val="777777"/>
          <w:spacing w:val="-2"/>
          <w:sz w:val="19"/>
          <w:szCs w:val="19"/>
        </w:rPr>
        <w:t xml:space="preserve">. </w:t>
      </w:r>
      <w:r w:rsidR="00F27D52" w:rsidRPr="00260109">
        <w:rPr>
          <w:rFonts w:ascii="Arial Narrow" w:hAnsi="Arial Narrow" w:cs="Arial"/>
          <w:b w:val="0"/>
          <w:bCs w:val="0"/>
          <w:caps/>
          <w:color w:val="808080"/>
          <w:spacing w:val="-2"/>
          <w:sz w:val="19"/>
          <w:szCs w:val="19"/>
        </w:rPr>
        <w:t>c</w:t>
      </w:r>
      <w:r w:rsidR="00F27D52" w:rsidRPr="00260109">
        <w:rPr>
          <w:rFonts w:ascii="Arial Narrow" w:hAnsi="Arial Narrow" w:cs="Arial"/>
          <w:b w:val="0"/>
          <w:bCs w:val="0"/>
          <w:color w:val="808080"/>
          <w:spacing w:val="-2"/>
          <w:sz w:val="19"/>
          <w:szCs w:val="19"/>
        </w:rPr>
        <w:t xml:space="preserve">onfronto tra </w:t>
      </w:r>
      <w:r w:rsidR="00F27D52">
        <w:rPr>
          <w:rFonts w:ascii="Arial Narrow" w:hAnsi="Arial Narrow" w:cs="Arial"/>
          <w:b w:val="0"/>
          <w:bCs w:val="0"/>
          <w:color w:val="808080"/>
          <w:spacing w:val="-2"/>
          <w:sz w:val="19"/>
          <w:szCs w:val="19"/>
        </w:rPr>
        <w:t>le basi di calcolo Dicembre 201</w:t>
      </w:r>
      <w:r w:rsidR="00A01647">
        <w:rPr>
          <w:rFonts w:ascii="Arial Narrow" w:hAnsi="Arial Narrow" w:cs="Arial"/>
          <w:b w:val="0"/>
          <w:bCs w:val="0"/>
          <w:color w:val="808080"/>
          <w:spacing w:val="-2"/>
          <w:sz w:val="19"/>
          <w:szCs w:val="19"/>
        </w:rPr>
        <w:t>2</w:t>
      </w:r>
      <w:r w:rsidR="00F27D52" w:rsidRPr="00260109">
        <w:rPr>
          <w:rFonts w:ascii="Arial Narrow" w:hAnsi="Arial Narrow" w:cs="Arial"/>
          <w:b w:val="0"/>
          <w:bCs w:val="0"/>
          <w:color w:val="808080"/>
          <w:spacing w:val="-2"/>
          <w:sz w:val="19"/>
          <w:szCs w:val="19"/>
        </w:rPr>
        <w:t xml:space="preserve"> e Dicembre 201</w:t>
      </w:r>
      <w:r w:rsidR="00A01647">
        <w:rPr>
          <w:rFonts w:ascii="Arial Narrow" w:hAnsi="Arial Narrow" w:cs="Arial"/>
          <w:b w:val="0"/>
          <w:bCs w:val="0"/>
          <w:color w:val="808080"/>
          <w:spacing w:val="-2"/>
          <w:sz w:val="19"/>
          <w:szCs w:val="19"/>
        </w:rPr>
        <w:t>3</w:t>
      </w:r>
    </w:p>
    <w:tbl>
      <w:tblPr>
        <w:tblW w:w="8690" w:type="dxa"/>
        <w:tblInd w:w="1908" w:type="dxa"/>
        <w:tblBorders>
          <w:top w:val="single" w:sz="4" w:space="0" w:color="333333"/>
          <w:bottom w:val="single" w:sz="4" w:space="0" w:color="333333"/>
          <w:insideH w:val="single" w:sz="4" w:space="0" w:color="333333"/>
        </w:tblBorders>
        <w:tblLook w:val="01E0" w:firstRow="1" w:lastRow="1" w:firstColumn="1" w:lastColumn="1" w:noHBand="0" w:noVBand="0"/>
      </w:tblPr>
      <w:tblGrid>
        <w:gridCol w:w="1035"/>
        <w:gridCol w:w="1276"/>
        <w:gridCol w:w="1276"/>
        <w:gridCol w:w="1417"/>
        <w:gridCol w:w="1701"/>
        <w:gridCol w:w="1985"/>
      </w:tblGrid>
      <w:tr w:rsidR="00F27D52" w:rsidRPr="00742BDB">
        <w:trPr>
          <w:cantSplit/>
          <w:trHeight w:val="275"/>
        </w:trPr>
        <w:tc>
          <w:tcPr>
            <w:tcW w:w="1035" w:type="dxa"/>
            <w:vMerge w:val="restart"/>
            <w:vAlign w:val="center"/>
          </w:tcPr>
          <w:p w:rsidR="00F27D52" w:rsidRPr="00742BDB" w:rsidRDefault="00F27D52" w:rsidP="00F939D6">
            <w:pPr>
              <w:pStyle w:val="Titolo9"/>
              <w:keepNext w:val="0"/>
            </w:pPr>
            <w:r w:rsidRPr="00742BDB">
              <w:t>Unità</w:t>
            </w:r>
          </w:p>
        </w:tc>
        <w:tc>
          <w:tcPr>
            <w:tcW w:w="2552" w:type="dxa"/>
            <w:gridSpan w:val="2"/>
            <w:shd w:val="clear" w:color="auto" w:fill="E6E6E6"/>
            <w:vAlign w:val="center"/>
          </w:tcPr>
          <w:p w:rsidR="00F27D52" w:rsidRPr="00742BDB" w:rsidRDefault="00F27D52" w:rsidP="00F939D6">
            <w:pPr>
              <w:pStyle w:val="Titolo5"/>
            </w:pPr>
            <w:r w:rsidRPr="00742BDB">
              <w:t>Numerosità</w:t>
            </w:r>
          </w:p>
        </w:tc>
        <w:tc>
          <w:tcPr>
            <w:tcW w:w="5103" w:type="dxa"/>
            <w:gridSpan w:val="3"/>
            <w:vAlign w:val="center"/>
          </w:tcPr>
          <w:p w:rsidR="00F27D52" w:rsidRPr="00742BDB" w:rsidRDefault="00F27D52" w:rsidP="00F939D6">
            <w:pPr>
              <w:pStyle w:val="Titolo5"/>
            </w:pPr>
            <w:r w:rsidRPr="00742BDB">
              <w:t>Flussi tra le due basi</w:t>
            </w:r>
          </w:p>
        </w:tc>
      </w:tr>
      <w:tr w:rsidR="00F27D52" w:rsidRPr="00742BDB">
        <w:trPr>
          <w:cantSplit/>
          <w:trHeight w:val="200"/>
        </w:trPr>
        <w:tc>
          <w:tcPr>
            <w:tcW w:w="1035" w:type="dxa"/>
            <w:vMerge/>
            <w:vAlign w:val="center"/>
          </w:tcPr>
          <w:p w:rsidR="00F27D52" w:rsidRPr="00742BDB" w:rsidRDefault="00F27D52" w:rsidP="00F939D6">
            <w:pPr>
              <w:spacing w:before="40" w:after="20"/>
              <w:ind w:left="-57"/>
              <w:rPr>
                <w:rFonts w:ascii="Arial Narrow" w:hAnsi="Arial Narrow" w:cs="Arial"/>
                <w:sz w:val="18"/>
                <w:szCs w:val="16"/>
              </w:rPr>
            </w:pPr>
          </w:p>
        </w:tc>
        <w:tc>
          <w:tcPr>
            <w:tcW w:w="1276" w:type="dxa"/>
            <w:shd w:val="clear" w:color="auto" w:fill="E6E6E6"/>
            <w:vAlign w:val="center"/>
          </w:tcPr>
          <w:p w:rsidR="00F27D52" w:rsidRPr="000B70C5" w:rsidRDefault="00F27D52" w:rsidP="000B70C5">
            <w:pPr>
              <w:spacing w:before="40" w:after="20"/>
              <w:ind w:right="127"/>
              <w:jc w:val="right"/>
              <w:rPr>
                <w:rFonts w:ascii="Arial Narrow" w:hAnsi="Arial Narrow" w:cs="Arial"/>
                <w:b/>
                <w:sz w:val="18"/>
                <w:szCs w:val="16"/>
              </w:rPr>
            </w:pPr>
            <w:r w:rsidRPr="000B70C5">
              <w:rPr>
                <w:rFonts w:ascii="Arial Narrow" w:hAnsi="Arial Narrow" w:cs="Arial"/>
                <w:b/>
                <w:sz w:val="18"/>
                <w:szCs w:val="16"/>
              </w:rPr>
              <w:t>Base 201</w:t>
            </w:r>
            <w:r w:rsidR="00DE6386" w:rsidRPr="000B70C5">
              <w:rPr>
                <w:rFonts w:ascii="Arial Narrow" w:hAnsi="Arial Narrow" w:cs="Arial"/>
                <w:b/>
                <w:sz w:val="18"/>
                <w:szCs w:val="16"/>
              </w:rPr>
              <w:t>2</w:t>
            </w:r>
          </w:p>
        </w:tc>
        <w:tc>
          <w:tcPr>
            <w:tcW w:w="1276" w:type="dxa"/>
            <w:vAlign w:val="center"/>
          </w:tcPr>
          <w:p w:rsidR="00F27D52" w:rsidRPr="000B70C5" w:rsidRDefault="00F27D52" w:rsidP="000B70C5">
            <w:pPr>
              <w:spacing w:before="40" w:after="20"/>
              <w:ind w:right="127"/>
              <w:jc w:val="right"/>
              <w:rPr>
                <w:rFonts w:ascii="Arial Narrow" w:hAnsi="Arial Narrow" w:cs="Arial"/>
                <w:b/>
                <w:sz w:val="18"/>
                <w:szCs w:val="16"/>
              </w:rPr>
            </w:pPr>
            <w:r w:rsidRPr="000B70C5">
              <w:rPr>
                <w:rFonts w:ascii="Arial Narrow" w:hAnsi="Arial Narrow" w:cs="Arial"/>
                <w:b/>
                <w:sz w:val="18"/>
                <w:szCs w:val="16"/>
              </w:rPr>
              <w:t>Base 201</w:t>
            </w:r>
            <w:r w:rsidR="00BC150A" w:rsidRPr="000B70C5">
              <w:rPr>
                <w:rFonts w:ascii="Arial Narrow" w:hAnsi="Arial Narrow" w:cs="Arial"/>
                <w:b/>
                <w:sz w:val="18"/>
                <w:szCs w:val="16"/>
              </w:rPr>
              <w:t>3</w:t>
            </w:r>
          </w:p>
        </w:tc>
        <w:tc>
          <w:tcPr>
            <w:tcW w:w="1417" w:type="dxa"/>
            <w:shd w:val="clear" w:color="auto" w:fill="E6E6E6"/>
            <w:vAlign w:val="center"/>
          </w:tcPr>
          <w:p w:rsidR="00F27D52" w:rsidRPr="000B70C5" w:rsidRDefault="00F27D52" w:rsidP="000B70C5">
            <w:pPr>
              <w:spacing w:before="40" w:after="20"/>
              <w:ind w:right="127"/>
              <w:jc w:val="right"/>
              <w:rPr>
                <w:rFonts w:ascii="Arial Narrow" w:hAnsi="Arial Narrow" w:cs="Arial"/>
                <w:b/>
                <w:sz w:val="18"/>
                <w:szCs w:val="16"/>
              </w:rPr>
            </w:pPr>
            <w:r w:rsidRPr="000B70C5">
              <w:rPr>
                <w:rFonts w:ascii="Arial Narrow" w:hAnsi="Arial Narrow" w:cs="Arial"/>
                <w:b/>
                <w:sz w:val="18"/>
                <w:szCs w:val="16"/>
              </w:rPr>
              <w:t xml:space="preserve">In uscita dalla </w:t>
            </w:r>
            <w:r w:rsidRPr="000B70C5">
              <w:rPr>
                <w:rFonts w:ascii="Arial Narrow" w:hAnsi="Arial Narrow" w:cs="Arial"/>
                <w:b/>
                <w:sz w:val="18"/>
                <w:szCs w:val="16"/>
              </w:rPr>
              <w:br/>
              <w:t>Base 201</w:t>
            </w:r>
            <w:r w:rsidR="005E661F" w:rsidRPr="000B70C5">
              <w:rPr>
                <w:rFonts w:ascii="Arial Narrow" w:hAnsi="Arial Narrow" w:cs="Arial"/>
                <w:b/>
                <w:sz w:val="18"/>
                <w:szCs w:val="16"/>
              </w:rPr>
              <w:t>2</w:t>
            </w:r>
          </w:p>
        </w:tc>
        <w:tc>
          <w:tcPr>
            <w:tcW w:w="1701" w:type="dxa"/>
            <w:vAlign w:val="center"/>
          </w:tcPr>
          <w:p w:rsidR="00F27D52" w:rsidRPr="000B70C5" w:rsidRDefault="00F27D52" w:rsidP="000B70C5">
            <w:pPr>
              <w:spacing w:before="40" w:after="20"/>
              <w:ind w:right="127"/>
              <w:jc w:val="right"/>
              <w:rPr>
                <w:rFonts w:ascii="Arial Narrow" w:hAnsi="Arial Narrow" w:cs="Arial"/>
                <w:b/>
                <w:sz w:val="18"/>
                <w:szCs w:val="16"/>
              </w:rPr>
            </w:pPr>
            <w:r w:rsidRPr="000B70C5">
              <w:rPr>
                <w:rFonts w:ascii="Arial Narrow" w:hAnsi="Arial Narrow" w:cs="Arial"/>
                <w:b/>
                <w:sz w:val="18"/>
                <w:szCs w:val="16"/>
              </w:rPr>
              <w:t>Provenienti dalla</w:t>
            </w:r>
            <w:r w:rsidRPr="000B70C5">
              <w:rPr>
                <w:rFonts w:ascii="Arial Narrow" w:hAnsi="Arial Narrow" w:cs="Arial"/>
                <w:b/>
                <w:sz w:val="18"/>
                <w:szCs w:val="16"/>
              </w:rPr>
              <w:br/>
              <w:t>Base 201</w:t>
            </w:r>
            <w:r w:rsidR="005E661F" w:rsidRPr="000B70C5">
              <w:rPr>
                <w:rFonts w:ascii="Arial Narrow" w:hAnsi="Arial Narrow" w:cs="Arial"/>
                <w:b/>
                <w:sz w:val="18"/>
                <w:szCs w:val="16"/>
              </w:rPr>
              <w:t>2</w:t>
            </w:r>
          </w:p>
        </w:tc>
        <w:tc>
          <w:tcPr>
            <w:tcW w:w="1985" w:type="dxa"/>
            <w:shd w:val="clear" w:color="auto" w:fill="E6E6E6"/>
            <w:vAlign w:val="center"/>
          </w:tcPr>
          <w:p w:rsidR="00F27D52" w:rsidRPr="000B70C5" w:rsidRDefault="00F27D52" w:rsidP="000B70C5">
            <w:pPr>
              <w:spacing w:before="40" w:after="20"/>
              <w:ind w:right="127"/>
              <w:jc w:val="right"/>
              <w:rPr>
                <w:rFonts w:ascii="Arial Narrow" w:hAnsi="Arial Narrow" w:cs="Arial"/>
                <w:b/>
                <w:sz w:val="18"/>
                <w:szCs w:val="16"/>
              </w:rPr>
            </w:pPr>
            <w:r w:rsidRPr="000B70C5">
              <w:rPr>
                <w:rFonts w:ascii="Arial Narrow" w:hAnsi="Arial Narrow" w:cs="Arial"/>
                <w:b/>
                <w:sz w:val="18"/>
                <w:szCs w:val="16"/>
              </w:rPr>
              <w:t>In entrata nella</w:t>
            </w:r>
            <w:r w:rsidRPr="000B70C5">
              <w:rPr>
                <w:rFonts w:ascii="Arial Narrow" w:hAnsi="Arial Narrow" w:cs="Arial"/>
                <w:b/>
                <w:sz w:val="18"/>
                <w:szCs w:val="16"/>
              </w:rPr>
              <w:br/>
              <w:t>Base 201</w:t>
            </w:r>
            <w:r w:rsidR="005E661F" w:rsidRPr="000B70C5">
              <w:rPr>
                <w:rFonts w:ascii="Arial Narrow" w:hAnsi="Arial Narrow" w:cs="Arial"/>
                <w:b/>
                <w:sz w:val="18"/>
                <w:szCs w:val="16"/>
              </w:rPr>
              <w:t>3</w:t>
            </w:r>
          </w:p>
        </w:tc>
      </w:tr>
      <w:tr w:rsidR="00EB5C05" w:rsidRPr="00742BDB">
        <w:tc>
          <w:tcPr>
            <w:tcW w:w="1035" w:type="dxa"/>
            <w:vAlign w:val="center"/>
          </w:tcPr>
          <w:p w:rsidR="00EB5C05" w:rsidRPr="00742BDB" w:rsidRDefault="00EB5C05" w:rsidP="00F939D6">
            <w:pPr>
              <w:spacing w:before="40" w:after="20"/>
              <w:ind w:left="-57"/>
              <w:rPr>
                <w:rFonts w:ascii="Arial Narrow" w:hAnsi="Arial Narrow" w:cs="Arial"/>
                <w:sz w:val="18"/>
                <w:szCs w:val="16"/>
              </w:rPr>
            </w:pPr>
            <w:r w:rsidRPr="00742BDB">
              <w:rPr>
                <w:rFonts w:ascii="Arial Narrow" w:hAnsi="Arial Narrow" w:cs="Arial"/>
                <w:sz w:val="18"/>
                <w:szCs w:val="16"/>
              </w:rPr>
              <w:t>Prodotti</w:t>
            </w:r>
          </w:p>
        </w:tc>
        <w:tc>
          <w:tcPr>
            <w:tcW w:w="1276" w:type="dxa"/>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1.267</w:t>
            </w:r>
          </w:p>
        </w:tc>
        <w:tc>
          <w:tcPr>
            <w:tcW w:w="1276" w:type="dxa"/>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1.241</w:t>
            </w:r>
          </w:p>
        </w:tc>
        <w:tc>
          <w:tcPr>
            <w:tcW w:w="1417" w:type="dxa"/>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84</w:t>
            </w:r>
          </w:p>
        </w:tc>
        <w:tc>
          <w:tcPr>
            <w:tcW w:w="1701" w:type="dxa"/>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1.183</w:t>
            </w:r>
          </w:p>
        </w:tc>
        <w:tc>
          <w:tcPr>
            <w:tcW w:w="1985" w:type="dxa"/>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58</w:t>
            </w:r>
          </w:p>
        </w:tc>
      </w:tr>
      <w:tr w:rsidR="00EB5C05" w:rsidRPr="00742BDB">
        <w:tc>
          <w:tcPr>
            <w:tcW w:w="1035" w:type="dxa"/>
            <w:vAlign w:val="center"/>
          </w:tcPr>
          <w:p w:rsidR="00EB5C05" w:rsidRPr="00742BDB" w:rsidRDefault="00EB5C05" w:rsidP="00F939D6">
            <w:pPr>
              <w:spacing w:before="40" w:after="20"/>
              <w:ind w:left="-57"/>
              <w:rPr>
                <w:rFonts w:ascii="Arial Narrow" w:hAnsi="Arial Narrow" w:cs="Arial"/>
                <w:sz w:val="18"/>
                <w:szCs w:val="16"/>
              </w:rPr>
            </w:pPr>
            <w:r w:rsidRPr="00742BDB">
              <w:rPr>
                <w:rFonts w:ascii="Arial Narrow" w:hAnsi="Arial Narrow" w:cs="Arial"/>
                <w:sz w:val="18"/>
                <w:szCs w:val="16"/>
              </w:rPr>
              <w:t>Prezzi</w:t>
            </w:r>
          </w:p>
        </w:tc>
        <w:tc>
          <w:tcPr>
            <w:tcW w:w="1276" w:type="dxa"/>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11.101</w:t>
            </w:r>
          </w:p>
        </w:tc>
        <w:tc>
          <w:tcPr>
            <w:tcW w:w="1276" w:type="dxa"/>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10.925</w:t>
            </w:r>
          </w:p>
        </w:tc>
        <w:tc>
          <w:tcPr>
            <w:tcW w:w="1417" w:type="dxa"/>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bCs/>
                <w:sz w:val="18"/>
                <w:szCs w:val="16"/>
              </w:rPr>
              <w:t>1.275</w:t>
            </w:r>
          </w:p>
        </w:tc>
        <w:tc>
          <w:tcPr>
            <w:tcW w:w="1701" w:type="dxa"/>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9.826</w:t>
            </w:r>
          </w:p>
        </w:tc>
        <w:tc>
          <w:tcPr>
            <w:tcW w:w="1985" w:type="dxa"/>
            <w:shd w:val="clear" w:color="auto" w:fill="E6E6E6"/>
            <w:vAlign w:val="center"/>
          </w:tcPr>
          <w:p w:rsidR="00EB5C05" w:rsidRPr="00CC2FDC" w:rsidRDefault="00EB5C05" w:rsidP="001F78E3">
            <w:pPr>
              <w:spacing w:before="40" w:after="20"/>
              <w:ind w:right="127"/>
              <w:jc w:val="right"/>
              <w:rPr>
                <w:rFonts w:ascii="Arial Narrow" w:hAnsi="Arial Narrow" w:cs="Arial"/>
                <w:bCs/>
                <w:sz w:val="18"/>
                <w:szCs w:val="16"/>
              </w:rPr>
            </w:pPr>
            <w:r>
              <w:rPr>
                <w:rFonts w:ascii="Arial Narrow" w:hAnsi="Arial Narrow" w:cs="Arial"/>
                <w:sz w:val="18"/>
                <w:szCs w:val="16"/>
              </w:rPr>
              <w:t xml:space="preserve">1.099 </w:t>
            </w:r>
          </w:p>
        </w:tc>
      </w:tr>
      <w:tr w:rsidR="00EB5C05" w:rsidRPr="00742BDB">
        <w:tc>
          <w:tcPr>
            <w:tcW w:w="1035" w:type="dxa"/>
            <w:tcBorders>
              <w:bottom w:val="single" w:sz="4" w:space="0" w:color="auto"/>
            </w:tcBorders>
            <w:vAlign w:val="center"/>
          </w:tcPr>
          <w:p w:rsidR="00EB5C05" w:rsidRPr="00742BDB" w:rsidRDefault="00EB5C05" w:rsidP="00F939D6">
            <w:pPr>
              <w:spacing w:before="40" w:after="20"/>
              <w:ind w:left="-57"/>
              <w:rPr>
                <w:rFonts w:ascii="Arial Narrow" w:hAnsi="Arial Narrow" w:cs="Arial"/>
                <w:sz w:val="18"/>
                <w:szCs w:val="16"/>
              </w:rPr>
            </w:pPr>
            <w:r w:rsidRPr="00742BDB">
              <w:rPr>
                <w:rFonts w:ascii="Arial Narrow" w:hAnsi="Arial Narrow" w:cs="Arial"/>
                <w:sz w:val="18"/>
                <w:szCs w:val="16"/>
              </w:rPr>
              <w:t>Imprese</w:t>
            </w:r>
          </w:p>
        </w:tc>
        <w:tc>
          <w:tcPr>
            <w:tcW w:w="1276" w:type="dxa"/>
            <w:tcBorders>
              <w:bottom w:val="single" w:sz="4" w:space="0" w:color="auto"/>
            </w:tcBorders>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3.611</w:t>
            </w:r>
          </w:p>
        </w:tc>
        <w:tc>
          <w:tcPr>
            <w:tcW w:w="1276" w:type="dxa"/>
            <w:tcBorders>
              <w:bottom w:val="single" w:sz="4" w:space="0" w:color="auto"/>
            </w:tcBorders>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3.595</w:t>
            </w:r>
          </w:p>
        </w:tc>
        <w:tc>
          <w:tcPr>
            <w:tcW w:w="1417" w:type="dxa"/>
            <w:tcBorders>
              <w:bottom w:val="single" w:sz="4" w:space="0" w:color="auto"/>
            </w:tcBorders>
            <w:shd w:val="clear" w:color="auto" w:fill="E6E6E6"/>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396</w:t>
            </w:r>
          </w:p>
        </w:tc>
        <w:tc>
          <w:tcPr>
            <w:tcW w:w="1701" w:type="dxa"/>
            <w:tcBorders>
              <w:bottom w:val="single" w:sz="4" w:space="0" w:color="auto"/>
            </w:tcBorders>
            <w:vAlign w:val="center"/>
          </w:tcPr>
          <w:p w:rsidR="00EB5C05" w:rsidRPr="00742BDB" w:rsidRDefault="00EB5C05" w:rsidP="001F78E3">
            <w:pPr>
              <w:spacing w:before="40" w:after="20"/>
              <w:ind w:right="127"/>
              <w:jc w:val="right"/>
              <w:rPr>
                <w:rFonts w:ascii="Arial Narrow" w:hAnsi="Arial Narrow" w:cs="Arial"/>
                <w:sz w:val="18"/>
                <w:szCs w:val="16"/>
              </w:rPr>
            </w:pPr>
            <w:r>
              <w:rPr>
                <w:rFonts w:ascii="Arial Narrow" w:hAnsi="Arial Narrow" w:cs="Arial"/>
                <w:sz w:val="18"/>
                <w:szCs w:val="16"/>
              </w:rPr>
              <w:t>3.215</w:t>
            </w:r>
          </w:p>
        </w:tc>
        <w:tc>
          <w:tcPr>
            <w:tcW w:w="1985" w:type="dxa"/>
            <w:tcBorders>
              <w:bottom w:val="single" w:sz="4" w:space="0" w:color="auto"/>
            </w:tcBorders>
            <w:shd w:val="clear" w:color="auto" w:fill="E6E6E6"/>
            <w:vAlign w:val="center"/>
          </w:tcPr>
          <w:p w:rsidR="00EB5C05" w:rsidRPr="00CC2FDC" w:rsidRDefault="00EB5C05" w:rsidP="001F78E3">
            <w:pPr>
              <w:spacing w:before="40" w:after="20"/>
              <w:ind w:right="127"/>
              <w:jc w:val="right"/>
              <w:rPr>
                <w:rFonts w:ascii="Arial Narrow" w:hAnsi="Arial Narrow" w:cs="Arial"/>
                <w:bCs/>
                <w:sz w:val="18"/>
                <w:szCs w:val="16"/>
              </w:rPr>
            </w:pPr>
            <w:r>
              <w:rPr>
                <w:rFonts w:ascii="Arial Narrow" w:hAnsi="Arial Narrow" w:cs="Arial"/>
                <w:bCs/>
                <w:sz w:val="18"/>
                <w:szCs w:val="16"/>
              </w:rPr>
              <w:t>380</w:t>
            </w:r>
          </w:p>
        </w:tc>
      </w:tr>
    </w:tbl>
    <w:p w:rsidR="00E6137D" w:rsidRDefault="00E6137D" w:rsidP="00E6137D">
      <w:pPr>
        <w:spacing w:after="120"/>
        <w:ind w:left="1843"/>
        <w:jc w:val="both"/>
        <w:rPr>
          <w:rFonts w:ascii="Arial" w:hAnsi="Arial" w:cs="Arial"/>
          <w:sz w:val="20"/>
          <w:szCs w:val="20"/>
        </w:rPr>
      </w:pPr>
    </w:p>
    <w:p w:rsidR="00696E8C" w:rsidRPr="004269B0" w:rsidRDefault="00696E8C" w:rsidP="00696E8C">
      <w:pPr>
        <w:spacing w:after="120"/>
        <w:ind w:left="1814"/>
        <w:jc w:val="both"/>
        <w:rPr>
          <w:rFonts w:ascii="Arial" w:hAnsi="Arial" w:cs="Arial"/>
          <w:sz w:val="20"/>
          <w:szCs w:val="20"/>
        </w:rPr>
      </w:pPr>
      <w:r w:rsidRPr="00117170">
        <w:rPr>
          <w:rFonts w:ascii="Arial" w:hAnsi="Arial" w:cs="Arial"/>
          <w:sz w:val="20"/>
          <w:szCs w:val="20"/>
        </w:rPr>
        <w:t xml:space="preserve">Considerando ancora il mercato interno (Prospetto </w:t>
      </w:r>
      <w:r w:rsidR="00117170" w:rsidRPr="00117170">
        <w:rPr>
          <w:rFonts w:ascii="Arial" w:hAnsi="Arial" w:cs="Arial"/>
          <w:sz w:val="20"/>
          <w:szCs w:val="20"/>
        </w:rPr>
        <w:t>1</w:t>
      </w:r>
      <w:r w:rsidRPr="00117170">
        <w:rPr>
          <w:rFonts w:ascii="Arial" w:hAnsi="Arial" w:cs="Arial"/>
          <w:sz w:val="20"/>
          <w:szCs w:val="20"/>
        </w:rPr>
        <w:t>), in termini assoluti la nuova base di calcolo conta 16 imprese in meno rispetto alla precedente con</w:t>
      </w:r>
      <w:r w:rsidR="007167D6">
        <w:rPr>
          <w:rFonts w:ascii="Arial" w:hAnsi="Arial" w:cs="Arial"/>
          <w:sz w:val="20"/>
          <w:szCs w:val="20"/>
        </w:rPr>
        <w:t xml:space="preserve"> un saldo netto pari a -0,4 (10,</w:t>
      </w:r>
      <w:r w:rsidRPr="00117170">
        <w:rPr>
          <w:rFonts w:ascii="Arial" w:hAnsi="Arial" w:cs="Arial"/>
          <w:sz w:val="20"/>
          <w:szCs w:val="20"/>
        </w:rPr>
        <w:t>6% in entrata e l’11</w:t>
      </w:r>
      <w:r w:rsidR="00EA3EFE">
        <w:rPr>
          <w:rFonts w:ascii="Arial" w:hAnsi="Arial" w:cs="Arial"/>
          <w:sz w:val="20"/>
          <w:szCs w:val="20"/>
        </w:rPr>
        <w:t>,0</w:t>
      </w:r>
      <w:r w:rsidRPr="00117170">
        <w:rPr>
          <w:rFonts w:ascii="Arial" w:hAnsi="Arial" w:cs="Arial"/>
          <w:sz w:val="20"/>
          <w:szCs w:val="20"/>
        </w:rPr>
        <w:t xml:space="preserve">% in uscita); il rapporto </w:t>
      </w:r>
      <w:r w:rsidRPr="00117170">
        <w:rPr>
          <w:rFonts w:ascii="Arial" w:hAnsi="Arial" w:cs="Arial"/>
          <w:i/>
          <w:sz w:val="20"/>
          <w:szCs w:val="20"/>
        </w:rPr>
        <w:t>prezzi/imprese</w:t>
      </w:r>
      <w:r w:rsidRPr="00117170">
        <w:rPr>
          <w:rFonts w:ascii="Arial" w:hAnsi="Arial" w:cs="Arial"/>
          <w:sz w:val="20"/>
          <w:szCs w:val="20"/>
        </w:rPr>
        <w:t>, che misura il carico medio per rispondente, scende da 3,1 a 3</w:t>
      </w:r>
      <w:r w:rsidR="00EA3EFE">
        <w:rPr>
          <w:rFonts w:ascii="Arial" w:hAnsi="Arial" w:cs="Arial"/>
          <w:sz w:val="20"/>
          <w:szCs w:val="20"/>
        </w:rPr>
        <w:t>,0</w:t>
      </w:r>
      <w:r w:rsidRPr="00117170">
        <w:rPr>
          <w:rFonts w:ascii="Arial" w:hAnsi="Arial" w:cs="Arial"/>
          <w:sz w:val="20"/>
          <w:szCs w:val="20"/>
        </w:rPr>
        <w:t xml:space="preserve"> (ogni impresa fornisce mediamente 3 quotazioni di prezzo per prodotto); le quotazioni </w:t>
      </w:r>
      <w:r w:rsidRPr="00117170">
        <w:rPr>
          <w:rFonts w:ascii="Arial" w:hAnsi="Arial" w:cs="Arial"/>
          <w:sz w:val="20"/>
          <w:szCs w:val="20"/>
        </w:rPr>
        <w:lastRenderedPageBreak/>
        <w:t xml:space="preserve">rilevate diminuiscono in termini assoluti di 176 unità. Il rapporto </w:t>
      </w:r>
      <w:r w:rsidRPr="00117170">
        <w:rPr>
          <w:rFonts w:ascii="Arial" w:hAnsi="Arial" w:cs="Arial"/>
          <w:i/>
          <w:sz w:val="20"/>
          <w:szCs w:val="20"/>
        </w:rPr>
        <w:t>imprese/prodotti</w:t>
      </w:r>
      <w:r w:rsidRPr="00117170">
        <w:rPr>
          <w:rFonts w:ascii="Arial" w:hAnsi="Arial" w:cs="Arial"/>
          <w:sz w:val="20"/>
          <w:szCs w:val="20"/>
        </w:rPr>
        <w:t xml:space="preserve"> rimane invariato rispetto alla base di calcolo Dicembre 2012 a 2,9</w:t>
      </w:r>
      <w:r w:rsidRPr="00117170">
        <w:rPr>
          <w:rStyle w:val="Rimandonotaapidipagina"/>
          <w:rFonts w:ascii="Arial" w:hAnsi="Arial" w:cs="Arial"/>
          <w:sz w:val="20"/>
          <w:szCs w:val="20"/>
        </w:rPr>
        <w:footnoteReference w:id="1"/>
      </w:r>
      <w:r w:rsidRPr="00117170">
        <w:rPr>
          <w:rFonts w:ascii="Arial" w:hAnsi="Arial" w:cs="Arial"/>
          <w:sz w:val="20"/>
          <w:szCs w:val="20"/>
        </w:rPr>
        <w:t>.</w:t>
      </w:r>
    </w:p>
    <w:p w:rsidR="00696E8C" w:rsidRDefault="00696E8C" w:rsidP="00696E8C">
      <w:pPr>
        <w:spacing w:after="120"/>
        <w:ind w:left="1814"/>
        <w:jc w:val="both"/>
        <w:rPr>
          <w:rFonts w:ascii="Arial" w:hAnsi="Arial" w:cs="Arial"/>
          <w:sz w:val="20"/>
          <w:szCs w:val="20"/>
        </w:rPr>
      </w:pPr>
      <w:r w:rsidRPr="00117170">
        <w:rPr>
          <w:rFonts w:ascii="Arial" w:hAnsi="Arial" w:cs="Arial"/>
          <w:sz w:val="20"/>
          <w:szCs w:val="20"/>
        </w:rPr>
        <w:t xml:space="preserve">Anche sul mercato estero (Prospetto </w:t>
      </w:r>
      <w:r w:rsidR="00117170" w:rsidRPr="00117170">
        <w:rPr>
          <w:rFonts w:ascii="Arial" w:hAnsi="Arial" w:cs="Arial"/>
          <w:sz w:val="20"/>
          <w:szCs w:val="20"/>
        </w:rPr>
        <w:t>2</w:t>
      </w:r>
      <w:r w:rsidRPr="00117170">
        <w:rPr>
          <w:rFonts w:ascii="Arial" w:hAnsi="Arial" w:cs="Arial"/>
          <w:sz w:val="20"/>
          <w:szCs w:val="20"/>
        </w:rPr>
        <w:t xml:space="preserve">), la situazione è pressoché stabile. Nell’area euro, i rapporti </w:t>
      </w:r>
      <w:r w:rsidRPr="00117170">
        <w:rPr>
          <w:rFonts w:ascii="Arial" w:hAnsi="Arial" w:cs="Arial"/>
          <w:i/>
          <w:sz w:val="20"/>
          <w:szCs w:val="20"/>
        </w:rPr>
        <w:t>prezzi/imprese</w:t>
      </w:r>
      <w:r w:rsidRPr="00117170">
        <w:rPr>
          <w:rFonts w:ascii="Arial" w:hAnsi="Arial" w:cs="Arial"/>
          <w:sz w:val="20"/>
          <w:szCs w:val="20"/>
        </w:rPr>
        <w:t xml:space="preserve"> e </w:t>
      </w:r>
      <w:r w:rsidRPr="00117170">
        <w:rPr>
          <w:rFonts w:ascii="Arial" w:hAnsi="Arial" w:cs="Arial"/>
          <w:i/>
          <w:sz w:val="20"/>
          <w:szCs w:val="20"/>
        </w:rPr>
        <w:t>imprese/prodotti</w:t>
      </w:r>
      <w:r w:rsidRPr="00117170">
        <w:rPr>
          <w:rFonts w:ascii="Arial" w:hAnsi="Arial" w:cs="Arial"/>
          <w:sz w:val="20"/>
          <w:szCs w:val="20"/>
        </w:rPr>
        <w:t xml:space="preserve"> variano leggermente passando da 2,6 e </w:t>
      </w:r>
      <w:r w:rsidR="000D5828">
        <w:rPr>
          <w:rFonts w:ascii="Arial" w:hAnsi="Arial" w:cs="Arial"/>
          <w:sz w:val="20"/>
          <w:szCs w:val="20"/>
        </w:rPr>
        <w:t xml:space="preserve">2,0 </w:t>
      </w:r>
      <w:bookmarkStart w:id="0" w:name="_GoBack"/>
      <w:bookmarkEnd w:id="0"/>
      <w:r w:rsidRPr="00117170">
        <w:rPr>
          <w:rFonts w:ascii="Arial" w:hAnsi="Arial" w:cs="Arial"/>
          <w:sz w:val="20"/>
          <w:szCs w:val="20"/>
        </w:rPr>
        <w:t>a 2,5 e 2</w:t>
      </w:r>
      <w:r w:rsidR="00EA3EFE">
        <w:rPr>
          <w:rFonts w:ascii="Arial" w:hAnsi="Arial" w:cs="Arial"/>
          <w:sz w:val="20"/>
          <w:szCs w:val="20"/>
        </w:rPr>
        <w:t>,0</w:t>
      </w:r>
      <w:r w:rsidRPr="00117170">
        <w:rPr>
          <w:rFonts w:ascii="Arial" w:hAnsi="Arial" w:cs="Arial"/>
          <w:sz w:val="20"/>
          <w:szCs w:val="20"/>
        </w:rPr>
        <w:t>. Anche nell’area non euro, gli stessi rapporti cambiano lievemente: 2,5 e 2,2 nella base di calcolo Dicembre 2013 a fronte di 2,6 e 2</w:t>
      </w:r>
      <w:r w:rsidR="00EA3EFE">
        <w:rPr>
          <w:rFonts w:ascii="Arial" w:hAnsi="Arial" w:cs="Arial"/>
          <w:sz w:val="20"/>
          <w:szCs w:val="20"/>
        </w:rPr>
        <w:t>,0</w:t>
      </w:r>
      <w:r w:rsidRPr="00117170">
        <w:rPr>
          <w:rFonts w:ascii="Arial" w:hAnsi="Arial" w:cs="Arial"/>
          <w:sz w:val="20"/>
          <w:szCs w:val="20"/>
        </w:rPr>
        <w:t xml:space="preserve"> nella precedente base di calcolo. Per quanto riguarda le imprese, nell’area euro il saldo netto tra unità in entrata e in uscita è pari a cir</w:t>
      </w:r>
      <w:r w:rsidR="00E20C7A">
        <w:rPr>
          <w:rFonts w:ascii="Arial" w:hAnsi="Arial" w:cs="Arial"/>
          <w:sz w:val="20"/>
          <w:szCs w:val="20"/>
        </w:rPr>
        <w:t>ca il 2,6% della consistenza (13,9% e 11,3</w:t>
      </w:r>
      <w:r w:rsidRPr="00117170">
        <w:rPr>
          <w:rFonts w:ascii="Arial" w:hAnsi="Arial" w:cs="Arial"/>
          <w:sz w:val="20"/>
          <w:szCs w:val="20"/>
        </w:rPr>
        <w:t>% rispettivamente le nuove entrate e quelle uscite); più ampio è l’aumento del numero di imprese per l’area non euro (superiore al 4</w:t>
      </w:r>
      <w:r w:rsidR="00EA3EFE">
        <w:rPr>
          <w:rFonts w:ascii="Arial" w:hAnsi="Arial" w:cs="Arial"/>
          <w:sz w:val="20"/>
          <w:szCs w:val="20"/>
        </w:rPr>
        <w:t>,0</w:t>
      </w:r>
      <w:r w:rsidRPr="00117170">
        <w:rPr>
          <w:rFonts w:ascii="Arial" w:hAnsi="Arial" w:cs="Arial"/>
          <w:sz w:val="20"/>
          <w:szCs w:val="20"/>
        </w:rPr>
        <w:t xml:space="preserve">%), quale risultato di un </w:t>
      </w:r>
      <w:r w:rsidRPr="00117170">
        <w:rPr>
          <w:rFonts w:ascii="Arial" w:hAnsi="Arial" w:cs="Arial"/>
          <w:i/>
          <w:sz w:val="20"/>
          <w:szCs w:val="20"/>
        </w:rPr>
        <w:t>turnover</w:t>
      </w:r>
      <w:r w:rsidRPr="00117170">
        <w:rPr>
          <w:rFonts w:ascii="Arial" w:hAnsi="Arial" w:cs="Arial"/>
          <w:sz w:val="20"/>
          <w:szCs w:val="20"/>
        </w:rPr>
        <w:t xml:space="preserve"> particolarmente esteso: oltre il 16,4% di nuove imprese a fronte di circa l'12,1% in uscita.</w:t>
      </w:r>
    </w:p>
    <w:p w:rsidR="00F27D52" w:rsidRDefault="00F27D52" w:rsidP="0066037C">
      <w:pPr>
        <w:spacing w:after="120"/>
        <w:ind w:left="1814"/>
        <w:jc w:val="both"/>
        <w:rPr>
          <w:rFonts w:ascii="Arial" w:hAnsi="Arial" w:cs="Arial"/>
          <w:noProof/>
          <w:sz w:val="20"/>
          <w:szCs w:val="20"/>
        </w:rPr>
      </w:pPr>
    </w:p>
    <w:p w:rsidR="002F1BCC" w:rsidRPr="002F1BCC" w:rsidRDefault="00180425" w:rsidP="002F1BCC">
      <w:pPr>
        <w:pStyle w:val="Soggettocommento"/>
        <w:spacing w:after="120"/>
        <w:jc w:val="both"/>
        <w:rPr>
          <w:rFonts w:ascii="Arial Narrow" w:hAnsi="Arial Narrow" w:cs="Arial"/>
          <w:b w:val="0"/>
          <w:bCs w:val="0"/>
          <w:color w:val="808080"/>
          <w:spacing w:val="-2"/>
          <w:sz w:val="19"/>
          <w:szCs w:val="19"/>
        </w:rPr>
      </w:pPr>
      <w:r>
        <w:rPr>
          <w:rFonts w:ascii="Arial Narrow" w:hAnsi="Arial Narrow" w:cs="Arial"/>
          <w:bCs w:val="0"/>
          <w:caps/>
          <w:color w:val="777777"/>
          <w:szCs w:val="16"/>
        </w:rPr>
        <w:t xml:space="preserve">Prospetto </w:t>
      </w:r>
      <w:r w:rsidR="00557CFD">
        <w:rPr>
          <w:rFonts w:ascii="Arial Narrow" w:hAnsi="Arial Narrow" w:cs="Arial"/>
          <w:bCs w:val="0"/>
          <w:caps/>
          <w:color w:val="777777"/>
          <w:szCs w:val="16"/>
        </w:rPr>
        <w:t>2</w:t>
      </w:r>
      <w:r w:rsidR="00F27D52">
        <w:rPr>
          <w:rFonts w:ascii="Arial Narrow" w:hAnsi="Arial Narrow" w:cs="Arial"/>
          <w:bCs w:val="0"/>
          <w:caps/>
          <w:color w:val="777777"/>
          <w:szCs w:val="16"/>
        </w:rPr>
        <w:t xml:space="preserve">. Prezzi alla produzione dei prodotti industriali, mercato estero area euro e area non euro. Numerosità del campione dei prodotti, prezzi e imprese. </w:t>
      </w:r>
      <w:r w:rsidR="00F27D52" w:rsidRPr="00260109">
        <w:rPr>
          <w:rFonts w:ascii="Arial Narrow" w:hAnsi="Arial Narrow" w:cs="Arial"/>
          <w:b w:val="0"/>
          <w:bCs w:val="0"/>
          <w:caps/>
          <w:color w:val="808080"/>
          <w:spacing w:val="-2"/>
          <w:sz w:val="19"/>
          <w:szCs w:val="19"/>
        </w:rPr>
        <w:t>c</w:t>
      </w:r>
      <w:r w:rsidR="00F27D52" w:rsidRPr="00260109">
        <w:rPr>
          <w:rFonts w:ascii="Arial Narrow" w:hAnsi="Arial Narrow" w:cs="Arial"/>
          <w:b w:val="0"/>
          <w:bCs w:val="0"/>
          <w:color w:val="808080"/>
          <w:spacing w:val="-2"/>
          <w:sz w:val="19"/>
          <w:szCs w:val="19"/>
        </w:rPr>
        <w:t>onfronto tra le basi di calcolo Dicembre 201</w:t>
      </w:r>
      <w:r w:rsidR="00364F67">
        <w:rPr>
          <w:rFonts w:ascii="Arial Narrow" w:hAnsi="Arial Narrow" w:cs="Arial"/>
          <w:b w:val="0"/>
          <w:bCs w:val="0"/>
          <w:color w:val="808080"/>
          <w:spacing w:val="-2"/>
          <w:sz w:val="19"/>
          <w:szCs w:val="19"/>
        </w:rPr>
        <w:t>2</w:t>
      </w:r>
      <w:r w:rsidR="00F27D52" w:rsidRPr="00260109">
        <w:rPr>
          <w:rFonts w:ascii="Arial Narrow" w:hAnsi="Arial Narrow" w:cs="Arial"/>
          <w:b w:val="0"/>
          <w:bCs w:val="0"/>
          <w:color w:val="808080"/>
          <w:spacing w:val="-2"/>
          <w:sz w:val="19"/>
          <w:szCs w:val="19"/>
        </w:rPr>
        <w:t xml:space="preserve"> e Dicembre 201</w:t>
      </w:r>
      <w:r w:rsidR="00364F67">
        <w:rPr>
          <w:rFonts w:ascii="Arial Narrow" w:hAnsi="Arial Narrow" w:cs="Arial"/>
          <w:b w:val="0"/>
          <w:bCs w:val="0"/>
          <w:color w:val="808080"/>
          <w:spacing w:val="-2"/>
          <w:sz w:val="19"/>
          <w:szCs w:val="19"/>
        </w:rPr>
        <w:t>3</w:t>
      </w:r>
      <w:r w:rsidR="00690734">
        <w:rPr>
          <w:rFonts w:ascii="Arial Narrow" w:hAnsi="Arial Narrow" w:cs="Arial"/>
          <w:b w:val="0"/>
          <w:bCs w:val="0"/>
          <w:color w:val="808080"/>
          <w:spacing w:val="-2"/>
          <w:sz w:val="19"/>
          <w:szCs w:val="19"/>
        </w:rPr>
        <w:t>.</w:t>
      </w:r>
    </w:p>
    <w:tbl>
      <w:tblPr>
        <w:tblW w:w="4929" w:type="pct"/>
        <w:tblInd w:w="108" w:type="dxa"/>
        <w:tblLayout w:type="fixed"/>
        <w:tblLook w:val="01E0" w:firstRow="1" w:lastRow="1" w:firstColumn="1" w:lastColumn="1" w:noHBand="0" w:noVBand="0"/>
      </w:tblPr>
      <w:tblGrid>
        <w:gridCol w:w="838"/>
        <w:gridCol w:w="715"/>
        <w:gridCol w:w="617"/>
        <w:gridCol w:w="643"/>
        <w:gridCol w:w="751"/>
        <w:gridCol w:w="620"/>
        <w:gridCol w:w="620"/>
        <w:gridCol w:w="772"/>
        <w:gridCol w:w="620"/>
        <w:gridCol w:w="594"/>
        <w:gridCol w:w="535"/>
        <w:gridCol w:w="21"/>
        <w:gridCol w:w="628"/>
        <w:gridCol w:w="649"/>
        <w:gridCol w:w="717"/>
        <w:gridCol w:w="694"/>
        <w:gridCol w:w="575"/>
      </w:tblGrid>
      <w:tr w:rsidR="00F27D52">
        <w:trPr>
          <w:cantSplit/>
          <w:trHeight w:val="368"/>
        </w:trPr>
        <w:tc>
          <w:tcPr>
            <w:tcW w:w="395" w:type="pct"/>
            <w:vMerge w:val="restart"/>
            <w:tcBorders>
              <w:top w:val="single" w:sz="4" w:space="0" w:color="333333"/>
              <w:bottom w:val="single" w:sz="4" w:space="0" w:color="333333"/>
            </w:tcBorders>
            <w:vAlign w:val="center"/>
          </w:tcPr>
          <w:p w:rsidR="00F27D52" w:rsidRDefault="00F27D52" w:rsidP="00F939D6">
            <w:pPr>
              <w:spacing w:before="40" w:after="20"/>
              <w:ind w:left="-57"/>
              <w:rPr>
                <w:rFonts w:ascii="Arial Narrow" w:hAnsi="Arial Narrow" w:cs="Arial"/>
                <w:sz w:val="17"/>
                <w:szCs w:val="16"/>
              </w:rPr>
            </w:pPr>
            <w:r>
              <w:rPr>
                <w:rFonts w:ascii="Arial Narrow" w:hAnsi="Arial Narrow" w:cs="Arial"/>
                <w:b/>
                <w:sz w:val="17"/>
                <w:szCs w:val="16"/>
              </w:rPr>
              <w:t>Unità</w:t>
            </w:r>
          </w:p>
        </w:tc>
        <w:tc>
          <w:tcPr>
            <w:tcW w:w="1577" w:type="pct"/>
            <w:gridSpan w:val="5"/>
            <w:tcBorders>
              <w:top w:val="single" w:sz="4" w:space="0" w:color="333333"/>
              <w:bottom w:val="single" w:sz="4" w:space="0" w:color="333333"/>
            </w:tcBorders>
            <w:shd w:val="clear" w:color="auto" w:fill="E6E6E6"/>
            <w:vAlign w:val="center"/>
          </w:tcPr>
          <w:p w:rsidR="00F27D52" w:rsidRDefault="00F27D52" w:rsidP="00F939D6">
            <w:pPr>
              <w:spacing w:before="40" w:after="20"/>
              <w:jc w:val="center"/>
              <w:rPr>
                <w:rFonts w:ascii="Arial Narrow" w:hAnsi="Arial Narrow" w:cs="Arial"/>
                <w:b/>
                <w:sz w:val="17"/>
                <w:szCs w:val="16"/>
              </w:rPr>
            </w:pPr>
            <w:r>
              <w:rPr>
                <w:rFonts w:ascii="Arial Narrow" w:hAnsi="Arial Narrow" w:cs="Arial"/>
                <w:b/>
                <w:sz w:val="17"/>
                <w:szCs w:val="16"/>
              </w:rPr>
              <w:t>Estero</w:t>
            </w:r>
          </w:p>
        </w:tc>
        <w:tc>
          <w:tcPr>
            <w:tcW w:w="1480" w:type="pct"/>
            <w:gridSpan w:val="5"/>
            <w:tcBorders>
              <w:top w:val="single" w:sz="4" w:space="0" w:color="333333"/>
              <w:bottom w:val="single" w:sz="4" w:space="0" w:color="333333"/>
            </w:tcBorders>
            <w:vAlign w:val="center"/>
          </w:tcPr>
          <w:p w:rsidR="00F27D52" w:rsidRDefault="00F27D52" w:rsidP="00F939D6">
            <w:pPr>
              <w:spacing w:before="40" w:after="20"/>
              <w:jc w:val="center"/>
              <w:rPr>
                <w:rFonts w:ascii="Arial Narrow" w:hAnsi="Arial Narrow" w:cs="Arial"/>
                <w:b/>
                <w:sz w:val="17"/>
                <w:szCs w:val="16"/>
              </w:rPr>
            </w:pPr>
            <w:r>
              <w:rPr>
                <w:rFonts w:ascii="Arial Narrow" w:hAnsi="Arial Narrow" w:cs="Arial"/>
                <w:b/>
                <w:sz w:val="17"/>
                <w:szCs w:val="16"/>
              </w:rPr>
              <w:t>Estero area euro</w:t>
            </w:r>
          </w:p>
        </w:tc>
        <w:tc>
          <w:tcPr>
            <w:tcW w:w="1548" w:type="pct"/>
            <w:gridSpan w:val="6"/>
            <w:tcBorders>
              <w:top w:val="single" w:sz="4" w:space="0" w:color="333333"/>
              <w:bottom w:val="single" w:sz="4" w:space="0" w:color="333333"/>
            </w:tcBorders>
            <w:shd w:val="clear" w:color="auto" w:fill="E6E6E6"/>
            <w:vAlign w:val="center"/>
          </w:tcPr>
          <w:p w:rsidR="00F27D52" w:rsidRDefault="00F27D52" w:rsidP="00F939D6">
            <w:pPr>
              <w:spacing w:before="40" w:after="20"/>
              <w:jc w:val="center"/>
              <w:rPr>
                <w:rFonts w:ascii="Arial Narrow" w:hAnsi="Arial Narrow" w:cs="Arial"/>
                <w:b/>
                <w:sz w:val="17"/>
                <w:szCs w:val="16"/>
              </w:rPr>
            </w:pPr>
            <w:r>
              <w:rPr>
                <w:rFonts w:ascii="Arial Narrow" w:hAnsi="Arial Narrow" w:cs="Arial"/>
                <w:b/>
                <w:sz w:val="17"/>
                <w:szCs w:val="16"/>
              </w:rPr>
              <w:t>Estero area non euro</w:t>
            </w:r>
          </w:p>
        </w:tc>
      </w:tr>
      <w:tr w:rsidR="00F27D52">
        <w:trPr>
          <w:cantSplit/>
          <w:trHeight w:val="348"/>
        </w:trPr>
        <w:tc>
          <w:tcPr>
            <w:tcW w:w="395" w:type="pct"/>
            <w:vMerge/>
            <w:tcBorders>
              <w:top w:val="single" w:sz="4" w:space="0" w:color="333333"/>
              <w:bottom w:val="single" w:sz="4" w:space="0" w:color="333333"/>
            </w:tcBorders>
            <w:vAlign w:val="center"/>
          </w:tcPr>
          <w:p w:rsidR="00F27D52" w:rsidRDefault="00F27D52" w:rsidP="00F939D6">
            <w:pPr>
              <w:spacing w:before="40" w:after="20"/>
              <w:ind w:left="-57"/>
              <w:rPr>
                <w:rFonts w:ascii="Arial Narrow" w:hAnsi="Arial Narrow" w:cs="Arial"/>
                <w:sz w:val="17"/>
                <w:szCs w:val="16"/>
              </w:rPr>
            </w:pPr>
          </w:p>
        </w:tc>
        <w:tc>
          <w:tcPr>
            <w:tcW w:w="628" w:type="pct"/>
            <w:gridSpan w:val="2"/>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sz w:val="17"/>
                <w:szCs w:val="16"/>
              </w:rPr>
            </w:pPr>
            <w:r>
              <w:rPr>
                <w:rFonts w:ascii="Arial Narrow" w:hAnsi="Arial Narrow" w:cs="Arial"/>
                <w:b/>
                <w:sz w:val="17"/>
                <w:szCs w:val="16"/>
              </w:rPr>
              <w:t>Numerosità</w:t>
            </w:r>
          </w:p>
        </w:tc>
        <w:tc>
          <w:tcPr>
            <w:tcW w:w="949" w:type="pct"/>
            <w:gridSpan w:val="3"/>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7"/>
                <w:szCs w:val="14"/>
              </w:rPr>
            </w:pPr>
            <w:r>
              <w:rPr>
                <w:rFonts w:ascii="Arial Narrow" w:hAnsi="Arial Narrow" w:cs="Arial"/>
                <w:b/>
                <w:sz w:val="17"/>
                <w:szCs w:val="16"/>
              </w:rPr>
              <w:t>Flussi tra le due basi</w:t>
            </w:r>
          </w:p>
        </w:tc>
        <w:tc>
          <w:tcPr>
            <w:tcW w:w="656" w:type="pct"/>
            <w:gridSpan w:val="2"/>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sz w:val="17"/>
                <w:szCs w:val="16"/>
              </w:rPr>
            </w:pPr>
            <w:r>
              <w:rPr>
                <w:rFonts w:ascii="Arial Narrow" w:hAnsi="Arial Narrow" w:cs="Arial"/>
                <w:b/>
                <w:sz w:val="17"/>
                <w:szCs w:val="16"/>
              </w:rPr>
              <w:t>Numerosità</w:t>
            </w:r>
          </w:p>
        </w:tc>
        <w:tc>
          <w:tcPr>
            <w:tcW w:w="824" w:type="pct"/>
            <w:gridSpan w:val="3"/>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7"/>
                <w:szCs w:val="14"/>
              </w:rPr>
            </w:pPr>
            <w:r>
              <w:rPr>
                <w:rFonts w:ascii="Arial Narrow" w:hAnsi="Arial Narrow" w:cs="Arial"/>
                <w:b/>
                <w:sz w:val="17"/>
                <w:szCs w:val="16"/>
              </w:rPr>
              <w:t>Flussi tra le due basi</w:t>
            </w:r>
          </w:p>
        </w:tc>
        <w:tc>
          <w:tcPr>
            <w:tcW w:w="612" w:type="pct"/>
            <w:gridSpan w:val="3"/>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sz w:val="17"/>
                <w:szCs w:val="16"/>
              </w:rPr>
            </w:pPr>
            <w:r>
              <w:rPr>
                <w:rFonts w:ascii="Arial Narrow" w:hAnsi="Arial Narrow" w:cs="Arial"/>
                <w:b/>
                <w:sz w:val="17"/>
                <w:szCs w:val="16"/>
              </w:rPr>
              <w:t>Numerosità</w:t>
            </w:r>
          </w:p>
        </w:tc>
        <w:tc>
          <w:tcPr>
            <w:tcW w:w="936" w:type="pct"/>
            <w:gridSpan w:val="3"/>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7"/>
                <w:szCs w:val="14"/>
              </w:rPr>
            </w:pPr>
            <w:r>
              <w:rPr>
                <w:rFonts w:ascii="Arial Narrow" w:hAnsi="Arial Narrow" w:cs="Arial"/>
                <w:b/>
                <w:sz w:val="17"/>
                <w:szCs w:val="16"/>
              </w:rPr>
              <w:t>Flussi tra le due basi</w:t>
            </w:r>
          </w:p>
        </w:tc>
      </w:tr>
      <w:tr w:rsidR="00C849BA">
        <w:trPr>
          <w:cantSplit/>
          <w:trHeight w:val="1203"/>
        </w:trPr>
        <w:tc>
          <w:tcPr>
            <w:tcW w:w="395" w:type="pct"/>
            <w:vMerge/>
            <w:tcBorders>
              <w:top w:val="single" w:sz="4" w:space="0" w:color="333333"/>
              <w:bottom w:val="single" w:sz="4" w:space="0" w:color="333333"/>
            </w:tcBorders>
            <w:vAlign w:val="center"/>
          </w:tcPr>
          <w:p w:rsidR="00F27D52" w:rsidRDefault="00F27D52" w:rsidP="00F939D6">
            <w:pPr>
              <w:spacing w:before="40" w:after="20"/>
              <w:ind w:left="-57"/>
              <w:rPr>
                <w:rFonts w:ascii="Arial Narrow" w:hAnsi="Arial Narrow" w:cs="Arial"/>
                <w:sz w:val="17"/>
                <w:szCs w:val="16"/>
              </w:rPr>
            </w:pPr>
          </w:p>
        </w:tc>
        <w:tc>
          <w:tcPr>
            <w:tcW w:w="337" w:type="pct"/>
            <w:tcBorders>
              <w:top w:val="single" w:sz="4" w:space="0" w:color="333333"/>
              <w:bottom w:val="single" w:sz="4" w:space="0" w:color="333333"/>
            </w:tcBorders>
            <w:shd w:val="clear" w:color="auto" w:fill="E6E6E6"/>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Base 201</w:t>
            </w:r>
            <w:r w:rsidR="00364F67">
              <w:rPr>
                <w:rFonts w:ascii="Arial Narrow" w:hAnsi="Arial Narrow" w:cs="Arial"/>
                <w:bCs/>
                <w:sz w:val="17"/>
                <w:szCs w:val="16"/>
              </w:rPr>
              <w:t>2</w:t>
            </w:r>
          </w:p>
        </w:tc>
        <w:tc>
          <w:tcPr>
            <w:tcW w:w="291" w:type="pct"/>
            <w:tcBorders>
              <w:top w:val="single" w:sz="4" w:space="0" w:color="333333"/>
              <w:bottom w:val="single" w:sz="4" w:space="0" w:color="333333"/>
            </w:tcBorders>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Base 201</w:t>
            </w:r>
            <w:r w:rsidR="00364F67">
              <w:rPr>
                <w:rFonts w:ascii="Arial Narrow" w:hAnsi="Arial Narrow" w:cs="Arial"/>
                <w:bCs/>
                <w:sz w:val="17"/>
                <w:szCs w:val="16"/>
              </w:rPr>
              <w:t>3</w:t>
            </w:r>
          </w:p>
        </w:tc>
        <w:tc>
          <w:tcPr>
            <w:tcW w:w="303" w:type="pct"/>
            <w:tcBorders>
              <w:top w:val="single" w:sz="4" w:space="0" w:color="333333"/>
              <w:bottom w:val="single" w:sz="4" w:space="0" w:color="333333"/>
            </w:tcBorders>
            <w:shd w:val="clear" w:color="auto" w:fill="E6E6E6"/>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in uscita dalla</w:t>
            </w:r>
            <w:r>
              <w:rPr>
                <w:rFonts w:ascii="Arial Narrow" w:hAnsi="Arial Narrow" w:cs="Arial"/>
                <w:bCs/>
                <w:sz w:val="17"/>
                <w:szCs w:val="16"/>
              </w:rPr>
              <w:br/>
              <w:t>Base 201</w:t>
            </w:r>
            <w:r w:rsidR="00364F67">
              <w:rPr>
                <w:rFonts w:ascii="Arial Narrow" w:hAnsi="Arial Narrow" w:cs="Arial"/>
                <w:bCs/>
                <w:sz w:val="17"/>
                <w:szCs w:val="16"/>
              </w:rPr>
              <w:t>2</w:t>
            </w:r>
          </w:p>
        </w:tc>
        <w:tc>
          <w:tcPr>
            <w:tcW w:w="354" w:type="pct"/>
            <w:tcBorders>
              <w:top w:val="single" w:sz="4" w:space="0" w:color="333333"/>
              <w:bottom w:val="single" w:sz="4" w:space="0" w:color="333333"/>
            </w:tcBorders>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Provenienti</w:t>
            </w:r>
            <w:r>
              <w:rPr>
                <w:rFonts w:ascii="Arial Narrow" w:hAnsi="Arial Narrow" w:cs="Arial"/>
                <w:bCs/>
                <w:sz w:val="17"/>
                <w:szCs w:val="16"/>
              </w:rPr>
              <w:br/>
              <w:t>dalla Base 201</w:t>
            </w:r>
            <w:r w:rsidR="00364F67">
              <w:rPr>
                <w:rFonts w:ascii="Arial Narrow" w:hAnsi="Arial Narrow" w:cs="Arial"/>
                <w:bCs/>
                <w:sz w:val="17"/>
                <w:szCs w:val="16"/>
              </w:rPr>
              <w:t>2</w:t>
            </w:r>
          </w:p>
        </w:tc>
        <w:tc>
          <w:tcPr>
            <w:tcW w:w="292" w:type="pct"/>
            <w:tcBorders>
              <w:top w:val="single" w:sz="4" w:space="0" w:color="333333"/>
              <w:bottom w:val="single" w:sz="4" w:space="0" w:color="333333"/>
            </w:tcBorders>
            <w:shd w:val="clear" w:color="auto" w:fill="E6E6E6"/>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in entrata</w:t>
            </w:r>
            <w:r>
              <w:rPr>
                <w:rFonts w:ascii="Arial Narrow" w:hAnsi="Arial Narrow" w:cs="Arial"/>
                <w:bCs/>
                <w:sz w:val="17"/>
                <w:szCs w:val="16"/>
              </w:rPr>
              <w:br/>
              <w:t>nella Base 201</w:t>
            </w:r>
            <w:r w:rsidR="00364F67">
              <w:rPr>
                <w:rFonts w:ascii="Arial Narrow" w:hAnsi="Arial Narrow" w:cs="Arial"/>
                <w:bCs/>
                <w:sz w:val="17"/>
                <w:szCs w:val="16"/>
              </w:rPr>
              <w:t>3</w:t>
            </w:r>
          </w:p>
        </w:tc>
        <w:tc>
          <w:tcPr>
            <w:tcW w:w="292" w:type="pct"/>
            <w:tcBorders>
              <w:top w:val="single" w:sz="4" w:space="0" w:color="333333"/>
              <w:bottom w:val="single" w:sz="4" w:space="0" w:color="333333"/>
            </w:tcBorders>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Base 201</w:t>
            </w:r>
            <w:r w:rsidR="00364F67">
              <w:rPr>
                <w:rFonts w:ascii="Arial Narrow" w:hAnsi="Arial Narrow" w:cs="Arial"/>
                <w:bCs/>
                <w:sz w:val="17"/>
                <w:szCs w:val="16"/>
              </w:rPr>
              <w:t>2</w:t>
            </w:r>
          </w:p>
        </w:tc>
        <w:tc>
          <w:tcPr>
            <w:tcW w:w="364" w:type="pct"/>
            <w:tcBorders>
              <w:top w:val="single" w:sz="4" w:space="0" w:color="333333"/>
              <w:bottom w:val="single" w:sz="4" w:space="0" w:color="333333"/>
            </w:tcBorders>
            <w:shd w:val="clear" w:color="auto" w:fill="E6E6E6"/>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Base 201</w:t>
            </w:r>
            <w:r w:rsidR="00364F67">
              <w:rPr>
                <w:rFonts w:ascii="Arial Narrow" w:hAnsi="Arial Narrow" w:cs="Arial"/>
                <w:bCs/>
                <w:sz w:val="17"/>
                <w:szCs w:val="16"/>
              </w:rPr>
              <w:t>3</w:t>
            </w:r>
          </w:p>
        </w:tc>
        <w:tc>
          <w:tcPr>
            <w:tcW w:w="292" w:type="pct"/>
            <w:tcBorders>
              <w:top w:val="single" w:sz="4" w:space="0" w:color="333333"/>
              <w:bottom w:val="single" w:sz="4" w:space="0" w:color="333333"/>
            </w:tcBorders>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in uscita dalla</w:t>
            </w:r>
            <w:r>
              <w:rPr>
                <w:rFonts w:ascii="Arial Narrow" w:hAnsi="Arial Narrow" w:cs="Arial"/>
                <w:bCs/>
                <w:sz w:val="17"/>
                <w:szCs w:val="16"/>
              </w:rPr>
              <w:br/>
              <w:t>Base 201</w:t>
            </w:r>
            <w:r w:rsidR="00364F67">
              <w:rPr>
                <w:rFonts w:ascii="Arial Narrow" w:hAnsi="Arial Narrow" w:cs="Arial"/>
                <w:bCs/>
                <w:sz w:val="17"/>
                <w:szCs w:val="16"/>
              </w:rPr>
              <w:t>2</w:t>
            </w:r>
          </w:p>
        </w:tc>
        <w:tc>
          <w:tcPr>
            <w:tcW w:w="280" w:type="pct"/>
            <w:tcBorders>
              <w:top w:val="single" w:sz="4" w:space="0" w:color="333333"/>
              <w:bottom w:val="single" w:sz="4" w:space="0" w:color="333333"/>
            </w:tcBorders>
            <w:shd w:val="clear" w:color="auto" w:fill="E6E6E6"/>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Provenienti</w:t>
            </w:r>
            <w:r>
              <w:rPr>
                <w:rFonts w:ascii="Arial Narrow" w:hAnsi="Arial Narrow" w:cs="Arial"/>
                <w:bCs/>
                <w:sz w:val="17"/>
                <w:szCs w:val="16"/>
              </w:rPr>
              <w:br/>
              <w:t>dalla Base 201</w:t>
            </w:r>
            <w:r w:rsidR="00364F67">
              <w:rPr>
                <w:rFonts w:ascii="Arial Narrow" w:hAnsi="Arial Narrow" w:cs="Arial"/>
                <w:bCs/>
                <w:sz w:val="17"/>
                <w:szCs w:val="16"/>
              </w:rPr>
              <w:t>2</w:t>
            </w:r>
          </w:p>
        </w:tc>
        <w:tc>
          <w:tcPr>
            <w:tcW w:w="262" w:type="pct"/>
            <w:gridSpan w:val="2"/>
            <w:tcBorders>
              <w:top w:val="single" w:sz="4" w:space="0" w:color="333333"/>
              <w:bottom w:val="single" w:sz="4" w:space="0" w:color="333333"/>
            </w:tcBorders>
            <w:textDirection w:val="btLr"/>
            <w:vAlign w:val="bottom"/>
          </w:tcPr>
          <w:p w:rsidR="00F27D52" w:rsidRDefault="00F27D52" w:rsidP="00364F67">
            <w:pPr>
              <w:spacing w:before="40" w:after="20"/>
              <w:ind w:left="57"/>
              <w:rPr>
                <w:rFonts w:ascii="Arial Narrow" w:hAnsi="Arial Narrow" w:cs="Arial"/>
                <w:bCs/>
                <w:sz w:val="17"/>
                <w:szCs w:val="16"/>
              </w:rPr>
            </w:pPr>
            <w:r>
              <w:rPr>
                <w:rFonts w:ascii="Arial Narrow" w:hAnsi="Arial Narrow" w:cs="Arial"/>
                <w:bCs/>
                <w:sz w:val="17"/>
                <w:szCs w:val="16"/>
              </w:rPr>
              <w:t>in entrata</w:t>
            </w:r>
            <w:r>
              <w:rPr>
                <w:rFonts w:ascii="Arial Narrow" w:hAnsi="Arial Narrow" w:cs="Arial"/>
                <w:bCs/>
                <w:sz w:val="17"/>
                <w:szCs w:val="16"/>
              </w:rPr>
              <w:br/>
              <w:t>nella Base 201</w:t>
            </w:r>
            <w:r w:rsidR="00364F67">
              <w:rPr>
                <w:rFonts w:ascii="Arial Narrow" w:hAnsi="Arial Narrow" w:cs="Arial"/>
                <w:bCs/>
                <w:sz w:val="17"/>
                <w:szCs w:val="16"/>
              </w:rPr>
              <w:t>3</w:t>
            </w:r>
          </w:p>
        </w:tc>
        <w:tc>
          <w:tcPr>
            <w:tcW w:w="296" w:type="pct"/>
            <w:tcBorders>
              <w:top w:val="single" w:sz="4" w:space="0" w:color="333333"/>
              <w:bottom w:val="single" w:sz="4" w:space="0" w:color="333333"/>
            </w:tcBorders>
            <w:shd w:val="clear" w:color="auto" w:fill="E6E6E6"/>
            <w:textDirection w:val="btLr"/>
            <w:vAlign w:val="bottom"/>
          </w:tcPr>
          <w:p w:rsidR="00F27D52" w:rsidRPr="006F0721" w:rsidRDefault="00F27D52" w:rsidP="00364F67">
            <w:pPr>
              <w:spacing w:before="40" w:after="20"/>
              <w:ind w:left="57"/>
              <w:rPr>
                <w:rFonts w:ascii="Arial Narrow" w:hAnsi="Arial Narrow" w:cs="Arial"/>
                <w:bCs/>
                <w:sz w:val="17"/>
                <w:szCs w:val="16"/>
              </w:rPr>
            </w:pPr>
            <w:r w:rsidRPr="006F0721">
              <w:rPr>
                <w:rFonts w:ascii="Arial Narrow" w:hAnsi="Arial Narrow" w:cs="Arial"/>
                <w:bCs/>
                <w:sz w:val="17"/>
                <w:szCs w:val="16"/>
              </w:rPr>
              <w:t>Base 201</w:t>
            </w:r>
            <w:r w:rsidR="00364F67" w:rsidRPr="006F0721">
              <w:rPr>
                <w:rFonts w:ascii="Arial Narrow" w:hAnsi="Arial Narrow" w:cs="Arial"/>
                <w:bCs/>
                <w:sz w:val="17"/>
                <w:szCs w:val="16"/>
              </w:rPr>
              <w:t>2</w:t>
            </w:r>
          </w:p>
        </w:tc>
        <w:tc>
          <w:tcPr>
            <w:tcW w:w="306" w:type="pct"/>
            <w:tcBorders>
              <w:top w:val="single" w:sz="4" w:space="0" w:color="333333"/>
              <w:bottom w:val="single" w:sz="4" w:space="0" w:color="333333"/>
            </w:tcBorders>
            <w:textDirection w:val="btLr"/>
            <w:vAlign w:val="bottom"/>
          </w:tcPr>
          <w:p w:rsidR="00F27D52" w:rsidRPr="006F0721" w:rsidRDefault="00F27D52" w:rsidP="00364F67">
            <w:pPr>
              <w:spacing w:before="40" w:after="20"/>
              <w:ind w:left="57"/>
              <w:rPr>
                <w:rFonts w:ascii="Arial Narrow" w:hAnsi="Arial Narrow" w:cs="Arial"/>
                <w:bCs/>
                <w:sz w:val="17"/>
                <w:szCs w:val="16"/>
              </w:rPr>
            </w:pPr>
            <w:r w:rsidRPr="006F0721">
              <w:rPr>
                <w:rFonts w:ascii="Arial Narrow" w:hAnsi="Arial Narrow" w:cs="Arial"/>
                <w:bCs/>
                <w:sz w:val="17"/>
                <w:szCs w:val="16"/>
              </w:rPr>
              <w:t>Base 201</w:t>
            </w:r>
            <w:r w:rsidR="00364F67" w:rsidRPr="006F0721">
              <w:rPr>
                <w:rFonts w:ascii="Arial Narrow" w:hAnsi="Arial Narrow" w:cs="Arial"/>
                <w:bCs/>
                <w:sz w:val="17"/>
                <w:szCs w:val="16"/>
              </w:rPr>
              <w:t>3</w:t>
            </w:r>
          </w:p>
        </w:tc>
        <w:tc>
          <w:tcPr>
            <w:tcW w:w="338" w:type="pct"/>
            <w:tcBorders>
              <w:top w:val="single" w:sz="4" w:space="0" w:color="333333"/>
              <w:bottom w:val="single" w:sz="4" w:space="0" w:color="333333"/>
            </w:tcBorders>
            <w:shd w:val="clear" w:color="auto" w:fill="E6E6E6"/>
            <w:textDirection w:val="btLr"/>
            <w:vAlign w:val="bottom"/>
          </w:tcPr>
          <w:p w:rsidR="00F27D52" w:rsidRPr="006F0721" w:rsidRDefault="00F27D52" w:rsidP="00167A48">
            <w:pPr>
              <w:spacing w:before="40" w:after="20"/>
              <w:ind w:left="57"/>
              <w:rPr>
                <w:rFonts w:ascii="Arial Narrow" w:hAnsi="Arial Narrow" w:cs="Arial"/>
                <w:bCs/>
                <w:sz w:val="17"/>
                <w:szCs w:val="16"/>
              </w:rPr>
            </w:pPr>
            <w:r w:rsidRPr="006F0721">
              <w:rPr>
                <w:rFonts w:ascii="Arial Narrow" w:hAnsi="Arial Narrow" w:cs="Arial"/>
                <w:bCs/>
                <w:sz w:val="17"/>
                <w:szCs w:val="16"/>
              </w:rPr>
              <w:t>in uscita dalla</w:t>
            </w:r>
            <w:r w:rsidRPr="006F0721">
              <w:rPr>
                <w:rFonts w:ascii="Arial Narrow" w:hAnsi="Arial Narrow" w:cs="Arial"/>
                <w:bCs/>
                <w:sz w:val="17"/>
                <w:szCs w:val="16"/>
              </w:rPr>
              <w:br/>
              <w:t>Base 201</w:t>
            </w:r>
            <w:r w:rsidR="00167A48" w:rsidRPr="006F0721">
              <w:rPr>
                <w:rFonts w:ascii="Arial Narrow" w:hAnsi="Arial Narrow" w:cs="Arial"/>
                <w:bCs/>
                <w:sz w:val="17"/>
                <w:szCs w:val="16"/>
              </w:rPr>
              <w:t>2</w:t>
            </w:r>
          </w:p>
        </w:tc>
        <w:tc>
          <w:tcPr>
            <w:tcW w:w="327" w:type="pct"/>
            <w:tcBorders>
              <w:top w:val="single" w:sz="4" w:space="0" w:color="333333"/>
              <w:bottom w:val="single" w:sz="4" w:space="0" w:color="333333"/>
            </w:tcBorders>
            <w:textDirection w:val="btLr"/>
            <w:vAlign w:val="bottom"/>
          </w:tcPr>
          <w:p w:rsidR="00F27D52" w:rsidRPr="006F0721" w:rsidRDefault="00F27D52" w:rsidP="00167A48">
            <w:pPr>
              <w:spacing w:before="40" w:after="20"/>
              <w:ind w:left="57"/>
              <w:rPr>
                <w:rFonts w:ascii="Arial Narrow" w:hAnsi="Arial Narrow" w:cs="Arial"/>
                <w:bCs/>
                <w:sz w:val="17"/>
                <w:szCs w:val="16"/>
              </w:rPr>
            </w:pPr>
            <w:r w:rsidRPr="006F0721">
              <w:rPr>
                <w:rFonts w:ascii="Arial Narrow" w:hAnsi="Arial Narrow" w:cs="Arial"/>
                <w:bCs/>
                <w:sz w:val="17"/>
                <w:szCs w:val="16"/>
              </w:rPr>
              <w:t>Provenienti</w:t>
            </w:r>
            <w:r w:rsidRPr="006F0721">
              <w:rPr>
                <w:rFonts w:ascii="Arial Narrow" w:hAnsi="Arial Narrow" w:cs="Arial"/>
                <w:bCs/>
                <w:sz w:val="17"/>
                <w:szCs w:val="16"/>
              </w:rPr>
              <w:br/>
              <w:t>dalla Base 201</w:t>
            </w:r>
            <w:r w:rsidR="00167A48" w:rsidRPr="006F0721">
              <w:rPr>
                <w:rFonts w:ascii="Arial Narrow" w:hAnsi="Arial Narrow" w:cs="Arial"/>
                <w:bCs/>
                <w:sz w:val="17"/>
                <w:szCs w:val="16"/>
              </w:rPr>
              <w:t>2</w:t>
            </w:r>
          </w:p>
        </w:tc>
        <w:tc>
          <w:tcPr>
            <w:tcW w:w="271" w:type="pct"/>
            <w:tcBorders>
              <w:top w:val="single" w:sz="4" w:space="0" w:color="333333"/>
              <w:bottom w:val="single" w:sz="4" w:space="0" w:color="333333"/>
            </w:tcBorders>
            <w:shd w:val="clear" w:color="auto" w:fill="E6E6E6"/>
            <w:textDirection w:val="btLr"/>
            <w:vAlign w:val="bottom"/>
          </w:tcPr>
          <w:p w:rsidR="00F27D52" w:rsidRPr="006F0721" w:rsidRDefault="00F27D52" w:rsidP="00167A48">
            <w:pPr>
              <w:spacing w:before="40" w:after="20"/>
              <w:ind w:left="57"/>
              <w:rPr>
                <w:rFonts w:ascii="Arial Narrow" w:hAnsi="Arial Narrow" w:cs="Arial"/>
                <w:bCs/>
                <w:sz w:val="17"/>
                <w:szCs w:val="16"/>
              </w:rPr>
            </w:pPr>
            <w:r w:rsidRPr="006F0721">
              <w:rPr>
                <w:rFonts w:ascii="Arial Narrow" w:hAnsi="Arial Narrow" w:cs="Arial"/>
                <w:bCs/>
                <w:sz w:val="17"/>
                <w:szCs w:val="16"/>
              </w:rPr>
              <w:t>in entrata</w:t>
            </w:r>
            <w:r w:rsidRPr="006F0721">
              <w:rPr>
                <w:rFonts w:ascii="Arial Narrow" w:hAnsi="Arial Narrow" w:cs="Arial"/>
                <w:bCs/>
                <w:sz w:val="17"/>
                <w:szCs w:val="16"/>
              </w:rPr>
              <w:br/>
              <w:t>nella Base 201</w:t>
            </w:r>
            <w:r w:rsidR="00167A48" w:rsidRPr="006F0721">
              <w:rPr>
                <w:rFonts w:ascii="Arial Narrow" w:hAnsi="Arial Narrow" w:cs="Arial"/>
                <w:bCs/>
                <w:sz w:val="17"/>
                <w:szCs w:val="16"/>
              </w:rPr>
              <w:t>3</w:t>
            </w:r>
          </w:p>
        </w:tc>
      </w:tr>
      <w:tr w:rsidR="00EB5C05">
        <w:tc>
          <w:tcPr>
            <w:tcW w:w="395" w:type="pct"/>
            <w:tcBorders>
              <w:top w:val="single" w:sz="4" w:space="0" w:color="333333"/>
              <w:bottom w:val="single" w:sz="4" w:space="0" w:color="333333"/>
            </w:tcBorders>
            <w:vAlign w:val="center"/>
          </w:tcPr>
          <w:p w:rsidR="00EB5C05" w:rsidRDefault="00EB5C05" w:rsidP="00B613F6">
            <w:pPr>
              <w:spacing w:before="40" w:after="20"/>
              <w:ind w:left="-57"/>
              <w:rPr>
                <w:rFonts w:ascii="Arial Narrow" w:hAnsi="Arial Narrow" w:cs="Arial"/>
                <w:sz w:val="17"/>
                <w:szCs w:val="16"/>
              </w:rPr>
            </w:pPr>
            <w:r>
              <w:rPr>
                <w:rFonts w:ascii="Arial Narrow" w:hAnsi="Arial Narrow" w:cs="Arial"/>
                <w:sz w:val="17"/>
                <w:szCs w:val="16"/>
              </w:rPr>
              <w:t>Prodotti</w:t>
            </w:r>
          </w:p>
        </w:tc>
        <w:tc>
          <w:tcPr>
            <w:tcW w:w="337"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1.132</w:t>
            </w:r>
          </w:p>
        </w:tc>
        <w:tc>
          <w:tcPr>
            <w:tcW w:w="291"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1.127</w:t>
            </w:r>
          </w:p>
        </w:tc>
        <w:tc>
          <w:tcPr>
            <w:tcW w:w="303"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59</w:t>
            </w:r>
          </w:p>
        </w:tc>
        <w:tc>
          <w:tcPr>
            <w:tcW w:w="354"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1.073</w:t>
            </w:r>
          </w:p>
        </w:tc>
        <w:tc>
          <w:tcPr>
            <w:tcW w:w="292"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54</w:t>
            </w:r>
          </w:p>
        </w:tc>
        <w:tc>
          <w:tcPr>
            <w:tcW w:w="292"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863</w:t>
            </w:r>
          </w:p>
        </w:tc>
        <w:tc>
          <w:tcPr>
            <w:tcW w:w="364"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863</w:t>
            </w:r>
          </w:p>
        </w:tc>
        <w:tc>
          <w:tcPr>
            <w:tcW w:w="292"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54</w:t>
            </w:r>
          </w:p>
        </w:tc>
        <w:tc>
          <w:tcPr>
            <w:tcW w:w="28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809</w:t>
            </w:r>
          </w:p>
        </w:tc>
        <w:tc>
          <w:tcPr>
            <w:tcW w:w="262" w:type="pct"/>
            <w:gridSpan w:val="2"/>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54</w:t>
            </w:r>
          </w:p>
        </w:tc>
        <w:tc>
          <w:tcPr>
            <w:tcW w:w="296" w:type="pct"/>
            <w:tcBorders>
              <w:top w:val="single" w:sz="4" w:space="0" w:color="333333"/>
              <w:bottom w:val="single" w:sz="4" w:space="0" w:color="333333"/>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846</w:t>
            </w:r>
          </w:p>
        </w:tc>
        <w:tc>
          <w:tcPr>
            <w:tcW w:w="306" w:type="pct"/>
            <w:tcBorders>
              <w:top w:val="single" w:sz="4" w:space="0" w:color="333333"/>
              <w:bottom w:val="single" w:sz="4" w:space="0" w:color="333333"/>
            </w:tcBorders>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838</w:t>
            </w:r>
          </w:p>
        </w:tc>
        <w:tc>
          <w:tcPr>
            <w:tcW w:w="338" w:type="pct"/>
            <w:tcBorders>
              <w:top w:val="single" w:sz="4" w:space="0" w:color="333333"/>
              <w:bottom w:val="single" w:sz="4" w:space="0" w:color="333333"/>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55</w:t>
            </w:r>
          </w:p>
        </w:tc>
        <w:tc>
          <w:tcPr>
            <w:tcW w:w="327" w:type="pct"/>
            <w:tcBorders>
              <w:top w:val="single" w:sz="4" w:space="0" w:color="333333"/>
              <w:bottom w:val="single" w:sz="4" w:space="0" w:color="333333"/>
            </w:tcBorders>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791</w:t>
            </w:r>
          </w:p>
        </w:tc>
        <w:tc>
          <w:tcPr>
            <w:tcW w:w="271" w:type="pct"/>
            <w:tcBorders>
              <w:top w:val="single" w:sz="4" w:space="0" w:color="333333"/>
              <w:bottom w:val="single" w:sz="4" w:space="0" w:color="333333"/>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47</w:t>
            </w:r>
          </w:p>
        </w:tc>
      </w:tr>
      <w:tr w:rsidR="00EB5C05">
        <w:trPr>
          <w:trHeight w:val="105"/>
        </w:trPr>
        <w:tc>
          <w:tcPr>
            <w:tcW w:w="395" w:type="pct"/>
            <w:tcBorders>
              <w:top w:val="single" w:sz="4" w:space="0" w:color="333333"/>
              <w:bottom w:val="single" w:sz="4" w:space="0" w:color="333333"/>
            </w:tcBorders>
            <w:vAlign w:val="center"/>
          </w:tcPr>
          <w:p w:rsidR="00EB5C05" w:rsidRDefault="00EB5C05" w:rsidP="00B613F6">
            <w:pPr>
              <w:spacing w:before="40" w:after="20"/>
              <w:ind w:left="-57"/>
              <w:rPr>
                <w:rFonts w:ascii="Arial Narrow" w:hAnsi="Arial Narrow" w:cs="Arial"/>
                <w:sz w:val="17"/>
                <w:szCs w:val="16"/>
              </w:rPr>
            </w:pPr>
            <w:r>
              <w:rPr>
                <w:rFonts w:ascii="Arial Narrow" w:hAnsi="Arial Narrow" w:cs="Arial"/>
                <w:sz w:val="17"/>
                <w:szCs w:val="16"/>
              </w:rPr>
              <w:t>Prezzi</w:t>
            </w:r>
          </w:p>
        </w:tc>
        <w:tc>
          <w:tcPr>
            <w:tcW w:w="337"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8.901</w:t>
            </w:r>
          </w:p>
        </w:tc>
        <w:tc>
          <w:tcPr>
            <w:tcW w:w="291"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8.990</w:t>
            </w:r>
          </w:p>
        </w:tc>
        <w:tc>
          <w:tcPr>
            <w:tcW w:w="303"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1.162</w:t>
            </w:r>
          </w:p>
        </w:tc>
        <w:tc>
          <w:tcPr>
            <w:tcW w:w="354"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7.739</w:t>
            </w:r>
          </w:p>
        </w:tc>
        <w:tc>
          <w:tcPr>
            <w:tcW w:w="292"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1.251</w:t>
            </w:r>
          </w:p>
        </w:tc>
        <w:tc>
          <w:tcPr>
            <w:tcW w:w="292"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4.352</w:t>
            </w:r>
          </w:p>
        </w:tc>
        <w:tc>
          <w:tcPr>
            <w:tcW w:w="364"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4.389</w:t>
            </w:r>
          </w:p>
        </w:tc>
        <w:tc>
          <w:tcPr>
            <w:tcW w:w="292"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523</w:t>
            </w:r>
          </w:p>
        </w:tc>
        <w:tc>
          <w:tcPr>
            <w:tcW w:w="28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3.829</w:t>
            </w:r>
          </w:p>
        </w:tc>
        <w:tc>
          <w:tcPr>
            <w:tcW w:w="262" w:type="pct"/>
            <w:gridSpan w:val="2"/>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560</w:t>
            </w:r>
          </w:p>
        </w:tc>
        <w:tc>
          <w:tcPr>
            <w:tcW w:w="296" w:type="pct"/>
            <w:tcBorders>
              <w:top w:val="single" w:sz="4" w:space="0" w:color="333333"/>
              <w:bottom w:val="single" w:sz="4" w:space="0" w:color="333333"/>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4.549</w:t>
            </w:r>
          </w:p>
        </w:tc>
        <w:tc>
          <w:tcPr>
            <w:tcW w:w="306" w:type="pct"/>
            <w:tcBorders>
              <w:top w:val="single" w:sz="4" w:space="0" w:color="333333"/>
              <w:bottom w:val="single" w:sz="4" w:space="0" w:color="333333"/>
            </w:tcBorders>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4.601</w:t>
            </w:r>
          </w:p>
        </w:tc>
        <w:tc>
          <w:tcPr>
            <w:tcW w:w="338" w:type="pct"/>
            <w:tcBorders>
              <w:top w:val="single" w:sz="4" w:space="0" w:color="333333"/>
              <w:bottom w:val="single" w:sz="4" w:space="0" w:color="333333"/>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643</w:t>
            </w:r>
          </w:p>
        </w:tc>
        <w:tc>
          <w:tcPr>
            <w:tcW w:w="327" w:type="pct"/>
            <w:tcBorders>
              <w:top w:val="single" w:sz="4" w:space="0" w:color="333333"/>
              <w:bottom w:val="single" w:sz="4" w:space="0" w:color="333333"/>
            </w:tcBorders>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3.906</w:t>
            </w:r>
          </w:p>
        </w:tc>
        <w:tc>
          <w:tcPr>
            <w:tcW w:w="271" w:type="pct"/>
            <w:tcBorders>
              <w:top w:val="single" w:sz="4" w:space="0" w:color="333333"/>
              <w:bottom w:val="single" w:sz="4" w:space="0" w:color="333333"/>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695</w:t>
            </w:r>
          </w:p>
        </w:tc>
      </w:tr>
      <w:tr w:rsidR="00EB5C05">
        <w:tc>
          <w:tcPr>
            <w:tcW w:w="395" w:type="pct"/>
            <w:tcBorders>
              <w:top w:val="single" w:sz="4" w:space="0" w:color="333333"/>
              <w:bottom w:val="single" w:sz="4" w:space="0" w:color="auto"/>
            </w:tcBorders>
            <w:vAlign w:val="center"/>
          </w:tcPr>
          <w:p w:rsidR="00EB5C05" w:rsidRDefault="00EB5C05" w:rsidP="00B613F6">
            <w:pPr>
              <w:spacing w:before="40" w:after="20"/>
              <w:ind w:left="-57"/>
              <w:rPr>
                <w:rFonts w:ascii="Arial Narrow" w:hAnsi="Arial Narrow" w:cs="Arial"/>
                <w:sz w:val="17"/>
                <w:szCs w:val="16"/>
              </w:rPr>
            </w:pPr>
            <w:r>
              <w:rPr>
                <w:rFonts w:ascii="Arial Narrow" w:hAnsi="Arial Narrow" w:cs="Arial"/>
                <w:sz w:val="17"/>
                <w:szCs w:val="16"/>
              </w:rPr>
              <w:t>Imprese</w:t>
            </w:r>
          </w:p>
        </w:tc>
        <w:tc>
          <w:tcPr>
            <w:tcW w:w="337" w:type="pct"/>
            <w:tcBorders>
              <w:top w:val="single" w:sz="4" w:space="0" w:color="333333"/>
              <w:bottom w:val="single" w:sz="4" w:space="0" w:color="auto"/>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2.739</w:t>
            </w:r>
          </w:p>
        </w:tc>
        <w:tc>
          <w:tcPr>
            <w:tcW w:w="291" w:type="pct"/>
            <w:tcBorders>
              <w:top w:val="single" w:sz="4" w:space="0" w:color="333333"/>
              <w:bottom w:val="single" w:sz="4" w:space="0" w:color="auto"/>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2.889</w:t>
            </w:r>
          </w:p>
        </w:tc>
        <w:tc>
          <w:tcPr>
            <w:tcW w:w="303" w:type="pct"/>
            <w:tcBorders>
              <w:top w:val="single" w:sz="4" w:space="0" w:color="333333"/>
              <w:bottom w:val="single" w:sz="4" w:space="0" w:color="auto"/>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325</w:t>
            </w:r>
          </w:p>
        </w:tc>
        <w:tc>
          <w:tcPr>
            <w:tcW w:w="354" w:type="pct"/>
            <w:tcBorders>
              <w:top w:val="single" w:sz="4" w:space="0" w:color="333333"/>
              <w:bottom w:val="single" w:sz="4" w:space="0" w:color="auto"/>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2.414</w:t>
            </w:r>
          </w:p>
        </w:tc>
        <w:tc>
          <w:tcPr>
            <w:tcW w:w="292" w:type="pct"/>
            <w:tcBorders>
              <w:top w:val="single" w:sz="4" w:space="0" w:color="333333"/>
              <w:bottom w:val="single" w:sz="4" w:space="0" w:color="auto"/>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475</w:t>
            </w:r>
          </w:p>
        </w:tc>
        <w:tc>
          <w:tcPr>
            <w:tcW w:w="292" w:type="pct"/>
            <w:tcBorders>
              <w:top w:val="single" w:sz="4" w:space="0" w:color="333333"/>
              <w:bottom w:val="single" w:sz="4" w:space="0" w:color="auto"/>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1.684</w:t>
            </w:r>
          </w:p>
        </w:tc>
        <w:tc>
          <w:tcPr>
            <w:tcW w:w="364" w:type="pct"/>
            <w:tcBorders>
              <w:top w:val="single" w:sz="4" w:space="0" w:color="333333"/>
              <w:bottom w:val="single" w:sz="4" w:space="0" w:color="auto"/>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1.735</w:t>
            </w:r>
          </w:p>
        </w:tc>
        <w:tc>
          <w:tcPr>
            <w:tcW w:w="292" w:type="pct"/>
            <w:tcBorders>
              <w:top w:val="single" w:sz="4" w:space="0" w:color="333333"/>
              <w:bottom w:val="single" w:sz="4" w:space="0" w:color="auto"/>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191</w:t>
            </w:r>
          </w:p>
        </w:tc>
        <w:tc>
          <w:tcPr>
            <w:tcW w:w="280" w:type="pct"/>
            <w:tcBorders>
              <w:top w:val="single" w:sz="4" w:space="0" w:color="333333"/>
              <w:bottom w:val="single" w:sz="4" w:space="0" w:color="auto"/>
            </w:tcBorders>
            <w:shd w:val="clear" w:color="auto" w:fill="E6E6E6"/>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1.493</w:t>
            </w:r>
          </w:p>
        </w:tc>
        <w:tc>
          <w:tcPr>
            <w:tcW w:w="262" w:type="pct"/>
            <w:gridSpan w:val="2"/>
            <w:tcBorders>
              <w:top w:val="single" w:sz="4" w:space="0" w:color="333333"/>
              <w:bottom w:val="single" w:sz="4" w:space="0" w:color="auto"/>
            </w:tcBorders>
            <w:vAlign w:val="center"/>
          </w:tcPr>
          <w:p w:rsidR="00EB5C05" w:rsidRDefault="00EB5C05" w:rsidP="001F78E3">
            <w:pPr>
              <w:spacing w:before="40" w:after="20"/>
              <w:jc w:val="right"/>
              <w:rPr>
                <w:rFonts w:ascii="Arial Narrow" w:hAnsi="Arial Narrow" w:cs="Arial"/>
                <w:sz w:val="17"/>
                <w:szCs w:val="15"/>
              </w:rPr>
            </w:pPr>
            <w:r>
              <w:rPr>
                <w:rFonts w:ascii="Arial Narrow" w:hAnsi="Arial Narrow" w:cs="Arial"/>
                <w:sz w:val="17"/>
                <w:szCs w:val="15"/>
              </w:rPr>
              <w:t>242</w:t>
            </w:r>
          </w:p>
        </w:tc>
        <w:tc>
          <w:tcPr>
            <w:tcW w:w="296" w:type="pct"/>
            <w:tcBorders>
              <w:top w:val="single" w:sz="4" w:space="0" w:color="333333"/>
              <w:bottom w:val="single" w:sz="4" w:space="0" w:color="auto"/>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1.732</w:t>
            </w:r>
          </w:p>
        </w:tc>
        <w:tc>
          <w:tcPr>
            <w:tcW w:w="306" w:type="pct"/>
            <w:tcBorders>
              <w:top w:val="single" w:sz="4" w:space="0" w:color="333333"/>
              <w:bottom w:val="single" w:sz="4" w:space="0" w:color="auto"/>
            </w:tcBorders>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1.821</w:t>
            </w:r>
          </w:p>
        </w:tc>
        <w:tc>
          <w:tcPr>
            <w:tcW w:w="338" w:type="pct"/>
            <w:tcBorders>
              <w:top w:val="single" w:sz="4" w:space="0" w:color="333333"/>
              <w:bottom w:val="single" w:sz="4" w:space="0" w:color="auto"/>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209</w:t>
            </w:r>
          </w:p>
        </w:tc>
        <w:tc>
          <w:tcPr>
            <w:tcW w:w="327" w:type="pct"/>
            <w:tcBorders>
              <w:top w:val="single" w:sz="4" w:space="0" w:color="333333"/>
              <w:bottom w:val="single" w:sz="4" w:space="0" w:color="auto"/>
            </w:tcBorders>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1.523</w:t>
            </w:r>
          </w:p>
        </w:tc>
        <w:tc>
          <w:tcPr>
            <w:tcW w:w="271" w:type="pct"/>
            <w:tcBorders>
              <w:top w:val="single" w:sz="4" w:space="0" w:color="333333"/>
              <w:bottom w:val="single" w:sz="4" w:space="0" w:color="auto"/>
            </w:tcBorders>
            <w:shd w:val="clear" w:color="auto" w:fill="E6E6E6"/>
            <w:vAlign w:val="center"/>
          </w:tcPr>
          <w:p w:rsidR="00EB5C05" w:rsidRPr="006C3462" w:rsidRDefault="00EB5C05" w:rsidP="001F78E3">
            <w:pPr>
              <w:spacing w:before="40" w:after="20"/>
              <w:jc w:val="right"/>
              <w:rPr>
                <w:rFonts w:ascii="Arial Narrow" w:hAnsi="Arial Narrow" w:cs="Arial"/>
                <w:sz w:val="17"/>
                <w:szCs w:val="15"/>
              </w:rPr>
            </w:pPr>
            <w:r w:rsidRPr="006C3462">
              <w:rPr>
                <w:rFonts w:ascii="Arial Narrow" w:hAnsi="Arial Narrow" w:cs="Arial"/>
                <w:sz w:val="17"/>
                <w:szCs w:val="15"/>
              </w:rPr>
              <w:t>298</w:t>
            </w:r>
          </w:p>
        </w:tc>
      </w:tr>
    </w:tbl>
    <w:p w:rsidR="00DF3ABE" w:rsidRDefault="00DF3ABE" w:rsidP="00DF3ABE">
      <w:pPr>
        <w:spacing w:after="120"/>
        <w:jc w:val="both"/>
        <w:rPr>
          <w:rFonts w:ascii="Arial" w:hAnsi="Arial" w:cs="Arial"/>
          <w:sz w:val="20"/>
          <w:szCs w:val="20"/>
        </w:rPr>
      </w:pPr>
    </w:p>
    <w:p w:rsidR="00696E8C" w:rsidRDefault="00696E8C" w:rsidP="00696E8C">
      <w:pPr>
        <w:spacing w:after="120"/>
        <w:ind w:left="1814"/>
        <w:jc w:val="both"/>
        <w:rPr>
          <w:rFonts w:ascii="Arial" w:hAnsi="Arial" w:cs="Arial"/>
          <w:sz w:val="20"/>
          <w:szCs w:val="20"/>
        </w:rPr>
      </w:pPr>
      <w:r w:rsidRPr="00F6613D">
        <w:rPr>
          <w:rFonts w:ascii="Arial" w:hAnsi="Arial" w:cs="Arial"/>
          <w:sz w:val="20"/>
          <w:szCs w:val="20"/>
        </w:rPr>
        <w:t>Rispetto alla base di calcolo precedente, diminuisce leggermente il numero di imprese comune alle due aree (da circa il 2</w:t>
      </w:r>
      <w:r w:rsidR="009E4C58" w:rsidRPr="00F6613D">
        <w:rPr>
          <w:rFonts w:ascii="Arial" w:hAnsi="Arial" w:cs="Arial"/>
          <w:sz w:val="20"/>
          <w:szCs w:val="20"/>
        </w:rPr>
        <w:t>5</w:t>
      </w:r>
      <w:r w:rsidRPr="00F6613D">
        <w:rPr>
          <w:rFonts w:ascii="Arial" w:hAnsi="Arial" w:cs="Arial"/>
          <w:sz w:val="20"/>
          <w:szCs w:val="20"/>
        </w:rPr>
        <w:t>% al 2</w:t>
      </w:r>
      <w:r w:rsidR="009E4C58" w:rsidRPr="00F6613D">
        <w:rPr>
          <w:rFonts w:ascii="Arial" w:hAnsi="Arial" w:cs="Arial"/>
          <w:sz w:val="20"/>
          <w:szCs w:val="20"/>
        </w:rPr>
        <w:t>3</w:t>
      </w:r>
      <w:r w:rsidRPr="00F6613D">
        <w:rPr>
          <w:rFonts w:ascii="Arial" w:hAnsi="Arial" w:cs="Arial"/>
          <w:sz w:val="20"/>
          <w:szCs w:val="20"/>
        </w:rPr>
        <w:t>%).</w:t>
      </w:r>
      <w:r>
        <w:rPr>
          <w:rFonts w:ascii="Arial" w:hAnsi="Arial" w:cs="Arial"/>
          <w:sz w:val="20"/>
          <w:szCs w:val="20"/>
        </w:rPr>
        <w:t xml:space="preserve"> Inoltre, come per la base Dicembre 2012, anche per la base attuale si osserva per l’indice relativo all’area non euro un maggior numero di imprese rispetto </w:t>
      </w:r>
      <w:r w:rsidR="00117170">
        <w:rPr>
          <w:rFonts w:ascii="Arial" w:hAnsi="Arial" w:cs="Arial"/>
          <w:sz w:val="20"/>
          <w:szCs w:val="20"/>
        </w:rPr>
        <w:t>all’area euro pari a 86 unità.</w:t>
      </w:r>
    </w:p>
    <w:p w:rsidR="00696E8C" w:rsidRDefault="00696E8C" w:rsidP="00696E8C">
      <w:pPr>
        <w:spacing w:after="120"/>
        <w:ind w:left="1814"/>
        <w:jc w:val="both"/>
        <w:rPr>
          <w:rFonts w:ascii="Arial" w:hAnsi="Arial" w:cs="Arial"/>
          <w:sz w:val="20"/>
          <w:szCs w:val="20"/>
        </w:rPr>
      </w:pPr>
      <w:r w:rsidRPr="00F6613D">
        <w:rPr>
          <w:rFonts w:ascii="Arial" w:hAnsi="Arial" w:cs="Arial"/>
          <w:sz w:val="20"/>
          <w:szCs w:val="20"/>
        </w:rPr>
        <w:t>Con riguardo ai prodotti, quelli comuni all</w:t>
      </w:r>
      <w:r w:rsidR="00F6613D" w:rsidRPr="00F6613D">
        <w:rPr>
          <w:rFonts w:ascii="Arial" w:hAnsi="Arial" w:cs="Arial"/>
          <w:sz w:val="20"/>
          <w:szCs w:val="20"/>
        </w:rPr>
        <w:t>e due aree salgono a circa il 51</w:t>
      </w:r>
      <w:r w:rsidRPr="00F6613D">
        <w:rPr>
          <w:rFonts w:ascii="Arial" w:hAnsi="Arial" w:cs="Arial"/>
          <w:sz w:val="20"/>
          <w:szCs w:val="20"/>
        </w:rPr>
        <w:t>% del totale. In termini</w:t>
      </w:r>
      <w:r>
        <w:rPr>
          <w:rFonts w:ascii="Arial" w:hAnsi="Arial" w:cs="Arial"/>
          <w:sz w:val="20"/>
          <w:szCs w:val="20"/>
        </w:rPr>
        <w:t xml:space="preserve"> di numerosità, i prodotti considerati per l’area euro continuano a superare quelli dell’area non euro (863 contro 838</w:t>
      </w:r>
      <w:r w:rsidRPr="004269B0">
        <w:rPr>
          <w:rFonts w:ascii="Arial" w:hAnsi="Arial" w:cs="Arial"/>
          <w:sz w:val="20"/>
          <w:szCs w:val="20"/>
        </w:rPr>
        <w:t>).</w:t>
      </w:r>
    </w:p>
    <w:p w:rsidR="00DF3ABE" w:rsidRDefault="00DF3ABE" w:rsidP="00DF3ABE">
      <w:pPr>
        <w:spacing w:after="120"/>
        <w:ind w:left="1814"/>
        <w:jc w:val="both"/>
        <w:rPr>
          <w:rFonts w:ascii="Arial" w:hAnsi="Arial" w:cs="Arial"/>
          <w:noProof/>
          <w:sz w:val="20"/>
          <w:szCs w:val="20"/>
        </w:rPr>
      </w:pPr>
    </w:p>
    <w:p w:rsidR="00F27D52" w:rsidRPr="00742BDB" w:rsidRDefault="00180425" w:rsidP="00F27D52">
      <w:pPr>
        <w:pStyle w:val="Soggettocommento"/>
        <w:spacing w:after="120"/>
        <w:ind w:left="1814" w:right="-74"/>
        <w:jc w:val="both"/>
        <w:rPr>
          <w:rFonts w:ascii="Arial Narrow" w:hAnsi="Arial Narrow" w:cs="Arial"/>
          <w:b w:val="0"/>
          <w:bCs w:val="0"/>
          <w:color w:val="333333"/>
          <w:sz w:val="19"/>
          <w:szCs w:val="16"/>
        </w:rPr>
      </w:pPr>
      <w:r>
        <w:rPr>
          <w:rFonts w:ascii="Arial Narrow" w:hAnsi="Arial Narrow" w:cs="Arial"/>
          <w:bCs w:val="0"/>
          <w:caps/>
          <w:color w:val="777777"/>
          <w:szCs w:val="16"/>
        </w:rPr>
        <w:t xml:space="preserve">Prospetto </w:t>
      </w:r>
      <w:r w:rsidR="00557CFD">
        <w:rPr>
          <w:rFonts w:ascii="Arial Narrow" w:hAnsi="Arial Narrow" w:cs="Arial"/>
          <w:bCs w:val="0"/>
          <w:caps/>
          <w:color w:val="777777"/>
          <w:szCs w:val="16"/>
        </w:rPr>
        <w:t>3</w:t>
      </w:r>
      <w:r w:rsidR="00F27D52">
        <w:rPr>
          <w:rFonts w:ascii="Arial Narrow" w:hAnsi="Arial Narrow" w:cs="Arial"/>
          <w:bCs w:val="0"/>
          <w:caps/>
          <w:color w:val="777777"/>
          <w:szCs w:val="16"/>
        </w:rPr>
        <w:t>. Prezzi alla produzione dei prodotti industriali, Indice totale. Numerosità del campione dei prodotti, prezzi e imprese</w:t>
      </w:r>
      <w:r w:rsidR="00F27D52" w:rsidRPr="00E50269">
        <w:rPr>
          <w:rFonts w:ascii="Arial Narrow" w:hAnsi="Arial Narrow" w:cs="Arial"/>
          <w:bCs w:val="0"/>
          <w:caps/>
          <w:color w:val="777777"/>
          <w:szCs w:val="16"/>
        </w:rPr>
        <w:t xml:space="preserve">. </w:t>
      </w:r>
      <w:r w:rsidR="00F27D52" w:rsidRPr="00800C32">
        <w:rPr>
          <w:rFonts w:ascii="Arial Narrow" w:hAnsi="Arial Narrow" w:cs="Arial"/>
          <w:b w:val="0"/>
          <w:bCs w:val="0"/>
          <w:caps/>
          <w:color w:val="808080"/>
          <w:spacing w:val="-2"/>
          <w:sz w:val="19"/>
          <w:szCs w:val="19"/>
        </w:rPr>
        <w:t>c</w:t>
      </w:r>
      <w:r w:rsidR="00F27D52" w:rsidRPr="00800C32">
        <w:rPr>
          <w:rFonts w:ascii="Arial Narrow" w:hAnsi="Arial Narrow" w:cs="Arial"/>
          <w:b w:val="0"/>
          <w:bCs w:val="0"/>
          <w:color w:val="808080"/>
          <w:spacing w:val="-2"/>
          <w:sz w:val="19"/>
          <w:szCs w:val="19"/>
        </w:rPr>
        <w:t>onfronto tra le basi di calcolo Dicembre 201</w:t>
      </w:r>
      <w:r w:rsidR="00C86F21">
        <w:rPr>
          <w:rFonts w:ascii="Arial Narrow" w:hAnsi="Arial Narrow" w:cs="Arial"/>
          <w:b w:val="0"/>
          <w:bCs w:val="0"/>
          <w:color w:val="808080"/>
          <w:spacing w:val="-2"/>
          <w:sz w:val="19"/>
          <w:szCs w:val="19"/>
        </w:rPr>
        <w:t>2</w:t>
      </w:r>
      <w:r w:rsidR="00F27D52" w:rsidRPr="00800C32">
        <w:rPr>
          <w:rFonts w:ascii="Arial Narrow" w:hAnsi="Arial Narrow" w:cs="Arial"/>
          <w:b w:val="0"/>
          <w:bCs w:val="0"/>
          <w:color w:val="808080"/>
          <w:spacing w:val="-2"/>
          <w:sz w:val="19"/>
          <w:szCs w:val="19"/>
        </w:rPr>
        <w:t xml:space="preserve"> e Dicembre 201</w:t>
      </w:r>
      <w:r w:rsidR="00C86F21">
        <w:rPr>
          <w:rFonts w:ascii="Arial Narrow" w:hAnsi="Arial Narrow" w:cs="Arial"/>
          <w:b w:val="0"/>
          <w:bCs w:val="0"/>
          <w:color w:val="808080"/>
          <w:spacing w:val="-2"/>
          <w:sz w:val="19"/>
          <w:szCs w:val="19"/>
        </w:rPr>
        <w:t>3</w:t>
      </w:r>
      <w:r w:rsidR="000673EA">
        <w:rPr>
          <w:rFonts w:ascii="Arial Narrow" w:hAnsi="Arial Narrow" w:cs="Arial"/>
          <w:b w:val="0"/>
          <w:bCs w:val="0"/>
          <w:color w:val="808080"/>
          <w:spacing w:val="-2"/>
          <w:sz w:val="19"/>
          <w:szCs w:val="19"/>
        </w:rPr>
        <w:t>.</w:t>
      </w:r>
    </w:p>
    <w:tbl>
      <w:tblPr>
        <w:tblW w:w="8832" w:type="dxa"/>
        <w:tblInd w:w="1908" w:type="dxa"/>
        <w:tblLook w:val="01E0" w:firstRow="1" w:lastRow="1" w:firstColumn="1" w:lastColumn="1" w:noHBand="0" w:noVBand="0"/>
      </w:tblPr>
      <w:tblGrid>
        <w:gridCol w:w="1425"/>
        <w:gridCol w:w="1592"/>
        <w:gridCol w:w="1277"/>
        <w:gridCol w:w="1417"/>
        <w:gridCol w:w="1560"/>
        <w:gridCol w:w="1561"/>
      </w:tblGrid>
      <w:tr w:rsidR="00F27D52" w:rsidTr="006F0721">
        <w:trPr>
          <w:cantSplit/>
          <w:trHeight w:val="222"/>
        </w:trPr>
        <w:tc>
          <w:tcPr>
            <w:tcW w:w="807" w:type="pct"/>
            <w:vMerge w:val="restart"/>
            <w:tcBorders>
              <w:top w:val="single" w:sz="4" w:space="0" w:color="333333"/>
              <w:bottom w:val="single" w:sz="4" w:space="0" w:color="333333"/>
            </w:tcBorders>
            <w:vAlign w:val="center"/>
          </w:tcPr>
          <w:p w:rsidR="00F27D52" w:rsidRDefault="00F27D52" w:rsidP="00F939D6">
            <w:pPr>
              <w:pStyle w:val="Titolo9"/>
            </w:pPr>
            <w:r>
              <w:t>Unità</w:t>
            </w:r>
          </w:p>
        </w:tc>
        <w:tc>
          <w:tcPr>
            <w:tcW w:w="1624" w:type="pct"/>
            <w:gridSpan w:val="2"/>
            <w:tcBorders>
              <w:top w:val="single" w:sz="4" w:space="0" w:color="333333"/>
              <w:bottom w:val="single" w:sz="4" w:space="0" w:color="333333"/>
            </w:tcBorders>
            <w:shd w:val="clear" w:color="auto" w:fill="E6E6E6"/>
            <w:vAlign w:val="center"/>
          </w:tcPr>
          <w:p w:rsidR="00F27D52" w:rsidRDefault="00F27D52" w:rsidP="00F939D6">
            <w:pPr>
              <w:spacing w:before="40" w:after="20"/>
              <w:jc w:val="center"/>
              <w:rPr>
                <w:rFonts w:ascii="Arial Narrow" w:hAnsi="Arial Narrow" w:cs="Arial"/>
                <w:b/>
                <w:sz w:val="18"/>
                <w:szCs w:val="16"/>
              </w:rPr>
            </w:pPr>
            <w:r>
              <w:rPr>
                <w:rFonts w:ascii="Arial Narrow" w:hAnsi="Arial Narrow" w:cs="Arial"/>
                <w:b/>
                <w:sz w:val="18"/>
                <w:szCs w:val="16"/>
              </w:rPr>
              <w:t>Numerosità</w:t>
            </w:r>
          </w:p>
        </w:tc>
        <w:tc>
          <w:tcPr>
            <w:tcW w:w="2569" w:type="pct"/>
            <w:gridSpan w:val="3"/>
            <w:tcBorders>
              <w:top w:val="single" w:sz="4" w:space="0" w:color="333333"/>
              <w:left w:val="nil"/>
              <w:bottom w:val="single" w:sz="4" w:space="0" w:color="333333"/>
            </w:tcBorders>
            <w:vAlign w:val="center"/>
          </w:tcPr>
          <w:p w:rsidR="00F27D52" w:rsidRDefault="00F27D52" w:rsidP="00F939D6">
            <w:pPr>
              <w:spacing w:before="40" w:after="20"/>
              <w:jc w:val="center"/>
              <w:rPr>
                <w:rFonts w:ascii="Arial Narrow" w:hAnsi="Arial Narrow" w:cs="Arial"/>
                <w:b/>
                <w:sz w:val="18"/>
                <w:szCs w:val="16"/>
              </w:rPr>
            </w:pPr>
            <w:r>
              <w:rPr>
                <w:rFonts w:ascii="Arial Narrow" w:hAnsi="Arial Narrow" w:cs="Arial"/>
                <w:b/>
                <w:sz w:val="18"/>
                <w:szCs w:val="16"/>
              </w:rPr>
              <w:t>Flussi tra le due basi</w:t>
            </w:r>
          </w:p>
        </w:tc>
      </w:tr>
      <w:tr w:rsidR="00F27D52" w:rsidTr="00EB5C05">
        <w:trPr>
          <w:cantSplit/>
          <w:trHeight w:val="200"/>
        </w:trPr>
        <w:tc>
          <w:tcPr>
            <w:tcW w:w="807" w:type="pct"/>
            <w:vMerge/>
            <w:tcBorders>
              <w:top w:val="single" w:sz="4" w:space="0" w:color="333333"/>
              <w:bottom w:val="single" w:sz="4" w:space="0" w:color="333333"/>
            </w:tcBorders>
          </w:tcPr>
          <w:p w:rsidR="00F27D52" w:rsidRDefault="00F27D52" w:rsidP="00F939D6">
            <w:pPr>
              <w:spacing w:before="40" w:after="20"/>
              <w:ind w:left="-57"/>
              <w:rPr>
                <w:rFonts w:ascii="Arial Narrow" w:hAnsi="Arial Narrow" w:cs="Arial"/>
                <w:sz w:val="18"/>
                <w:szCs w:val="16"/>
              </w:rPr>
            </w:pPr>
          </w:p>
        </w:tc>
        <w:tc>
          <w:tcPr>
            <w:tcW w:w="901" w:type="pct"/>
            <w:tcBorders>
              <w:top w:val="single" w:sz="4" w:space="0" w:color="333333"/>
              <w:bottom w:val="single" w:sz="4" w:space="0" w:color="333333"/>
            </w:tcBorders>
            <w:shd w:val="clear" w:color="auto" w:fill="E6E6E6"/>
            <w:vAlign w:val="center"/>
          </w:tcPr>
          <w:p w:rsidR="00F27D52" w:rsidRPr="00DF3ABE" w:rsidRDefault="00F27D52" w:rsidP="00DF3ABE">
            <w:pPr>
              <w:spacing w:before="40" w:after="20"/>
              <w:ind w:right="145"/>
              <w:jc w:val="right"/>
              <w:rPr>
                <w:rFonts w:ascii="Arial Narrow" w:hAnsi="Arial Narrow" w:cs="Arial"/>
                <w:b/>
                <w:sz w:val="18"/>
                <w:szCs w:val="16"/>
              </w:rPr>
            </w:pPr>
            <w:r w:rsidRPr="00DF3ABE">
              <w:rPr>
                <w:rFonts w:ascii="Arial Narrow" w:hAnsi="Arial Narrow" w:cs="Arial"/>
                <w:b/>
                <w:sz w:val="18"/>
                <w:szCs w:val="16"/>
              </w:rPr>
              <w:t>Base 201</w:t>
            </w:r>
            <w:r w:rsidR="00C86F21" w:rsidRPr="00DF3ABE">
              <w:rPr>
                <w:rFonts w:ascii="Arial Narrow" w:hAnsi="Arial Narrow" w:cs="Arial"/>
                <w:b/>
                <w:sz w:val="18"/>
                <w:szCs w:val="16"/>
              </w:rPr>
              <w:t>2</w:t>
            </w:r>
          </w:p>
        </w:tc>
        <w:tc>
          <w:tcPr>
            <w:tcW w:w="723" w:type="pct"/>
            <w:tcBorders>
              <w:top w:val="single" w:sz="4" w:space="0" w:color="333333"/>
              <w:bottom w:val="single" w:sz="4" w:space="0" w:color="333333"/>
            </w:tcBorders>
            <w:vAlign w:val="center"/>
          </w:tcPr>
          <w:p w:rsidR="00F27D52" w:rsidRPr="00DF3ABE" w:rsidRDefault="00F27D52" w:rsidP="00DF3ABE">
            <w:pPr>
              <w:spacing w:before="40" w:after="20"/>
              <w:ind w:right="145"/>
              <w:jc w:val="right"/>
              <w:rPr>
                <w:rFonts w:ascii="Arial Narrow" w:hAnsi="Arial Narrow" w:cs="Arial"/>
                <w:b/>
                <w:sz w:val="18"/>
                <w:szCs w:val="16"/>
              </w:rPr>
            </w:pPr>
            <w:r w:rsidRPr="00DF3ABE">
              <w:rPr>
                <w:rFonts w:ascii="Arial Narrow" w:hAnsi="Arial Narrow" w:cs="Arial"/>
                <w:b/>
                <w:sz w:val="18"/>
                <w:szCs w:val="16"/>
              </w:rPr>
              <w:t>Base 201</w:t>
            </w:r>
            <w:r w:rsidR="00C86F21" w:rsidRPr="00DF3ABE">
              <w:rPr>
                <w:rFonts w:ascii="Arial Narrow" w:hAnsi="Arial Narrow" w:cs="Arial"/>
                <w:b/>
                <w:sz w:val="18"/>
                <w:szCs w:val="16"/>
              </w:rPr>
              <w:t>3</w:t>
            </w:r>
          </w:p>
        </w:tc>
        <w:tc>
          <w:tcPr>
            <w:tcW w:w="802" w:type="pct"/>
            <w:tcBorders>
              <w:top w:val="single" w:sz="4" w:space="0" w:color="333333"/>
              <w:left w:val="nil"/>
              <w:bottom w:val="single" w:sz="4" w:space="0" w:color="333333"/>
            </w:tcBorders>
            <w:shd w:val="clear" w:color="auto" w:fill="E6E6E6"/>
            <w:vAlign w:val="center"/>
          </w:tcPr>
          <w:p w:rsidR="00F27D52" w:rsidRPr="00DF3ABE" w:rsidRDefault="00F27D52" w:rsidP="00DF3ABE">
            <w:pPr>
              <w:spacing w:before="40" w:after="20"/>
              <w:ind w:right="145"/>
              <w:jc w:val="right"/>
              <w:rPr>
                <w:rFonts w:ascii="Arial Narrow" w:hAnsi="Arial Narrow" w:cs="Arial"/>
                <w:b/>
                <w:sz w:val="18"/>
                <w:szCs w:val="16"/>
              </w:rPr>
            </w:pPr>
            <w:r w:rsidRPr="00DF3ABE">
              <w:rPr>
                <w:rFonts w:ascii="Arial Narrow" w:hAnsi="Arial Narrow" w:cs="Arial"/>
                <w:b/>
                <w:sz w:val="18"/>
                <w:szCs w:val="16"/>
              </w:rPr>
              <w:t xml:space="preserve">In uscita dalla </w:t>
            </w:r>
            <w:r w:rsidRPr="00DF3ABE">
              <w:rPr>
                <w:rFonts w:ascii="Arial Narrow" w:hAnsi="Arial Narrow" w:cs="Arial"/>
                <w:b/>
                <w:sz w:val="18"/>
                <w:szCs w:val="16"/>
              </w:rPr>
              <w:br/>
              <w:t>Base 201</w:t>
            </w:r>
            <w:r w:rsidR="00F80890" w:rsidRPr="00DF3ABE">
              <w:rPr>
                <w:rFonts w:ascii="Arial Narrow" w:hAnsi="Arial Narrow" w:cs="Arial"/>
                <w:b/>
                <w:sz w:val="18"/>
                <w:szCs w:val="16"/>
              </w:rPr>
              <w:t>2</w:t>
            </w:r>
          </w:p>
        </w:tc>
        <w:tc>
          <w:tcPr>
            <w:tcW w:w="883" w:type="pct"/>
            <w:tcBorders>
              <w:top w:val="single" w:sz="4" w:space="0" w:color="333333"/>
              <w:bottom w:val="single" w:sz="4" w:space="0" w:color="333333"/>
            </w:tcBorders>
            <w:vAlign w:val="center"/>
          </w:tcPr>
          <w:p w:rsidR="00F27D52" w:rsidRPr="00DF3ABE" w:rsidRDefault="00F27D52" w:rsidP="00DF3ABE">
            <w:pPr>
              <w:spacing w:before="40" w:after="20"/>
              <w:ind w:right="145"/>
              <w:jc w:val="right"/>
              <w:rPr>
                <w:rFonts w:ascii="Arial Narrow" w:hAnsi="Arial Narrow" w:cs="Arial"/>
                <w:b/>
                <w:sz w:val="18"/>
                <w:szCs w:val="16"/>
              </w:rPr>
            </w:pPr>
            <w:r w:rsidRPr="00DF3ABE">
              <w:rPr>
                <w:rFonts w:ascii="Arial Narrow" w:hAnsi="Arial Narrow" w:cs="Arial"/>
                <w:b/>
                <w:sz w:val="18"/>
                <w:szCs w:val="16"/>
              </w:rPr>
              <w:t>Provenienti dalla</w:t>
            </w:r>
            <w:r w:rsidRPr="00DF3ABE">
              <w:rPr>
                <w:rFonts w:ascii="Arial Narrow" w:hAnsi="Arial Narrow" w:cs="Arial"/>
                <w:b/>
                <w:sz w:val="18"/>
                <w:szCs w:val="16"/>
              </w:rPr>
              <w:br/>
              <w:t>Base 201</w:t>
            </w:r>
            <w:r w:rsidR="00F80890" w:rsidRPr="00DF3ABE">
              <w:rPr>
                <w:rFonts w:ascii="Arial Narrow" w:hAnsi="Arial Narrow" w:cs="Arial"/>
                <w:b/>
                <w:sz w:val="18"/>
                <w:szCs w:val="16"/>
              </w:rPr>
              <w:t>2</w:t>
            </w:r>
          </w:p>
        </w:tc>
        <w:tc>
          <w:tcPr>
            <w:tcW w:w="884" w:type="pct"/>
            <w:tcBorders>
              <w:top w:val="single" w:sz="4" w:space="0" w:color="333333"/>
              <w:bottom w:val="single" w:sz="4" w:space="0" w:color="333333"/>
            </w:tcBorders>
            <w:shd w:val="clear" w:color="auto" w:fill="E6E6E6"/>
            <w:vAlign w:val="center"/>
          </w:tcPr>
          <w:p w:rsidR="00F27D52" w:rsidRPr="00DF3ABE" w:rsidRDefault="00F27D52" w:rsidP="00DF3ABE">
            <w:pPr>
              <w:spacing w:before="40" w:after="20"/>
              <w:ind w:right="145"/>
              <w:jc w:val="right"/>
              <w:rPr>
                <w:rFonts w:ascii="Arial Narrow" w:hAnsi="Arial Narrow" w:cs="Arial"/>
                <w:b/>
                <w:sz w:val="18"/>
                <w:szCs w:val="16"/>
              </w:rPr>
            </w:pPr>
            <w:r w:rsidRPr="00DF3ABE">
              <w:rPr>
                <w:rFonts w:ascii="Arial Narrow" w:hAnsi="Arial Narrow" w:cs="Arial"/>
                <w:b/>
                <w:sz w:val="18"/>
                <w:szCs w:val="16"/>
              </w:rPr>
              <w:t>In entrata nella</w:t>
            </w:r>
            <w:r w:rsidRPr="00DF3ABE">
              <w:rPr>
                <w:rFonts w:ascii="Arial Narrow" w:hAnsi="Arial Narrow" w:cs="Arial"/>
                <w:b/>
                <w:sz w:val="18"/>
                <w:szCs w:val="16"/>
              </w:rPr>
              <w:br/>
              <w:t>Base 201</w:t>
            </w:r>
            <w:r w:rsidR="00C86F21" w:rsidRPr="00DF3ABE">
              <w:rPr>
                <w:rFonts w:ascii="Arial Narrow" w:hAnsi="Arial Narrow" w:cs="Arial"/>
                <w:b/>
                <w:sz w:val="18"/>
                <w:szCs w:val="16"/>
              </w:rPr>
              <w:t>3</w:t>
            </w:r>
          </w:p>
        </w:tc>
      </w:tr>
      <w:tr w:rsidR="00EB5C05" w:rsidTr="00EB5C05">
        <w:tc>
          <w:tcPr>
            <w:tcW w:w="807" w:type="pct"/>
            <w:tcBorders>
              <w:top w:val="single" w:sz="4" w:space="0" w:color="333333"/>
              <w:bottom w:val="single" w:sz="4" w:space="0" w:color="333333"/>
            </w:tcBorders>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Prodotti</w:t>
            </w:r>
          </w:p>
        </w:tc>
        <w:tc>
          <w:tcPr>
            <w:tcW w:w="901" w:type="pct"/>
            <w:tcBorders>
              <w:top w:val="single" w:sz="4" w:space="0" w:color="333333"/>
              <w:bottom w:val="single" w:sz="4" w:space="0" w:color="333333"/>
            </w:tcBorders>
            <w:shd w:val="clear" w:color="auto" w:fill="E6E6E6"/>
          </w:tcPr>
          <w:p w:rsidR="00EB5C05"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1.743</w:t>
            </w:r>
          </w:p>
        </w:tc>
        <w:tc>
          <w:tcPr>
            <w:tcW w:w="723" w:type="pct"/>
            <w:tcBorders>
              <w:top w:val="single" w:sz="4" w:space="0" w:color="333333"/>
              <w:bottom w:val="single" w:sz="4" w:space="0" w:color="333333"/>
            </w:tcBorders>
          </w:tcPr>
          <w:p w:rsidR="00EB5C05" w:rsidRDefault="00EB5C05" w:rsidP="00597C75">
            <w:pPr>
              <w:spacing w:before="40" w:after="20"/>
              <w:ind w:right="145"/>
              <w:jc w:val="right"/>
              <w:rPr>
                <w:rFonts w:ascii="Arial Narrow" w:hAnsi="Arial Narrow" w:cs="Arial"/>
                <w:sz w:val="18"/>
                <w:szCs w:val="16"/>
              </w:rPr>
            </w:pPr>
            <w:r>
              <w:rPr>
                <w:rFonts w:ascii="Arial Narrow" w:hAnsi="Arial Narrow" w:cs="Arial"/>
                <w:sz w:val="18"/>
                <w:szCs w:val="16"/>
              </w:rPr>
              <w:t>1.70</w:t>
            </w:r>
            <w:r w:rsidR="00597C75">
              <w:rPr>
                <w:rFonts w:ascii="Arial Narrow" w:hAnsi="Arial Narrow" w:cs="Arial"/>
                <w:sz w:val="18"/>
                <w:szCs w:val="16"/>
              </w:rPr>
              <w:t>8</w:t>
            </w:r>
          </w:p>
        </w:tc>
        <w:tc>
          <w:tcPr>
            <w:tcW w:w="802" w:type="pct"/>
            <w:tcBorders>
              <w:top w:val="single" w:sz="4" w:space="0" w:color="333333"/>
              <w:left w:val="nil"/>
              <w:bottom w:val="single" w:sz="4" w:space="0" w:color="333333"/>
            </w:tcBorders>
            <w:shd w:val="clear" w:color="auto" w:fill="E6E6E6"/>
          </w:tcPr>
          <w:p w:rsidR="00EB5C05" w:rsidRDefault="00EB5C05" w:rsidP="00597C75">
            <w:pPr>
              <w:spacing w:before="40" w:after="20"/>
              <w:ind w:right="145"/>
              <w:jc w:val="right"/>
              <w:rPr>
                <w:rFonts w:ascii="Arial Narrow" w:hAnsi="Arial Narrow" w:cs="Arial"/>
                <w:sz w:val="18"/>
                <w:szCs w:val="16"/>
              </w:rPr>
            </w:pPr>
            <w:r>
              <w:rPr>
                <w:rFonts w:ascii="Arial Narrow" w:hAnsi="Arial Narrow" w:cs="Arial"/>
                <w:sz w:val="18"/>
                <w:szCs w:val="16"/>
              </w:rPr>
              <w:t>9</w:t>
            </w:r>
            <w:r w:rsidR="00597C75">
              <w:rPr>
                <w:rFonts w:ascii="Arial Narrow" w:hAnsi="Arial Narrow" w:cs="Arial"/>
                <w:sz w:val="18"/>
                <w:szCs w:val="16"/>
              </w:rPr>
              <w:t>3</w:t>
            </w:r>
          </w:p>
        </w:tc>
        <w:tc>
          <w:tcPr>
            <w:tcW w:w="883" w:type="pct"/>
            <w:tcBorders>
              <w:top w:val="single" w:sz="4" w:space="0" w:color="333333"/>
              <w:bottom w:val="single" w:sz="4" w:space="0" w:color="333333"/>
            </w:tcBorders>
          </w:tcPr>
          <w:p w:rsidR="00EB5C05"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1.651</w:t>
            </w:r>
          </w:p>
        </w:tc>
        <w:tc>
          <w:tcPr>
            <w:tcW w:w="884" w:type="pct"/>
            <w:tcBorders>
              <w:top w:val="single" w:sz="4" w:space="0" w:color="333333"/>
              <w:bottom w:val="single" w:sz="4" w:space="0" w:color="333333"/>
            </w:tcBorders>
            <w:shd w:val="clear" w:color="auto" w:fill="E6E6E6"/>
          </w:tcPr>
          <w:p w:rsidR="00EB5C05"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58</w:t>
            </w:r>
          </w:p>
        </w:tc>
      </w:tr>
      <w:tr w:rsidR="00EB5C05" w:rsidTr="00EB5C05">
        <w:tc>
          <w:tcPr>
            <w:tcW w:w="807" w:type="pct"/>
            <w:tcBorders>
              <w:top w:val="single" w:sz="4" w:space="0" w:color="333333"/>
              <w:bottom w:val="single" w:sz="4" w:space="0" w:color="333333"/>
            </w:tcBorders>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Prezzi</w:t>
            </w:r>
          </w:p>
        </w:tc>
        <w:tc>
          <w:tcPr>
            <w:tcW w:w="901" w:type="pct"/>
            <w:tcBorders>
              <w:top w:val="single" w:sz="4" w:space="0" w:color="333333"/>
              <w:bottom w:val="single" w:sz="4" w:space="0" w:color="333333"/>
            </w:tcBorders>
            <w:shd w:val="clear" w:color="auto" w:fill="E6E6E6"/>
            <w:vAlign w:val="bottom"/>
          </w:tcPr>
          <w:p w:rsidR="00EB5C05" w:rsidRPr="00FE1C2A"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20.002</w:t>
            </w:r>
          </w:p>
        </w:tc>
        <w:tc>
          <w:tcPr>
            <w:tcW w:w="723" w:type="pct"/>
            <w:tcBorders>
              <w:top w:val="single" w:sz="4" w:space="0" w:color="333333"/>
              <w:bottom w:val="single" w:sz="4" w:space="0" w:color="333333"/>
            </w:tcBorders>
            <w:vAlign w:val="bottom"/>
          </w:tcPr>
          <w:p w:rsidR="00EB5C05" w:rsidRPr="00FE1C2A"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19.915</w:t>
            </w:r>
          </w:p>
        </w:tc>
        <w:tc>
          <w:tcPr>
            <w:tcW w:w="802" w:type="pct"/>
            <w:tcBorders>
              <w:top w:val="single" w:sz="4" w:space="0" w:color="333333"/>
              <w:left w:val="nil"/>
              <w:bottom w:val="single" w:sz="4" w:space="0" w:color="333333"/>
            </w:tcBorders>
            <w:shd w:val="clear" w:color="auto" w:fill="E6E6E6"/>
            <w:vAlign w:val="bottom"/>
          </w:tcPr>
          <w:p w:rsidR="00EB5C05" w:rsidRPr="00FE1C2A"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2.437</w:t>
            </w:r>
          </w:p>
        </w:tc>
        <w:tc>
          <w:tcPr>
            <w:tcW w:w="883" w:type="pct"/>
            <w:tcBorders>
              <w:top w:val="single" w:sz="4" w:space="0" w:color="333333"/>
              <w:bottom w:val="single" w:sz="4" w:space="0" w:color="333333"/>
            </w:tcBorders>
            <w:vAlign w:val="bottom"/>
          </w:tcPr>
          <w:p w:rsidR="00EB5C05" w:rsidRPr="00FE1C2A"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17.777</w:t>
            </w:r>
          </w:p>
        </w:tc>
        <w:tc>
          <w:tcPr>
            <w:tcW w:w="884" w:type="pct"/>
            <w:tcBorders>
              <w:top w:val="single" w:sz="4" w:space="0" w:color="333333"/>
              <w:bottom w:val="single" w:sz="4" w:space="0" w:color="333333"/>
            </w:tcBorders>
            <w:shd w:val="clear" w:color="auto" w:fill="E6E6E6"/>
            <w:vAlign w:val="bottom"/>
          </w:tcPr>
          <w:p w:rsidR="00EB5C05" w:rsidRPr="00FE1C2A"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2.350</w:t>
            </w:r>
          </w:p>
        </w:tc>
      </w:tr>
      <w:tr w:rsidR="00EB5C05" w:rsidTr="00EB5C05">
        <w:tc>
          <w:tcPr>
            <w:tcW w:w="807" w:type="pct"/>
            <w:tcBorders>
              <w:top w:val="single" w:sz="4" w:space="0" w:color="333333"/>
              <w:bottom w:val="single" w:sz="4" w:space="0" w:color="auto"/>
            </w:tcBorders>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Imprese</w:t>
            </w:r>
          </w:p>
        </w:tc>
        <w:tc>
          <w:tcPr>
            <w:tcW w:w="901" w:type="pct"/>
            <w:tcBorders>
              <w:top w:val="single" w:sz="4" w:space="0" w:color="333333"/>
              <w:bottom w:val="single" w:sz="4" w:space="0" w:color="auto"/>
            </w:tcBorders>
            <w:shd w:val="clear" w:color="auto" w:fill="E6E6E6"/>
          </w:tcPr>
          <w:p w:rsidR="00EB5C05"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5.517</w:t>
            </w:r>
          </w:p>
        </w:tc>
        <w:tc>
          <w:tcPr>
            <w:tcW w:w="723" w:type="pct"/>
            <w:tcBorders>
              <w:top w:val="single" w:sz="4" w:space="0" w:color="333333"/>
              <w:bottom w:val="single" w:sz="4" w:space="0" w:color="auto"/>
            </w:tcBorders>
          </w:tcPr>
          <w:p w:rsidR="00EB5C05"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5.641</w:t>
            </w:r>
          </w:p>
        </w:tc>
        <w:tc>
          <w:tcPr>
            <w:tcW w:w="802" w:type="pct"/>
            <w:tcBorders>
              <w:top w:val="single" w:sz="4" w:space="0" w:color="333333"/>
              <w:left w:val="nil"/>
              <w:bottom w:val="single" w:sz="4" w:space="0" w:color="auto"/>
            </w:tcBorders>
            <w:shd w:val="clear" w:color="auto" w:fill="E6E6E6"/>
            <w:vAlign w:val="bottom"/>
          </w:tcPr>
          <w:p w:rsidR="00EB5C05" w:rsidRPr="00407A12"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627</w:t>
            </w:r>
          </w:p>
        </w:tc>
        <w:tc>
          <w:tcPr>
            <w:tcW w:w="883" w:type="pct"/>
            <w:tcBorders>
              <w:top w:val="single" w:sz="4" w:space="0" w:color="333333"/>
              <w:bottom w:val="single" w:sz="4" w:space="0" w:color="auto"/>
            </w:tcBorders>
            <w:vAlign w:val="bottom"/>
          </w:tcPr>
          <w:p w:rsidR="00EB5C05" w:rsidRPr="00407A12"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4.891</w:t>
            </w:r>
          </w:p>
        </w:tc>
        <w:tc>
          <w:tcPr>
            <w:tcW w:w="884" w:type="pct"/>
            <w:tcBorders>
              <w:top w:val="single" w:sz="4" w:space="0" w:color="333333"/>
              <w:bottom w:val="single" w:sz="4" w:space="0" w:color="auto"/>
            </w:tcBorders>
            <w:shd w:val="clear" w:color="auto" w:fill="E6E6E6"/>
            <w:vAlign w:val="bottom"/>
          </w:tcPr>
          <w:p w:rsidR="00EB5C05" w:rsidRPr="00407A12" w:rsidRDefault="00EB5C05" w:rsidP="001F78E3">
            <w:pPr>
              <w:spacing w:before="40" w:after="20"/>
              <w:ind w:right="145"/>
              <w:jc w:val="right"/>
              <w:rPr>
                <w:rFonts w:ascii="Arial Narrow" w:hAnsi="Arial Narrow" w:cs="Arial"/>
                <w:sz w:val="18"/>
                <w:szCs w:val="16"/>
              </w:rPr>
            </w:pPr>
            <w:r>
              <w:rPr>
                <w:rFonts w:ascii="Arial Narrow" w:hAnsi="Arial Narrow" w:cs="Arial"/>
                <w:sz w:val="18"/>
                <w:szCs w:val="16"/>
              </w:rPr>
              <w:t>751</w:t>
            </w:r>
          </w:p>
        </w:tc>
      </w:tr>
    </w:tbl>
    <w:p w:rsidR="00230ACD" w:rsidRPr="00230ACD" w:rsidRDefault="00230ACD" w:rsidP="00230ACD">
      <w:pPr>
        <w:spacing w:after="120"/>
        <w:ind w:left="1814"/>
        <w:jc w:val="both"/>
        <w:rPr>
          <w:rFonts w:ascii="Arial" w:hAnsi="Arial" w:cs="Arial"/>
          <w:noProof/>
          <w:sz w:val="20"/>
          <w:szCs w:val="20"/>
        </w:rPr>
      </w:pPr>
    </w:p>
    <w:p w:rsidR="00696E8C" w:rsidRDefault="00696E8C" w:rsidP="00696E8C">
      <w:pPr>
        <w:spacing w:after="120"/>
        <w:ind w:left="1814"/>
        <w:jc w:val="both"/>
        <w:rPr>
          <w:rFonts w:ascii="Arial" w:hAnsi="Arial" w:cs="Arial"/>
          <w:sz w:val="20"/>
          <w:szCs w:val="20"/>
        </w:rPr>
      </w:pPr>
      <w:r w:rsidRPr="00117170">
        <w:rPr>
          <w:rFonts w:ascii="Arial" w:hAnsi="Arial" w:cs="Arial"/>
          <w:sz w:val="20"/>
          <w:szCs w:val="20"/>
        </w:rPr>
        <w:t xml:space="preserve">L’analisi delle unità campionarie condotta a livello di Raggruppamenti principali di industrie mette in evidenza ulteriori caratteristiche della nuova base di calcolo (Prospetti </w:t>
      </w:r>
      <w:r w:rsidR="00117170" w:rsidRPr="00117170">
        <w:rPr>
          <w:rFonts w:ascii="Arial" w:hAnsi="Arial" w:cs="Arial"/>
          <w:sz w:val="20"/>
          <w:szCs w:val="20"/>
        </w:rPr>
        <w:t>4</w:t>
      </w:r>
      <w:r w:rsidRPr="00117170">
        <w:rPr>
          <w:rFonts w:ascii="Arial" w:hAnsi="Arial" w:cs="Arial"/>
          <w:sz w:val="20"/>
          <w:szCs w:val="20"/>
        </w:rPr>
        <w:t xml:space="preserve">, </w:t>
      </w:r>
      <w:r w:rsidR="00117170" w:rsidRPr="00117170">
        <w:rPr>
          <w:rFonts w:ascii="Arial" w:hAnsi="Arial" w:cs="Arial"/>
          <w:sz w:val="20"/>
          <w:szCs w:val="20"/>
        </w:rPr>
        <w:t>5</w:t>
      </w:r>
      <w:r w:rsidRPr="00117170">
        <w:rPr>
          <w:rFonts w:ascii="Arial" w:hAnsi="Arial" w:cs="Arial"/>
          <w:sz w:val="20"/>
          <w:szCs w:val="20"/>
        </w:rPr>
        <w:t xml:space="preserve"> e </w:t>
      </w:r>
      <w:r w:rsidR="00117170" w:rsidRPr="00117170">
        <w:rPr>
          <w:rFonts w:ascii="Arial" w:hAnsi="Arial" w:cs="Arial"/>
          <w:sz w:val="20"/>
          <w:szCs w:val="20"/>
        </w:rPr>
        <w:t>6</w:t>
      </w:r>
      <w:r w:rsidRPr="00117170">
        <w:rPr>
          <w:rFonts w:ascii="Arial" w:hAnsi="Arial" w:cs="Arial"/>
          <w:sz w:val="20"/>
          <w:szCs w:val="20"/>
        </w:rPr>
        <w:t xml:space="preserve"> rispettivamente per il mercato interno, estero area euro ed estero area non euro).</w:t>
      </w:r>
    </w:p>
    <w:p w:rsidR="00696E8C" w:rsidRDefault="00696E8C" w:rsidP="00696E8C">
      <w:pPr>
        <w:spacing w:after="120"/>
        <w:ind w:left="1814" w:right="84"/>
        <w:jc w:val="both"/>
        <w:rPr>
          <w:rFonts w:ascii="Arial" w:hAnsi="Arial" w:cs="Arial"/>
          <w:sz w:val="20"/>
          <w:szCs w:val="20"/>
        </w:rPr>
      </w:pPr>
      <w:r w:rsidRPr="00117170">
        <w:rPr>
          <w:rFonts w:ascii="Arial" w:hAnsi="Arial" w:cs="Arial"/>
          <w:sz w:val="20"/>
          <w:szCs w:val="20"/>
        </w:rPr>
        <w:t xml:space="preserve">Per quel che riguarda il mercato interno si osserva una distribuzione differenziata del carico statistico sulle unità rispondenti. Il rapporto </w:t>
      </w:r>
      <w:r w:rsidRPr="00117170">
        <w:rPr>
          <w:rFonts w:ascii="Arial" w:hAnsi="Arial" w:cs="Arial"/>
          <w:i/>
          <w:sz w:val="20"/>
          <w:szCs w:val="20"/>
        </w:rPr>
        <w:t>prezzi/imprese</w:t>
      </w:r>
      <w:r w:rsidRPr="00117170">
        <w:rPr>
          <w:rFonts w:ascii="Arial" w:hAnsi="Arial" w:cs="Arial"/>
          <w:sz w:val="20"/>
          <w:szCs w:val="20"/>
        </w:rPr>
        <w:t xml:space="preserve"> per l’indice generale diminuisce leggermente (da 3,1 a 3</w:t>
      </w:r>
      <w:r w:rsidR="00EA3EFE">
        <w:rPr>
          <w:rFonts w:ascii="Arial" w:hAnsi="Arial" w:cs="Arial"/>
          <w:sz w:val="20"/>
          <w:szCs w:val="20"/>
        </w:rPr>
        <w:t>,0</w:t>
      </w:r>
      <w:r w:rsidRPr="00117170">
        <w:rPr>
          <w:rFonts w:ascii="Arial" w:hAnsi="Arial" w:cs="Arial"/>
          <w:sz w:val="20"/>
          <w:szCs w:val="20"/>
        </w:rPr>
        <w:t xml:space="preserve"> quotazioni di prezzo per impresa), rimane costante per i Beni di consumo durevoli (3,1), per i Beni di consumo non durevoli (3,2) e per i Beni strumentali (3</w:t>
      </w:r>
      <w:r w:rsidR="008D3573">
        <w:rPr>
          <w:rFonts w:ascii="Arial" w:hAnsi="Arial" w:cs="Arial"/>
          <w:sz w:val="20"/>
          <w:szCs w:val="20"/>
        </w:rPr>
        <w:t>,0</w:t>
      </w:r>
      <w:r w:rsidRPr="00117170">
        <w:rPr>
          <w:rFonts w:ascii="Arial" w:hAnsi="Arial" w:cs="Arial"/>
          <w:sz w:val="20"/>
          <w:szCs w:val="20"/>
        </w:rPr>
        <w:t>); diminuisce per i Beni intermedi, passando da 3</w:t>
      </w:r>
      <w:r w:rsidR="008D3573">
        <w:rPr>
          <w:rFonts w:ascii="Arial" w:hAnsi="Arial" w:cs="Arial"/>
          <w:sz w:val="20"/>
          <w:szCs w:val="20"/>
        </w:rPr>
        <w:t>,0</w:t>
      </w:r>
      <w:r w:rsidRPr="00117170">
        <w:rPr>
          <w:rFonts w:ascii="Arial" w:hAnsi="Arial" w:cs="Arial"/>
          <w:sz w:val="20"/>
          <w:szCs w:val="20"/>
        </w:rPr>
        <w:t xml:space="preserve"> a 2,9 e aumenta significativamente per l’Energia passando da 3,8 a 4,1. Con riguardo al rapporto </w:t>
      </w:r>
      <w:r w:rsidRPr="00117170">
        <w:rPr>
          <w:rFonts w:ascii="Arial" w:hAnsi="Arial" w:cs="Arial"/>
          <w:i/>
          <w:sz w:val="20"/>
          <w:szCs w:val="20"/>
        </w:rPr>
        <w:t>imprese/prodotti</w:t>
      </w:r>
      <w:r w:rsidRPr="00117170">
        <w:rPr>
          <w:rFonts w:ascii="Arial" w:hAnsi="Arial" w:cs="Arial"/>
          <w:sz w:val="20"/>
          <w:szCs w:val="20"/>
        </w:rPr>
        <w:t xml:space="preserve">, si registra una diminuzione per </w:t>
      </w:r>
      <w:r w:rsidRPr="00117170">
        <w:rPr>
          <w:rFonts w:ascii="Arial" w:hAnsi="Arial" w:cs="Arial"/>
          <w:sz w:val="20"/>
          <w:szCs w:val="20"/>
        </w:rPr>
        <w:lastRenderedPageBreak/>
        <w:t>i Beni di consumo durevoli (da 3,6 a 3,5) e un aumento per i Beni di consumo non durevoli (da 3</w:t>
      </w:r>
      <w:r w:rsidR="008D3573">
        <w:rPr>
          <w:rFonts w:ascii="Arial" w:hAnsi="Arial" w:cs="Arial"/>
          <w:sz w:val="20"/>
          <w:szCs w:val="20"/>
        </w:rPr>
        <w:t>,0</w:t>
      </w:r>
      <w:r w:rsidRPr="00117170">
        <w:rPr>
          <w:rFonts w:ascii="Arial" w:hAnsi="Arial" w:cs="Arial"/>
          <w:sz w:val="20"/>
          <w:szCs w:val="20"/>
        </w:rPr>
        <w:t xml:space="preserve"> a 3,1) e per i beni strumental</w:t>
      </w:r>
      <w:r w:rsidR="00FC4D28">
        <w:rPr>
          <w:rFonts w:ascii="Arial" w:hAnsi="Arial" w:cs="Arial"/>
          <w:sz w:val="20"/>
          <w:szCs w:val="20"/>
        </w:rPr>
        <w:t>i (da 2,4 a 2</w:t>
      </w:r>
      <w:r w:rsidRPr="00117170">
        <w:rPr>
          <w:rFonts w:ascii="Arial" w:hAnsi="Arial" w:cs="Arial"/>
          <w:sz w:val="20"/>
          <w:szCs w:val="20"/>
        </w:rPr>
        <w:t>,5). Rimangono invariati i Be</w:t>
      </w:r>
      <w:r w:rsidR="00FC4D28">
        <w:rPr>
          <w:rFonts w:ascii="Arial" w:hAnsi="Arial" w:cs="Arial"/>
          <w:sz w:val="20"/>
          <w:szCs w:val="20"/>
        </w:rPr>
        <w:t>ni intermedi (3</w:t>
      </w:r>
      <w:r w:rsidR="008D3573">
        <w:rPr>
          <w:rFonts w:ascii="Arial" w:hAnsi="Arial" w:cs="Arial"/>
          <w:sz w:val="20"/>
          <w:szCs w:val="20"/>
        </w:rPr>
        <w:t>,0</w:t>
      </w:r>
      <w:r w:rsidR="00FC4D28">
        <w:rPr>
          <w:rFonts w:ascii="Arial" w:hAnsi="Arial" w:cs="Arial"/>
          <w:sz w:val="20"/>
          <w:szCs w:val="20"/>
        </w:rPr>
        <w:t>) e l’Energia (1,</w:t>
      </w:r>
      <w:r w:rsidRPr="00117170">
        <w:rPr>
          <w:rFonts w:ascii="Arial" w:hAnsi="Arial" w:cs="Arial"/>
          <w:sz w:val="20"/>
          <w:szCs w:val="20"/>
        </w:rPr>
        <w:t>4).</w:t>
      </w:r>
    </w:p>
    <w:p w:rsidR="00230ACD" w:rsidRPr="00230ACD" w:rsidRDefault="00230ACD" w:rsidP="00230ACD">
      <w:pPr>
        <w:spacing w:after="120"/>
        <w:ind w:left="1814"/>
        <w:jc w:val="both"/>
        <w:rPr>
          <w:rFonts w:ascii="Arial" w:hAnsi="Arial" w:cs="Arial"/>
          <w:noProof/>
          <w:sz w:val="20"/>
          <w:szCs w:val="20"/>
        </w:rPr>
      </w:pPr>
    </w:p>
    <w:p w:rsidR="00F27D52" w:rsidRPr="00DF3ABE" w:rsidRDefault="00180425" w:rsidP="00DF3ABE">
      <w:pPr>
        <w:pStyle w:val="Soggettocommento"/>
        <w:spacing w:after="120"/>
        <w:ind w:left="1843"/>
        <w:jc w:val="both"/>
        <w:rPr>
          <w:rFonts w:ascii="Arial Narrow" w:hAnsi="Arial Narrow" w:cs="Arial"/>
          <w:bCs w:val="0"/>
          <w:caps/>
          <w:color w:val="777777"/>
          <w:szCs w:val="16"/>
        </w:rPr>
      </w:pPr>
      <w:r>
        <w:rPr>
          <w:rFonts w:ascii="Arial Narrow" w:hAnsi="Arial Narrow" w:cs="Arial"/>
          <w:bCs w:val="0"/>
          <w:caps/>
          <w:color w:val="777777"/>
          <w:szCs w:val="16"/>
        </w:rPr>
        <w:t xml:space="preserve">Prospetto </w:t>
      </w:r>
      <w:r w:rsidR="00557CFD">
        <w:rPr>
          <w:rFonts w:ascii="Arial Narrow" w:hAnsi="Arial Narrow" w:cs="Arial"/>
          <w:bCs w:val="0"/>
          <w:caps/>
          <w:color w:val="777777"/>
          <w:szCs w:val="16"/>
        </w:rPr>
        <w:t>4</w:t>
      </w:r>
      <w:r w:rsidR="00F27D52">
        <w:rPr>
          <w:rFonts w:ascii="Arial Narrow" w:hAnsi="Arial Narrow" w:cs="Arial"/>
          <w:bCs w:val="0"/>
          <w:caps/>
          <w:color w:val="777777"/>
          <w:szCs w:val="16"/>
        </w:rPr>
        <w:t xml:space="preserve">. Prezzi alla produzione dei prodotti industriali, Mercato interno. Numerosità del campione dei prodotti, prezzi e imprese per Raggruppamenti principali di industrie. </w:t>
      </w:r>
      <w:r w:rsidR="00DF3ABE">
        <w:rPr>
          <w:rFonts w:ascii="Arial Narrow" w:hAnsi="Arial Narrow" w:cs="Arial"/>
          <w:b w:val="0"/>
          <w:bCs w:val="0"/>
          <w:color w:val="808080"/>
          <w:spacing w:val="-2"/>
          <w:sz w:val="19"/>
          <w:szCs w:val="19"/>
        </w:rPr>
        <w:t>C</w:t>
      </w:r>
      <w:r w:rsidR="00DF3ABE" w:rsidRPr="00DF3ABE">
        <w:rPr>
          <w:rFonts w:ascii="Arial Narrow" w:hAnsi="Arial Narrow" w:cs="Arial"/>
          <w:b w:val="0"/>
          <w:bCs w:val="0"/>
          <w:color w:val="808080"/>
          <w:spacing w:val="-2"/>
          <w:sz w:val="19"/>
          <w:szCs w:val="19"/>
        </w:rPr>
        <w:t>onfronto tra le basi di calcolo dicembre 2012 e dicembre 2013</w:t>
      </w:r>
      <w:r w:rsidR="00F27D52" w:rsidRPr="00DF3ABE">
        <w:rPr>
          <w:rFonts w:ascii="Arial Narrow" w:hAnsi="Arial Narrow" w:cs="Arial"/>
          <w:b w:val="0"/>
          <w:bCs w:val="0"/>
          <w:caps/>
          <w:color w:val="808080"/>
          <w:spacing w:val="-2"/>
          <w:sz w:val="19"/>
          <w:szCs w:val="19"/>
        </w:rPr>
        <w:t>.</w:t>
      </w:r>
    </w:p>
    <w:tbl>
      <w:tblPr>
        <w:tblW w:w="8832" w:type="dxa"/>
        <w:tblInd w:w="1908" w:type="dxa"/>
        <w:tblLayout w:type="fixed"/>
        <w:tblLook w:val="01E0" w:firstRow="1" w:lastRow="1" w:firstColumn="1" w:lastColumn="1" w:noHBand="0" w:noVBand="0"/>
      </w:tblPr>
      <w:tblGrid>
        <w:gridCol w:w="1388"/>
        <w:gridCol w:w="813"/>
        <w:gridCol w:w="841"/>
        <w:gridCol w:w="687"/>
        <w:gridCol w:w="813"/>
        <w:gridCol w:w="883"/>
        <w:gridCol w:w="855"/>
        <w:gridCol w:w="851"/>
        <w:gridCol w:w="850"/>
        <w:gridCol w:w="851"/>
      </w:tblGrid>
      <w:tr w:rsidR="00C849BA" w:rsidTr="00B613F6">
        <w:trPr>
          <w:cantSplit/>
          <w:trHeight w:val="278"/>
        </w:trPr>
        <w:tc>
          <w:tcPr>
            <w:tcW w:w="786" w:type="pct"/>
            <w:vMerge w:val="restart"/>
            <w:tcBorders>
              <w:top w:val="single" w:sz="4" w:space="0" w:color="333333"/>
              <w:bottom w:val="single" w:sz="4" w:space="0" w:color="333333"/>
            </w:tcBorders>
            <w:vAlign w:val="center"/>
          </w:tcPr>
          <w:p w:rsidR="00F27D52" w:rsidRDefault="00F27D52" w:rsidP="00F939D6">
            <w:pPr>
              <w:spacing w:before="40" w:after="20"/>
              <w:ind w:left="-57"/>
              <w:rPr>
                <w:rFonts w:ascii="Arial Narrow" w:hAnsi="Arial Narrow" w:cs="Arial"/>
                <w:b/>
                <w:sz w:val="18"/>
                <w:szCs w:val="16"/>
              </w:rPr>
            </w:pPr>
            <w:r>
              <w:rPr>
                <w:rFonts w:ascii="Arial Narrow" w:hAnsi="Arial Narrow" w:cs="Arial"/>
                <w:b/>
                <w:sz w:val="18"/>
                <w:szCs w:val="16"/>
              </w:rPr>
              <w:t xml:space="preserve">Raggruppamenti principali </w:t>
            </w:r>
            <w:r>
              <w:rPr>
                <w:rFonts w:ascii="Arial Narrow" w:hAnsi="Arial Narrow" w:cs="Arial"/>
                <w:b/>
                <w:sz w:val="18"/>
                <w:szCs w:val="16"/>
              </w:rPr>
              <w:br/>
              <w:t>di industrie</w:t>
            </w:r>
          </w:p>
        </w:tc>
        <w:tc>
          <w:tcPr>
            <w:tcW w:w="1325" w:type="pct"/>
            <w:gridSpan w:val="3"/>
            <w:tcBorders>
              <w:top w:val="single" w:sz="4" w:space="0" w:color="333333"/>
              <w:bottom w:val="single" w:sz="4" w:space="0" w:color="333333"/>
            </w:tcBorders>
            <w:shd w:val="clear" w:color="auto" w:fill="E6E6E6"/>
            <w:vAlign w:val="center"/>
          </w:tcPr>
          <w:p w:rsidR="00F27D52" w:rsidRDefault="00F27D52" w:rsidP="00E930BD">
            <w:pPr>
              <w:spacing w:before="40" w:after="20"/>
              <w:jc w:val="center"/>
              <w:rPr>
                <w:rFonts w:ascii="Arial Narrow" w:hAnsi="Arial Narrow" w:cs="Arial"/>
                <w:b/>
                <w:sz w:val="18"/>
                <w:szCs w:val="16"/>
              </w:rPr>
            </w:pPr>
            <w:r>
              <w:rPr>
                <w:rFonts w:ascii="Arial Narrow" w:hAnsi="Arial Narrow" w:cs="Arial"/>
                <w:b/>
                <w:sz w:val="18"/>
                <w:szCs w:val="16"/>
              </w:rPr>
              <w:t>Base 201</w:t>
            </w:r>
            <w:r w:rsidR="00E930BD">
              <w:rPr>
                <w:rFonts w:ascii="Arial Narrow" w:hAnsi="Arial Narrow" w:cs="Arial"/>
                <w:b/>
                <w:sz w:val="18"/>
                <w:szCs w:val="16"/>
              </w:rPr>
              <w:t>2</w:t>
            </w:r>
          </w:p>
        </w:tc>
        <w:tc>
          <w:tcPr>
            <w:tcW w:w="1444" w:type="pct"/>
            <w:gridSpan w:val="3"/>
            <w:tcBorders>
              <w:top w:val="single" w:sz="4" w:space="0" w:color="333333"/>
              <w:bottom w:val="single" w:sz="4" w:space="0" w:color="333333"/>
            </w:tcBorders>
            <w:vAlign w:val="center"/>
          </w:tcPr>
          <w:p w:rsidR="00F27D52" w:rsidRDefault="00F27D52" w:rsidP="00E930BD">
            <w:pPr>
              <w:spacing w:before="40" w:after="20"/>
              <w:jc w:val="center"/>
              <w:rPr>
                <w:rFonts w:ascii="Arial Narrow" w:hAnsi="Arial Narrow" w:cs="Arial"/>
                <w:b/>
                <w:sz w:val="18"/>
                <w:szCs w:val="16"/>
              </w:rPr>
            </w:pPr>
            <w:r>
              <w:rPr>
                <w:rFonts w:ascii="Arial Narrow" w:hAnsi="Arial Narrow" w:cs="Arial"/>
                <w:b/>
                <w:sz w:val="18"/>
                <w:szCs w:val="16"/>
              </w:rPr>
              <w:t>Base 201</w:t>
            </w:r>
            <w:r w:rsidR="00E930BD">
              <w:rPr>
                <w:rFonts w:ascii="Arial Narrow" w:hAnsi="Arial Narrow" w:cs="Arial"/>
                <w:b/>
                <w:sz w:val="18"/>
                <w:szCs w:val="16"/>
              </w:rPr>
              <w:t>3</w:t>
            </w:r>
          </w:p>
        </w:tc>
        <w:tc>
          <w:tcPr>
            <w:tcW w:w="1445" w:type="pct"/>
            <w:gridSpan w:val="3"/>
            <w:tcBorders>
              <w:top w:val="single" w:sz="4" w:space="0" w:color="333333"/>
              <w:bottom w:val="single" w:sz="4" w:space="0" w:color="333333"/>
            </w:tcBorders>
            <w:shd w:val="clear" w:color="auto" w:fill="E6E6E6"/>
            <w:vAlign w:val="center"/>
          </w:tcPr>
          <w:p w:rsidR="00F27D52" w:rsidRDefault="00F27D52" w:rsidP="00F939D6">
            <w:pPr>
              <w:spacing w:before="40" w:after="20"/>
              <w:jc w:val="center"/>
              <w:rPr>
                <w:rFonts w:ascii="Arial Narrow" w:hAnsi="Arial Narrow" w:cs="Arial"/>
                <w:b/>
                <w:sz w:val="18"/>
                <w:szCs w:val="16"/>
              </w:rPr>
            </w:pPr>
            <w:r>
              <w:rPr>
                <w:rFonts w:ascii="Arial Narrow" w:hAnsi="Arial Narrow" w:cs="Arial"/>
                <w:b/>
                <w:sz w:val="18"/>
                <w:szCs w:val="16"/>
              </w:rPr>
              <w:t>Variazioni percentuali</w:t>
            </w:r>
          </w:p>
        </w:tc>
      </w:tr>
      <w:tr w:rsidR="00B613F6" w:rsidTr="00B613F6">
        <w:trPr>
          <w:cantSplit/>
          <w:trHeight w:val="343"/>
        </w:trPr>
        <w:tc>
          <w:tcPr>
            <w:tcW w:w="786" w:type="pct"/>
            <w:vMerge/>
            <w:tcBorders>
              <w:top w:val="single" w:sz="4" w:space="0" w:color="333333"/>
              <w:bottom w:val="single" w:sz="4" w:space="0" w:color="333333"/>
            </w:tcBorders>
            <w:vAlign w:val="center"/>
          </w:tcPr>
          <w:p w:rsidR="00F27D52" w:rsidRDefault="00F27D52" w:rsidP="00F939D6">
            <w:pPr>
              <w:spacing w:before="40" w:after="20"/>
              <w:ind w:left="-57"/>
              <w:rPr>
                <w:rFonts w:ascii="Arial Narrow" w:hAnsi="Arial Narrow" w:cs="Arial"/>
                <w:sz w:val="18"/>
                <w:szCs w:val="16"/>
              </w:rPr>
            </w:pPr>
          </w:p>
        </w:tc>
        <w:tc>
          <w:tcPr>
            <w:tcW w:w="460" w:type="pct"/>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Prodotti</w:t>
            </w:r>
          </w:p>
        </w:tc>
        <w:tc>
          <w:tcPr>
            <w:tcW w:w="476" w:type="pct"/>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Imprese</w:t>
            </w:r>
          </w:p>
        </w:tc>
        <w:tc>
          <w:tcPr>
            <w:tcW w:w="389" w:type="pct"/>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Prezzi</w:t>
            </w:r>
          </w:p>
        </w:tc>
        <w:tc>
          <w:tcPr>
            <w:tcW w:w="460" w:type="pct"/>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Prodotti</w:t>
            </w:r>
          </w:p>
        </w:tc>
        <w:tc>
          <w:tcPr>
            <w:tcW w:w="500" w:type="pct"/>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Imprese</w:t>
            </w:r>
          </w:p>
        </w:tc>
        <w:tc>
          <w:tcPr>
            <w:tcW w:w="484" w:type="pct"/>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Prezzi</w:t>
            </w:r>
          </w:p>
        </w:tc>
        <w:tc>
          <w:tcPr>
            <w:tcW w:w="482" w:type="pct"/>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Prodotti</w:t>
            </w:r>
          </w:p>
        </w:tc>
        <w:tc>
          <w:tcPr>
            <w:tcW w:w="481" w:type="pct"/>
            <w:tcBorders>
              <w:top w:val="single" w:sz="4" w:space="0" w:color="333333"/>
              <w:bottom w:val="single" w:sz="4" w:space="0" w:color="333333"/>
            </w:tcBorders>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Imprese</w:t>
            </w:r>
          </w:p>
        </w:tc>
        <w:tc>
          <w:tcPr>
            <w:tcW w:w="482" w:type="pct"/>
            <w:tcBorders>
              <w:top w:val="single" w:sz="4" w:space="0" w:color="333333"/>
              <w:bottom w:val="single" w:sz="4" w:space="0" w:color="333333"/>
            </w:tcBorders>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Prezzi</w:t>
            </w:r>
          </w:p>
        </w:tc>
      </w:tr>
      <w:tr w:rsidR="00EB5C05" w:rsidTr="00B613F6">
        <w:tc>
          <w:tcPr>
            <w:tcW w:w="786" w:type="pct"/>
            <w:tcBorders>
              <w:top w:val="single" w:sz="4" w:space="0" w:color="333333"/>
              <w:bottom w:val="single" w:sz="4" w:space="0" w:color="333333"/>
            </w:tcBorders>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Beni di consumo</w:t>
            </w:r>
          </w:p>
        </w:tc>
        <w:tc>
          <w:tcPr>
            <w:tcW w:w="46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369</w:t>
            </w:r>
          </w:p>
        </w:tc>
        <w:tc>
          <w:tcPr>
            <w:tcW w:w="476"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1.160</w:t>
            </w:r>
          </w:p>
        </w:tc>
        <w:tc>
          <w:tcPr>
            <w:tcW w:w="389"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3.683</w:t>
            </w:r>
          </w:p>
        </w:tc>
        <w:tc>
          <w:tcPr>
            <w:tcW w:w="460"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367</w:t>
            </w:r>
          </w:p>
        </w:tc>
        <w:tc>
          <w:tcPr>
            <w:tcW w:w="50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1.171</w:t>
            </w:r>
          </w:p>
        </w:tc>
        <w:tc>
          <w:tcPr>
            <w:tcW w:w="484"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3.728</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-0</w:t>
            </w:r>
            <w:r w:rsidR="001643E0">
              <w:rPr>
                <w:rFonts w:ascii="Arial Narrow" w:hAnsi="Arial Narrow" w:cs="Calibri"/>
                <w:color w:val="000000"/>
                <w:sz w:val="18"/>
                <w:szCs w:val="18"/>
              </w:rPr>
              <w:t>,</w:t>
            </w:r>
            <w:r>
              <w:rPr>
                <w:rFonts w:ascii="Arial Narrow" w:hAnsi="Arial Narrow" w:cs="Calibri"/>
                <w:color w:val="000000"/>
                <w:sz w:val="18"/>
                <w:szCs w:val="18"/>
              </w:rPr>
              <w:t>5</w:t>
            </w:r>
          </w:p>
        </w:tc>
        <w:tc>
          <w:tcPr>
            <w:tcW w:w="481" w:type="pct"/>
            <w:tcBorders>
              <w:top w:val="single" w:sz="4" w:space="0" w:color="333333"/>
              <w:bottom w:val="single" w:sz="4" w:space="0" w:color="333333"/>
            </w:tcBorders>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+0</w:t>
            </w:r>
            <w:r w:rsidR="001643E0">
              <w:rPr>
                <w:rFonts w:ascii="Arial Narrow" w:hAnsi="Arial Narrow" w:cs="Calibri"/>
                <w:color w:val="000000"/>
                <w:sz w:val="18"/>
                <w:szCs w:val="18"/>
              </w:rPr>
              <w:t>,</w:t>
            </w:r>
            <w:r>
              <w:rPr>
                <w:rFonts w:ascii="Arial Narrow" w:hAnsi="Arial Narrow" w:cs="Calibri"/>
                <w:color w:val="000000"/>
                <w:sz w:val="18"/>
                <w:szCs w:val="18"/>
              </w:rPr>
              <w:t>9</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+1</w:t>
            </w:r>
            <w:r w:rsidR="001643E0">
              <w:rPr>
                <w:rFonts w:ascii="Arial Narrow" w:hAnsi="Arial Narrow" w:cs="Calibri"/>
                <w:color w:val="000000"/>
                <w:sz w:val="18"/>
                <w:szCs w:val="18"/>
              </w:rPr>
              <w:t>,</w:t>
            </w:r>
            <w:r>
              <w:rPr>
                <w:rFonts w:ascii="Arial Narrow" w:hAnsi="Arial Narrow" w:cs="Calibri"/>
                <w:color w:val="000000"/>
                <w:sz w:val="18"/>
                <w:szCs w:val="18"/>
              </w:rPr>
              <w:t>2</w:t>
            </w:r>
          </w:p>
        </w:tc>
      </w:tr>
      <w:tr w:rsidR="00EB5C05" w:rsidTr="00B613F6">
        <w:tc>
          <w:tcPr>
            <w:tcW w:w="786" w:type="pct"/>
            <w:tcBorders>
              <w:top w:val="single" w:sz="4" w:space="0" w:color="333333"/>
              <w:bottom w:val="single" w:sz="4" w:space="0" w:color="333333"/>
            </w:tcBorders>
            <w:vAlign w:val="center"/>
          </w:tcPr>
          <w:p w:rsidR="00EB5C05" w:rsidRPr="0049282A" w:rsidRDefault="00EB5C05" w:rsidP="00F939D6">
            <w:pPr>
              <w:spacing w:before="40" w:after="20"/>
              <w:rPr>
                <w:rFonts w:ascii="Arial Narrow" w:hAnsi="Arial Narrow" w:cs="Arial"/>
                <w:i/>
                <w:sz w:val="18"/>
                <w:szCs w:val="16"/>
              </w:rPr>
            </w:pPr>
            <w:r w:rsidRPr="0049282A">
              <w:rPr>
                <w:rFonts w:ascii="Arial Narrow" w:hAnsi="Arial Narrow" w:cs="Arial"/>
                <w:i/>
                <w:sz w:val="18"/>
                <w:szCs w:val="16"/>
              </w:rPr>
              <w:t xml:space="preserve">  durevoli</w:t>
            </w:r>
          </w:p>
        </w:tc>
        <w:tc>
          <w:tcPr>
            <w:tcW w:w="460" w:type="pct"/>
            <w:tcBorders>
              <w:top w:val="single" w:sz="4" w:space="0" w:color="333333"/>
              <w:bottom w:val="single" w:sz="4" w:space="0" w:color="333333"/>
            </w:tcBorders>
            <w:shd w:val="clear" w:color="auto" w:fill="E6E6E6"/>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63</w:t>
            </w:r>
          </w:p>
        </w:tc>
        <w:tc>
          <w:tcPr>
            <w:tcW w:w="476" w:type="pct"/>
            <w:tcBorders>
              <w:top w:val="single" w:sz="4" w:space="0" w:color="333333"/>
              <w:bottom w:val="single" w:sz="4" w:space="0" w:color="333333"/>
            </w:tcBorders>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229</w:t>
            </w:r>
          </w:p>
        </w:tc>
        <w:tc>
          <w:tcPr>
            <w:tcW w:w="389" w:type="pct"/>
            <w:tcBorders>
              <w:top w:val="single" w:sz="4" w:space="0" w:color="333333"/>
              <w:bottom w:val="single" w:sz="4" w:space="0" w:color="333333"/>
            </w:tcBorders>
            <w:shd w:val="clear" w:color="auto" w:fill="E6E6E6"/>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704</w:t>
            </w:r>
          </w:p>
        </w:tc>
        <w:tc>
          <w:tcPr>
            <w:tcW w:w="460" w:type="pct"/>
            <w:tcBorders>
              <w:top w:val="single" w:sz="4" w:space="0" w:color="333333"/>
              <w:bottom w:val="single" w:sz="4" w:space="0" w:color="333333"/>
            </w:tcBorders>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61</w:t>
            </w:r>
          </w:p>
        </w:tc>
        <w:tc>
          <w:tcPr>
            <w:tcW w:w="500" w:type="pct"/>
            <w:tcBorders>
              <w:top w:val="single" w:sz="4" w:space="0" w:color="333333"/>
              <w:bottom w:val="single" w:sz="4" w:space="0" w:color="333333"/>
            </w:tcBorders>
            <w:shd w:val="clear" w:color="auto" w:fill="E6E6E6"/>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215</w:t>
            </w:r>
          </w:p>
        </w:tc>
        <w:tc>
          <w:tcPr>
            <w:tcW w:w="484" w:type="pct"/>
            <w:tcBorders>
              <w:top w:val="single" w:sz="4" w:space="0" w:color="333333"/>
              <w:bottom w:val="single" w:sz="4" w:space="0" w:color="333333"/>
            </w:tcBorders>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661</w:t>
            </w:r>
          </w:p>
        </w:tc>
        <w:tc>
          <w:tcPr>
            <w:tcW w:w="482" w:type="pct"/>
            <w:tcBorders>
              <w:top w:val="single" w:sz="4" w:space="0" w:color="333333"/>
              <w:bottom w:val="single" w:sz="4" w:space="0" w:color="333333"/>
            </w:tcBorders>
            <w:shd w:val="clear" w:color="auto" w:fill="E6E6E6"/>
            <w:vAlign w:val="center"/>
          </w:tcPr>
          <w:p w:rsidR="00EB5C05" w:rsidRPr="004F6544" w:rsidRDefault="00EB5C05" w:rsidP="001F78E3">
            <w:pPr>
              <w:jc w:val="right"/>
              <w:rPr>
                <w:rFonts w:ascii="Arial Narrow" w:hAnsi="Arial Narrow" w:cs="Calibri"/>
                <w:i/>
                <w:color w:val="000000"/>
                <w:sz w:val="18"/>
                <w:szCs w:val="18"/>
              </w:rPr>
            </w:pPr>
            <w:r w:rsidRPr="004F6544">
              <w:rPr>
                <w:rFonts w:ascii="Arial Narrow" w:hAnsi="Arial Narrow" w:cs="Calibri"/>
                <w:i/>
                <w:color w:val="000000"/>
                <w:sz w:val="18"/>
                <w:szCs w:val="18"/>
              </w:rPr>
              <w:t>-3</w:t>
            </w:r>
            <w:r w:rsidR="001643E0">
              <w:rPr>
                <w:rFonts w:ascii="Arial Narrow" w:hAnsi="Arial Narrow" w:cs="Calibri"/>
                <w:i/>
                <w:color w:val="000000"/>
                <w:sz w:val="18"/>
                <w:szCs w:val="18"/>
              </w:rPr>
              <w:t>,</w:t>
            </w:r>
            <w:r w:rsidRPr="004F6544">
              <w:rPr>
                <w:rFonts w:ascii="Arial Narrow" w:hAnsi="Arial Narrow" w:cs="Calibri"/>
                <w:i/>
                <w:color w:val="000000"/>
                <w:sz w:val="18"/>
                <w:szCs w:val="18"/>
              </w:rPr>
              <w:t>2</w:t>
            </w:r>
          </w:p>
        </w:tc>
        <w:tc>
          <w:tcPr>
            <w:tcW w:w="481" w:type="pct"/>
            <w:tcBorders>
              <w:top w:val="single" w:sz="4" w:space="0" w:color="333333"/>
              <w:bottom w:val="single" w:sz="4" w:space="0" w:color="333333"/>
            </w:tcBorders>
            <w:vAlign w:val="center"/>
          </w:tcPr>
          <w:p w:rsidR="00EB5C05" w:rsidRPr="004F6544" w:rsidRDefault="00EB5C05" w:rsidP="001F78E3">
            <w:pPr>
              <w:jc w:val="right"/>
              <w:rPr>
                <w:rFonts w:ascii="Arial Narrow" w:hAnsi="Arial Narrow" w:cs="Calibri"/>
                <w:i/>
                <w:color w:val="000000"/>
                <w:sz w:val="18"/>
                <w:szCs w:val="18"/>
              </w:rPr>
            </w:pPr>
            <w:r w:rsidRPr="004F6544">
              <w:rPr>
                <w:rFonts w:ascii="Arial Narrow" w:hAnsi="Arial Narrow" w:cs="Calibri"/>
                <w:i/>
                <w:color w:val="000000"/>
                <w:sz w:val="18"/>
                <w:szCs w:val="18"/>
              </w:rPr>
              <w:t>-6</w:t>
            </w:r>
            <w:r w:rsidR="001643E0">
              <w:rPr>
                <w:rFonts w:ascii="Arial Narrow" w:hAnsi="Arial Narrow" w:cs="Calibri"/>
                <w:i/>
                <w:color w:val="000000"/>
                <w:sz w:val="18"/>
                <w:szCs w:val="18"/>
              </w:rPr>
              <w:t>,</w:t>
            </w:r>
            <w:r w:rsidRPr="004F6544">
              <w:rPr>
                <w:rFonts w:ascii="Arial Narrow" w:hAnsi="Arial Narrow" w:cs="Calibri"/>
                <w:i/>
                <w:color w:val="000000"/>
                <w:sz w:val="18"/>
                <w:szCs w:val="18"/>
              </w:rPr>
              <w:t>1</w:t>
            </w:r>
          </w:p>
        </w:tc>
        <w:tc>
          <w:tcPr>
            <w:tcW w:w="482" w:type="pct"/>
            <w:tcBorders>
              <w:top w:val="single" w:sz="4" w:space="0" w:color="333333"/>
              <w:bottom w:val="single" w:sz="4" w:space="0" w:color="333333"/>
            </w:tcBorders>
            <w:shd w:val="clear" w:color="auto" w:fill="E6E6E6"/>
            <w:vAlign w:val="center"/>
          </w:tcPr>
          <w:p w:rsidR="00EB5C05" w:rsidRPr="004F6544" w:rsidRDefault="00EB5C05" w:rsidP="001F78E3">
            <w:pPr>
              <w:jc w:val="right"/>
              <w:rPr>
                <w:rFonts w:ascii="Arial Narrow" w:hAnsi="Arial Narrow" w:cs="Calibri"/>
                <w:i/>
                <w:color w:val="000000"/>
                <w:sz w:val="18"/>
                <w:szCs w:val="18"/>
              </w:rPr>
            </w:pPr>
            <w:r w:rsidRPr="004F6544">
              <w:rPr>
                <w:rFonts w:ascii="Arial Narrow" w:hAnsi="Arial Narrow" w:cs="Calibri"/>
                <w:i/>
                <w:color w:val="000000"/>
                <w:sz w:val="18"/>
                <w:szCs w:val="18"/>
              </w:rPr>
              <w:t>-6</w:t>
            </w:r>
            <w:r w:rsidR="001643E0">
              <w:rPr>
                <w:rFonts w:ascii="Arial Narrow" w:hAnsi="Arial Narrow" w:cs="Calibri"/>
                <w:i/>
                <w:color w:val="000000"/>
                <w:sz w:val="18"/>
                <w:szCs w:val="18"/>
              </w:rPr>
              <w:t>,</w:t>
            </w:r>
            <w:r w:rsidRPr="004F6544">
              <w:rPr>
                <w:rFonts w:ascii="Arial Narrow" w:hAnsi="Arial Narrow" w:cs="Calibri"/>
                <w:i/>
                <w:color w:val="000000"/>
                <w:sz w:val="18"/>
                <w:szCs w:val="18"/>
              </w:rPr>
              <w:t>1</w:t>
            </w:r>
          </w:p>
        </w:tc>
      </w:tr>
      <w:tr w:rsidR="00EB5C05" w:rsidTr="00B613F6">
        <w:tc>
          <w:tcPr>
            <w:tcW w:w="786" w:type="pct"/>
            <w:tcBorders>
              <w:top w:val="single" w:sz="4" w:space="0" w:color="333333"/>
              <w:bottom w:val="single" w:sz="4" w:space="0" w:color="333333"/>
            </w:tcBorders>
            <w:vAlign w:val="center"/>
          </w:tcPr>
          <w:p w:rsidR="00EB5C05" w:rsidRPr="0049282A" w:rsidRDefault="00EB5C05" w:rsidP="00F939D6">
            <w:pPr>
              <w:spacing w:before="40" w:after="20"/>
              <w:rPr>
                <w:rFonts w:ascii="Arial Narrow" w:hAnsi="Arial Narrow" w:cs="Arial"/>
                <w:i/>
                <w:sz w:val="18"/>
                <w:szCs w:val="16"/>
              </w:rPr>
            </w:pPr>
            <w:r w:rsidRPr="0049282A">
              <w:rPr>
                <w:rFonts w:ascii="Arial Narrow" w:hAnsi="Arial Narrow" w:cs="Arial"/>
                <w:i/>
                <w:sz w:val="18"/>
                <w:szCs w:val="16"/>
              </w:rPr>
              <w:t xml:space="preserve">  non durevoli</w:t>
            </w:r>
          </w:p>
        </w:tc>
        <w:tc>
          <w:tcPr>
            <w:tcW w:w="460" w:type="pct"/>
            <w:tcBorders>
              <w:top w:val="single" w:sz="4" w:space="0" w:color="333333"/>
              <w:bottom w:val="single" w:sz="4" w:space="0" w:color="333333"/>
            </w:tcBorders>
            <w:shd w:val="clear" w:color="auto" w:fill="E6E6E6"/>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306</w:t>
            </w:r>
          </w:p>
        </w:tc>
        <w:tc>
          <w:tcPr>
            <w:tcW w:w="476" w:type="pct"/>
            <w:tcBorders>
              <w:top w:val="single" w:sz="4" w:space="0" w:color="333333"/>
              <w:bottom w:val="single" w:sz="4" w:space="0" w:color="333333"/>
            </w:tcBorders>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931</w:t>
            </w:r>
          </w:p>
        </w:tc>
        <w:tc>
          <w:tcPr>
            <w:tcW w:w="389" w:type="pct"/>
            <w:tcBorders>
              <w:top w:val="single" w:sz="4" w:space="0" w:color="333333"/>
              <w:bottom w:val="single" w:sz="4" w:space="0" w:color="333333"/>
            </w:tcBorders>
            <w:shd w:val="clear" w:color="auto" w:fill="E6E6E6"/>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2.979</w:t>
            </w:r>
          </w:p>
        </w:tc>
        <w:tc>
          <w:tcPr>
            <w:tcW w:w="460" w:type="pct"/>
            <w:tcBorders>
              <w:top w:val="single" w:sz="4" w:space="0" w:color="333333"/>
              <w:bottom w:val="single" w:sz="4" w:space="0" w:color="333333"/>
            </w:tcBorders>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306</w:t>
            </w:r>
          </w:p>
        </w:tc>
        <w:tc>
          <w:tcPr>
            <w:tcW w:w="500" w:type="pct"/>
            <w:tcBorders>
              <w:top w:val="single" w:sz="4" w:space="0" w:color="333333"/>
              <w:bottom w:val="single" w:sz="4" w:space="0" w:color="333333"/>
            </w:tcBorders>
            <w:shd w:val="clear" w:color="auto" w:fill="E6E6E6"/>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956</w:t>
            </w:r>
          </w:p>
        </w:tc>
        <w:tc>
          <w:tcPr>
            <w:tcW w:w="484" w:type="pct"/>
            <w:tcBorders>
              <w:top w:val="single" w:sz="4" w:space="0" w:color="333333"/>
              <w:bottom w:val="single" w:sz="4" w:space="0" w:color="333333"/>
            </w:tcBorders>
            <w:vAlign w:val="center"/>
          </w:tcPr>
          <w:p w:rsidR="00EB5C05" w:rsidRPr="004F6544" w:rsidRDefault="00EB5C05" w:rsidP="001F78E3">
            <w:pPr>
              <w:spacing w:before="40" w:after="20"/>
              <w:jc w:val="right"/>
              <w:rPr>
                <w:rFonts w:ascii="Arial Narrow" w:hAnsi="Arial Narrow" w:cs="Arial"/>
                <w:i/>
                <w:sz w:val="18"/>
                <w:szCs w:val="16"/>
              </w:rPr>
            </w:pPr>
            <w:r w:rsidRPr="004F6544">
              <w:rPr>
                <w:rFonts w:ascii="Arial Narrow" w:hAnsi="Arial Narrow" w:cs="Arial"/>
                <w:i/>
                <w:sz w:val="18"/>
                <w:szCs w:val="16"/>
              </w:rPr>
              <w:t>3.067</w:t>
            </w:r>
          </w:p>
        </w:tc>
        <w:tc>
          <w:tcPr>
            <w:tcW w:w="482" w:type="pct"/>
            <w:tcBorders>
              <w:top w:val="single" w:sz="4" w:space="0" w:color="333333"/>
              <w:bottom w:val="single" w:sz="4" w:space="0" w:color="333333"/>
            </w:tcBorders>
            <w:shd w:val="clear" w:color="auto" w:fill="E6E6E6"/>
            <w:vAlign w:val="center"/>
          </w:tcPr>
          <w:p w:rsidR="00EB5C05" w:rsidRPr="004F6544" w:rsidRDefault="00EB5C05" w:rsidP="001F78E3">
            <w:pPr>
              <w:jc w:val="right"/>
              <w:rPr>
                <w:rFonts w:ascii="Arial Narrow" w:hAnsi="Arial Narrow" w:cs="Calibri"/>
                <w:i/>
                <w:color w:val="000000"/>
                <w:sz w:val="18"/>
                <w:szCs w:val="18"/>
              </w:rPr>
            </w:pPr>
            <w:r w:rsidRPr="004F6544">
              <w:rPr>
                <w:rFonts w:ascii="Arial Narrow" w:hAnsi="Arial Narrow" w:cs="Calibri"/>
                <w:i/>
                <w:color w:val="000000"/>
                <w:sz w:val="18"/>
                <w:szCs w:val="18"/>
              </w:rPr>
              <w:t>0</w:t>
            </w:r>
            <w:r w:rsidR="001643E0">
              <w:rPr>
                <w:rFonts w:ascii="Arial Narrow" w:hAnsi="Arial Narrow" w:cs="Calibri"/>
                <w:i/>
                <w:color w:val="000000"/>
                <w:sz w:val="18"/>
                <w:szCs w:val="18"/>
              </w:rPr>
              <w:t>,</w:t>
            </w:r>
            <w:r w:rsidRPr="004F6544">
              <w:rPr>
                <w:rFonts w:ascii="Arial Narrow" w:hAnsi="Arial Narrow" w:cs="Calibri"/>
                <w:i/>
                <w:color w:val="000000"/>
                <w:sz w:val="18"/>
                <w:szCs w:val="18"/>
              </w:rPr>
              <w:t>0</w:t>
            </w:r>
          </w:p>
        </w:tc>
        <w:tc>
          <w:tcPr>
            <w:tcW w:w="481" w:type="pct"/>
            <w:tcBorders>
              <w:top w:val="single" w:sz="4" w:space="0" w:color="333333"/>
              <w:bottom w:val="single" w:sz="4" w:space="0" w:color="333333"/>
            </w:tcBorders>
            <w:vAlign w:val="center"/>
          </w:tcPr>
          <w:p w:rsidR="00EB5C05" w:rsidRPr="004F6544" w:rsidRDefault="00EB5C05" w:rsidP="001F78E3">
            <w:pPr>
              <w:jc w:val="right"/>
              <w:rPr>
                <w:rFonts w:ascii="Arial Narrow" w:hAnsi="Arial Narrow" w:cs="Calibri"/>
                <w:i/>
                <w:color w:val="000000"/>
                <w:sz w:val="18"/>
                <w:szCs w:val="18"/>
              </w:rPr>
            </w:pPr>
            <w:r w:rsidRPr="004F6544">
              <w:rPr>
                <w:rFonts w:ascii="Arial Narrow" w:hAnsi="Arial Narrow" w:cs="Calibri"/>
                <w:i/>
                <w:color w:val="000000"/>
                <w:sz w:val="18"/>
                <w:szCs w:val="18"/>
              </w:rPr>
              <w:t>+2</w:t>
            </w:r>
            <w:r w:rsidR="001643E0">
              <w:rPr>
                <w:rFonts w:ascii="Arial Narrow" w:hAnsi="Arial Narrow" w:cs="Calibri"/>
                <w:i/>
                <w:color w:val="000000"/>
                <w:sz w:val="18"/>
                <w:szCs w:val="18"/>
              </w:rPr>
              <w:t>,</w:t>
            </w:r>
            <w:r w:rsidRPr="004F6544">
              <w:rPr>
                <w:rFonts w:ascii="Arial Narrow" w:hAnsi="Arial Narrow" w:cs="Calibri"/>
                <w:i/>
                <w:color w:val="000000"/>
                <w:sz w:val="18"/>
                <w:szCs w:val="18"/>
              </w:rPr>
              <w:t>7</w:t>
            </w:r>
          </w:p>
        </w:tc>
        <w:tc>
          <w:tcPr>
            <w:tcW w:w="482" w:type="pct"/>
            <w:tcBorders>
              <w:top w:val="single" w:sz="4" w:space="0" w:color="333333"/>
              <w:bottom w:val="single" w:sz="4" w:space="0" w:color="333333"/>
            </w:tcBorders>
            <w:shd w:val="clear" w:color="auto" w:fill="E6E6E6"/>
            <w:vAlign w:val="center"/>
          </w:tcPr>
          <w:p w:rsidR="00EB5C05" w:rsidRPr="004F6544" w:rsidRDefault="00EB5C05" w:rsidP="001F78E3">
            <w:pPr>
              <w:jc w:val="right"/>
              <w:rPr>
                <w:rFonts w:ascii="Arial Narrow" w:hAnsi="Arial Narrow" w:cs="Calibri"/>
                <w:i/>
                <w:color w:val="000000"/>
                <w:sz w:val="18"/>
                <w:szCs w:val="18"/>
              </w:rPr>
            </w:pPr>
            <w:r w:rsidRPr="004F6544">
              <w:rPr>
                <w:rFonts w:ascii="Arial Narrow" w:hAnsi="Arial Narrow" w:cs="Calibri"/>
                <w:i/>
                <w:color w:val="000000"/>
                <w:sz w:val="18"/>
                <w:szCs w:val="18"/>
              </w:rPr>
              <w:t>+3</w:t>
            </w:r>
            <w:r w:rsidR="001643E0">
              <w:rPr>
                <w:rFonts w:ascii="Arial Narrow" w:hAnsi="Arial Narrow" w:cs="Calibri"/>
                <w:i/>
                <w:color w:val="000000"/>
                <w:sz w:val="18"/>
                <w:szCs w:val="18"/>
              </w:rPr>
              <w:t>,</w:t>
            </w:r>
            <w:r w:rsidRPr="004F6544">
              <w:rPr>
                <w:rFonts w:ascii="Arial Narrow" w:hAnsi="Arial Narrow" w:cs="Calibri"/>
                <w:i/>
                <w:color w:val="000000"/>
                <w:sz w:val="18"/>
                <w:szCs w:val="18"/>
              </w:rPr>
              <w:t>0</w:t>
            </w:r>
          </w:p>
        </w:tc>
      </w:tr>
      <w:tr w:rsidR="00EB5C05" w:rsidTr="00B613F6">
        <w:tc>
          <w:tcPr>
            <w:tcW w:w="786" w:type="pct"/>
            <w:tcBorders>
              <w:top w:val="single" w:sz="4" w:space="0" w:color="333333"/>
              <w:bottom w:val="single" w:sz="4" w:space="0" w:color="333333"/>
            </w:tcBorders>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Beni strumentali</w:t>
            </w:r>
          </w:p>
        </w:tc>
        <w:tc>
          <w:tcPr>
            <w:tcW w:w="46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297</w:t>
            </w:r>
          </w:p>
        </w:tc>
        <w:tc>
          <w:tcPr>
            <w:tcW w:w="476"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724</w:t>
            </w:r>
          </w:p>
        </w:tc>
        <w:tc>
          <w:tcPr>
            <w:tcW w:w="389"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2.185</w:t>
            </w:r>
          </w:p>
        </w:tc>
        <w:tc>
          <w:tcPr>
            <w:tcW w:w="460"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273</w:t>
            </w:r>
          </w:p>
        </w:tc>
        <w:tc>
          <w:tcPr>
            <w:tcW w:w="50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678</w:t>
            </w:r>
          </w:p>
        </w:tc>
        <w:tc>
          <w:tcPr>
            <w:tcW w:w="484"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2.031</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-8</w:t>
            </w:r>
            <w:r w:rsidR="001643E0">
              <w:rPr>
                <w:rFonts w:ascii="Arial Narrow" w:hAnsi="Arial Narrow" w:cs="Calibri"/>
                <w:color w:val="000000"/>
                <w:sz w:val="18"/>
                <w:szCs w:val="18"/>
              </w:rPr>
              <w:t>,</w:t>
            </w:r>
            <w:r>
              <w:rPr>
                <w:rFonts w:ascii="Arial Narrow" w:hAnsi="Arial Narrow" w:cs="Calibri"/>
                <w:color w:val="000000"/>
                <w:sz w:val="18"/>
                <w:szCs w:val="18"/>
              </w:rPr>
              <w:t>1</w:t>
            </w:r>
          </w:p>
        </w:tc>
        <w:tc>
          <w:tcPr>
            <w:tcW w:w="481" w:type="pct"/>
            <w:tcBorders>
              <w:top w:val="single" w:sz="4" w:space="0" w:color="333333"/>
              <w:bottom w:val="single" w:sz="4" w:space="0" w:color="333333"/>
            </w:tcBorders>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-6</w:t>
            </w:r>
            <w:r w:rsidR="001643E0">
              <w:rPr>
                <w:rFonts w:ascii="Arial Narrow" w:hAnsi="Arial Narrow" w:cs="Calibri"/>
                <w:color w:val="000000"/>
                <w:sz w:val="18"/>
                <w:szCs w:val="18"/>
              </w:rPr>
              <w:t>,</w:t>
            </w:r>
            <w:r>
              <w:rPr>
                <w:rFonts w:ascii="Arial Narrow" w:hAnsi="Arial Narrow" w:cs="Calibri"/>
                <w:color w:val="000000"/>
                <w:sz w:val="18"/>
                <w:szCs w:val="18"/>
              </w:rPr>
              <w:t>4</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-7</w:t>
            </w:r>
            <w:r w:rsidR="001643E0">
              <w:rPr>
                <w:rFonts w:ascii="Arial Narrow" w:hAnsi="Arial Narrow" w:cs="Calibri"/>
                <w:color w:val="000000"/>
                <w:sz w:val="18"/>
                <w:szCs w:val="18"/>
              </w:rPr>
              <w:t>,</w:t>
            </w:r>
            <w:r>
              <w:rPr>
                <w:rFonts w:ascii="Arial Narrow" w:hAnsi="Arial Narrow" w:cs="Calibri"/>
                <w:color w:val="000000"/>
                <w:sz w:val="18"/>
                <w:szCs w:val="18"/>
              </w:rPr>
              <w:t>0</w:t>
            </w:r>
          </w:p>
        </w:tc>
      </w:tr>
      <w:tr w:rsidR="00EB5C05" w:rsidTr="00B613F6">
        <w:tc>
          <w:tcPr>
            <w:tcW w:w="786" w:type="pct"/>
            <w:tcBorders>
              <w:top w:val="single" w:sz="4" w:space="0" w:color="333333"/>
              <w:bottom w:val="single" w:sz="4" w:space="0" w:color="333333"/>
            </w:tcBorders>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Beni intermedi</w:t>
            </w:r>
          </w:p>
        </w:tc>
        <w:tc>
          <w:tcPr>
            <w:tcW w:w="46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568</w:t>
            </w:r>
          </w:p>
        </w:tc>
        <w:tc>
          <w:tcPr>
            <w:tcW w:w="476"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1.704</w:t>
            </w:r>
          </w:p>
        </w:tc>
        <w:tc>
          <w:tcPr>
            <w:tcW w:w="389"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5.057</w:t>
            </w:r>
          </w:p>
        </w:tc>
        <w:tc>
          <w:tcPr>
            <w:tcW w:w="460"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567</w:t>
            </w:r>
          </w:p>
        </w:tc>
        <w:tc>
          <w:tcPr>
            <w:tcW w:w="50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1.719</w:t>
            </w:r>
          </w:p>
        </w:tc>
        <w:tc>
          <w:tcPr>
            <w:tcW w:w="484"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4.965</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-0</w:t>
            </w:r>
            <w:r w:rsidR="001643E0">
              <w:rPr>
                <w:rFonts w:ascii="Arial Narrow" w:hAnsi="Arial Narrow" w:cs="Calibri"/>
                <w:color w:val="000000"/>
                <w:sz w:val="18"/>
                <w:szCs w:val="18"/>
              </w:rPr>
              <w:t>,</w:t>
            </w:r>
            <w:r>
              <w:rPr>
                <w:rFonts w:ascii="Arial Narrow" w:hAnsi="Arial Narrow" w:cs="Calibri"/>
                <w:color w:val="000000"/>
                <w:sz w:val="18"/>
                <w:szCs w:val="18"/>
              </w:rPr>
              <w:t>4</w:t>
            </w:r>
          </w:p>
        </w:tc>
        <w:tc>
          <w:tcPr>
            <w:tcW w:w="481" w:type="pct"/>
            <w:tcBorders>
              <w:top w:val="single" w:sz="4" w:space="0" w:color="333333"/>
              <w:bottom w:val="single" w:sz="4" w:space="0" w:color="333333"/>
            </w:tcBorders>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+0</w:t>
            </w:r>
            <w:r w:rsidR="001643E0">
              <w:rPr>
                <w:rFonts w:ascii="Arial Narrow" w:hAnsi="Arial Narrow" w:cs="Calibri"/>
                <w:color w:val="000000"/>
                <w:sz w:val="18"/>
                <w:szCs w:val="18"/>
              </w:rPr>
              <w:t>,</w:t>
            </w:r>
            <w:r>
              <w:rPr>
                <w:rFonts w:ascii="Arial Narrow" w:hAnsi="Arial Narrow" w:cs="Calibri"/>
                <w:color w:val="000000"/>
                <w:sz w:val="18"/>
                <w:szCs w:val="18"/>
              </w:rPr>
              <w:t>9</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-1</w:t>
            </w:r>
            <w:r w:rsidR="001643E0">
              <w:rPr>
                <w:rFonts w:ascii="Arial Narrow" w:hAnsi="Arial Narrow" w:cs="Calibri"/>
                <w:color w:val="000000"/>
                <w:sz w:val="18"/>
                <w:szCs w:val="18"/>
              </w:rPr>
              <w:t>,</w:t>
            </w:r>
            <w:r>
              <w:rPr>
                <w:rFonts w:ascii="Arial Narrow" w:hAnsi="Arial Narrow" w:cs="Calibri"/>
                <w:color w:val="000000"/>
                <w:sz w:val="18"/>
                <w:szCs w:val="18"/>
              </w:rPr>
              <w:t>8</w:t>
            </w:r>
          </w:p>
        </w:tc>
      </w:tr>
      <w:tr w:rsidR="00EB5C05" w:rsidTr="00B613F6">
        <w:tc>
          <w:tcPr>
            <w:tcW w:w="786" w:type="pct"/>
            <w:tcBorders>
              <w:top w:val="single" w:sz="4" w:space="0" w:color="333333"/>
              <w:bottom w:val="single" w:sz="4" w:space="0" w:color="333333"/>
            </w:tcBorders>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Energia</w:t>
            </w:r>
          </w:p>
        </w:tc>
        <w:tc>
          <w:tcPr>
            <w:tcW w:w="46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33</w:t>
            </w:r>
          </w:p>
        </w:tc>
        <w:tc>
          <w:tcPr>
            <w:tcW w:w="476"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46</w:t>
            </w:r>
          </w:p>
        </w:tc>
        <w:tc>
          <w:tcPr>
            <w:tcW w:w="389"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176</w:t>
            </w:r>
          </w:p>
        </w:tc>
        <w:tc>
          <w:tcPr>
            <w:tcW w:w="460"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34</w:t>
            </w:r>
          </w:p>
        </w:tc>
        <w:tc>
          <w:tcPr>
            <w:tcW w:w="500" w:type="pct"/>
            <w:tcBorders>
              <w:top w:val="single" w:sz="4" w:space="0" w:color="333333"/>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49</w:t>
            </w:r>
          </w:p>
        </w:tc>
        <w:tc>
          <w:tcPr>
            <w:tcW w:w="484" w:type="pct"/>
            <w:tcBorders>
              <w:top w:val="single" w:sz="4" w:space="0" w:color="333333"/>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201</w:t>
            </w:r>
          </w:p>
        </w:tc>
        <w:tc>
          <w:tcPr>
            <w:tcW w:w="482" w:type="pct"/>
            <w:tcBorders>
              <w:top w:val="single" w:sz="4" w:space="0" w:color="333333"/>
              <w:bottom w:val="single" w:sz="4" w:space="0" w:color="333333"/>
            </w:tcBorders>
            <w:shd w:val="clear" w:color="auto" w:fill="E6E6E6"/>
            <w:vAlign w:val="center"/>
          </w:tcPr>
          <w:p w:rsidR="00EB5C05" w:rsidRDefault="004F6544" w:rsidP="001F78E3">
            <w:pPr>
              <w:jc w:val="right"/>
              <w:rPr>
                <w:rFonts w:ascii="Arial Narrow" w:hAnsi="Arial Narrow" w:cs="Calibri"/>
                <w:color w:val="000000"/>
                <w:sz w:val="18"/>
                <w:szCs w:val="18"/>
              </w:rPr>
            </w:pPr>
            <w:r>
              <w:rPr>
                <w:rFonts w:ascii="Arial Narrow" w:hAnsi="Arial Narrow" w:cs="Calibri"/>
                <w:color w:val="000000"/>
                <w:sz w:val="18"/>
                <w:szCs w:val="18"/>
              </w:rPr>
              <w:t>+</w:t>
            </w:r>
            <w:r w:rsidR="00EB5C05">
              <w:rPr>
                <w:rFonts w:ascii="Arial Narrow" w:hAnsi="Arial Narrow" w:cs="Calibri"/>
                <w:color w:val="000000"/>
                <w:sz w:val="18"/>
                <w:szCs w:val="18"/>
              </w:rPr>
              <w:t>3</w:t>
            </w:r>
            <w:r w:rsidR="001643E0">
              <w:rPr>
                <w:rFonts w:ascii="Arial Narrow" w:hAnsi="Arial Narrow" w:cs="Calibri"/>
                <w:color w:val="000000"/>
                <w:sz w:val="18"/>
                <w:szCs w:val="18"/>
              </w:rPr>
              <w:t>,</w:t>
            </w:r>
            <w:r w:rsidR="00EB5C05">
              <w:rPr>
                <w:rFonts w:ascii="Arial Narrow" w:hAnsi="Arial Narrow" w:cs="Calibri"/>
                <w:color w:val="000000"/>
                <w:sz w:val="18"/>
                <w:szCs w:val="18"/>
              </w:rPr>
              <w:t>0</w:t>
            </w:r>
          </w:p>
        </w:tc>
        <w:tc>
          <w:tcPr>
            <w:tcW w:w="481" w:type="pct"/>
            <w:tcBorders>
              <w:top w:val="single" w:sz="4" w:space="0" w:color="333333"/>
              <w:bottom w:val="single" w:sz="4" w:space="0" w:color="333333"/>
            </w:tcBorders>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+6</w:t>
            </w:r>
            <w:r w:rsidR="001643E0">
              <w:rPr>
                <w:rFonts w:ascii="Arial Narrow" w:hAnsi="Arial Narrow" w:cs="Calibri"/>
                <w:color w:val="000000"/>
                <w:sz w:val="18"/>
                <w:szCs w:val="18"/>
              </w:rPr>
              <w:t>,</w:t>
            </w:r>
            <w:r>
              <w:rPr>
                <w:rFonts w:ascii="Arial Narrow" w:hAnsi="Arial Narrow" w:cs="Calibri"/>
                <w:color w:val="000000"/>
                <w:sz w:val="18"/>
                <w:szCs w:val="18"/>
              </w:rPr>
              <w:t>5</w:t>
            </w:r>
          </w:p>
        </w:tc>
        <w:tc>
          <w:tcPr>
            <w:tcW w:w="482" w:type="pct"/>
            <w:tcBorders>
              <w:top w:val="single" w:sz="4" w:space="0" w:color="333333"/>
              <w:bottom w:val="single" w:sz="4" w:space="0" w:color="333333"/>
            </w:tcBorders>
            <w:shd w:val="clear" w:color="auto" w:fill="E6E6E6"/>
            <w:vAlign w:val="center"/>
          </w:tcPr>
          <w:p w:rsidR="00EB5C05" w:rsidRDefault="00EB5C05" w:rsidP="001F78E3">
            <w:pPr>
              <w:jc w:val="right"/>
              <w:rPr>
                <w:rFonts w:ascii="Arial Narrow" w:hAnsi="Arial Narrow" w:cs="Calibri"/>
                <w:color w:val="000000"/>
                <w:sz w:val="18"/>
                <w:szCs w:val="18"/>
              </w:rPr>
            </w:pPr>
            <w:r>
              <w:rPr>
                <w:rFonts w:ascii="Arial Narrow" w:hAnsi="Arial Narrow" w:cs="Calibri"/>
                <w:color w:val="000000"/>
                <w:sz w:val="18"/>
                <w:szCs w:val="18"/>
              </w:rPr>
              <w:t>+14</w:t>
            </w:r>
            <w:r w:rsidR="001643E0">
              <w:rPr>
                <w:rFonts w:ascii="Arial Narrow" w:hAnsi="Arial Narrow" w:cs="Calibri"/>
                <w:color w:val="000000"/>
                <w:sz w:val="18"/>
                <w:szCs w:val="18"/>
              </w:rPr>
              <w:t>,</w:t>
            </w:r>
            <w:r>
              <w:rPr>
                <w:rFonts w:ascii="Arial Narrow" w:hAnsi="Arial Narrow" w:cs="Calibri"/>
                <w:color w:val="000000"/>
                <w:sz w:val="18"/>
                <w:szCs w:val="18"/>
              </w:rPr>
              <w:t>2</w:t>
            </w:r>
          </w:p>
        </w:tc>
      </w:tr>
      <w:tr w:rsidR="00EB5C05" w:rsidRPr="00375E58" w:rsidTr="00B613F6">
        <w:tc>
          <w:tcPr>
            <w:tcW w:w="786" w:type="pct"/>
            <w:tcBorders>
              <w:top w:val="single" w:sz="4" w:space="0" w:color="333333"/>
              <w:bottom w:val="single" w:sz="4" w:space="0" w:color="auto"/>
            </w:tcBorders>
            <w:shd w:val="clear" w:color="auto" w:fill="99CC00"/>
            <w:vAlign w:val="center"/>
          </w:tcPr>
          <w:p w:rsidR="00EB5C05" w:rsidRPr="00E3416F" w:rsidRDefault="00EB5C05" w:rsidP="00F939D6">
            <w:pPr>
              <w:spacing w:before="40" w:after="20"/>
              <w:ind w:left="-57"/>
              <w:rPr>
                <w:rFonts w:ascii="Arial Narrow" w:hAnsi="Arial Narrow" w:cs="Arial"/>
                <w:b/>
                <w:color w:val="FFFFFF"/>
                <w:sz w:val="18"/>
                <w:szCs w:val="16"/>
              </w:rPr>
            </w:pPr>
            <w:r w:rsidRPr="00E3416F">
              <w:rPr>
                <w:rFonts w:ascii="Arial Narrow" w:hAnsi="Arial Narrow" w:cs="Arial"/>
                <w:b/>
                <w:color w:val="FFFFFF"/>
                <w:sz w:val="18"/>
                <w:szCs w:val="16"/>
              </w:rPr>
              <w:t>Totale</w:t>
            </w:r>
          </w:p>
        </w:tc>
        <w:tc>
          <w:tcPr>
            <w:tcW w:w="460" w:type="pct"/>
            <w:tcBorders>
              <w:top w:val="single" w:sz="4" w:space="0" w:color="333333"/>
              <w:bottom w:val="single" w:sz="4" w:space="0" w:color="auto"/>
            </w:tcBorders>
            <w:shd w:val="clear" w:color="auto" w:fill="99CC00"/>
            <w:vAlign w:val="center"/>
          </w:tcPr>
          <w:p w:rsidR="00EB5C05" w:rsidRPr="00E3416F"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1.267</w:t>
            </w:r>
          </w:p>
        </w:tc>
        <w:tc>
          <w:tcPr>
            <w:tcW w:w="476" w:type="pct"/>
            <w:tcBorders>
              <w:top w:val="single" w:sz="4" w:space="0" w:color="333333"/>
              <w:bottom w:val="single" w:sz="4" w:space="0" w:color="auto"/>
            </w:tcBorders>
            <w:shd w:val="clear" w:color="auto" w:fill="99CC00"/>
            <w:vAlign w:val="center"/>
          </w:tcPr>
          <w:p w:rsidR="00EB5C05" w:rsidRPr="00E3416F"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3.611</w:t>
            </w:r>
          </w:p>
        </w:tc>
        <w:tc>
          <w:tcPr>
            <w:tcW w:w="389" w:type="pct"/>
            <w:tcBorders>
              <w:top w:val="single" w:sz="4" w:space="0" w:color="333333"/>
              <w:bottom w:val="single" w:sz="4" w:space="0" w:color="auto"/>
            </w:tcBorders>
            <w:shd w:val="clear" w:color="auto" w:fill="99CC00"/>
            <w:vAlign w:val="center"/>
          </w:tcPr>
          <w:p w:rsidR="00EB5C05" w:rsidRPr="00E3416F"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11.101</w:t>
            </w:r>
          </w:p>
        </w:tc>
        <w:tc>
          <w:tcPr>
            <w:tcW w:w="460" w:type="pct"/>
            <w:tcBorders>
              <w:top w:val="single" w:sz="4" w:space="0" w:color="333333"/>
              <w:bottom w:val="single" w:sz="4" w:space="0" w:color="auto"/>
            </w:tcBorders>
            <w:shd w:val="clear" w:color="auto" w:fill="99CC00"/>
            <w:vAlign w:val="center"/>
          </w:tcPr>
          <w:p w:rsidR="00EB5C05" w:rsidRPr="00E3416F"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1.241</w:t>
            </w:r>
          </w:p>
        </w:tc>
        <w:tc>
          <w:tcPr>
            <w:tcW w:w="500" w:type="pct"/>
            <w:tcBorders>
              <w:top w:val="single" w:sz="4" w:space="0" w:color="333333"/>
              <w:bottom w:val="single" w:sz="4" w:space="0" w:color="auto"/>
            </w:tcBorders>
            <w:shd w:val="clear" w:color="auto" w:fill="99CC00"/>
            <w:vAlign w:val="center"/>
          </w:tcPr>
          <w:p w:rsidR="00EB5C05" w:rsidRPr="00E3416F"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3.595</w:t>
            </w:r>
          </w:p>
        </w:tc>
        <w:tc>
          <w:tcPr>
            <w:tcW w:w="484" w:type="pct"/>
            <w:tcBorders>
              <w:top w:val="single" w:sz="4" w:space="0" w:color="333333"/>
              <w:bottom w:val="single" w:sz="4" w:space="0" w:color="auto"/>
            </w:tcBorders>
            <w:shd w:val="clear" w:color="auto" w:fill="99CC00"/>
            <w:vAlign w:val="center"/>
          </w:tcPr>
          <w:p w:rsidR="00EB5C05" w:rsidRPr="00E3416F"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10.925</w:t>
            </w:r>
          </w:p>
        </w:tc>
        <w:tc>
          <w:tcPr>
            <w:tcW w:w="482" w:type="pct"/>
            <w:tcBorders>
              <w:top w:val="single" w:sz="4" w:space="0" w:color="333333"/>
              <w:bottom w:val="single" w:sz="4" w:space="0" w:color="auto"/>
            </w:tcBorders>
            <w:shd w:val="clear" w:color="auto" w:fill="99CC00"/>
            <w:vAlign w:val="center"/>
          </w:tcPr>
          <w:p w:rsidR="00EB5C05" w:rsidRPr="00642649"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-2</w:t>
            </w:r>
            <w:r w:rsidR="001643E0">
              <w:rPr>
                <w:rFonts w:ascii="Arial Narrow" w:hAnsi="Arial Narrow" w:cs="Arial"/>
                <w:b/>
                <w:color w:val="FFFFFF"/>
                <w:sz w:val="18"/>
                <w:szCs w:val="16"/>
              </w:rPr>
              <w:t>,</w:t>
            </w:r>
            <w:r>
              <w:rPr>
                <w:rFonts w:ascii="Arial Narrow" w:hAnsi="Arial Narrow" w:cs="Arial"/>
                <w:b/>
                <w:color w:val="FFFFFF"/>
                <w:sz w:val="18"/>
                <w:szCs w:val="16"/>
              </w:rPr>
              <w:t>0</w:t>
            </w:r>
          </w:p>
        </w:tc>
        <w:tc>
          <w:tcPr>
            <w:tcW w:w="481" w:type="pct"/>
            <w:tcBorders>
              <w:top w:val="single" w:sz="4" w:space="0" w:color="333333"/>
              <w:bottom w:val="single" w:sz="4" w:space="0" w:color="auto"/>
            </w:tcBorders>
            <w:shd w:val="clear" w:color="auto" w:fill="99CC00"/>
            <w:vAlign w:val="center"/>
          </w:tcPr>
          <w:p w:rsidR="00EB5C05" w:rsidRPr="00642649"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-0</w:t>
            </w:r>
            <w:r w:rsidR="001643E0">
              <w:rPr>
                <w:rFonts w:ascii="Arial Narrow" w:hAnsi="Arial Narrow" w:cs="Arial"/>
                <w:b/>
                <w:color w:val="FFFFFF"/>
                <w:sz w:val="18"/>
                <w:szCs w:val="16"/>
              </w:rPr>
              <w:t>,</w:t>
            </w:r>
            <w:r>
              <w:rPr>
                <w:rFonts w:ascii="Arial Narrow" w:hAnsi="Arial Narrow" w:cs="Arial"/>
                <w:b/>
                <w:color w:val="FFFFFF"/>
                <w:sz w:val="18"/>
                <w:szCs w:val="16"/>
              </w:rPr>
              <w:t>4</w:t>
            </w:r>
          </w:p>
        </w:tc>
        <w:tc>
          <w:tcPr>
            <w:tcW w:w="482" w:type="pct"/>
            <w:tcBorders>
              <w:top w:val="single" w:sz="4" w:space="0" w:color="333333"/>
              <w:bottom w:val="single" w:sz="4" w:space="0" w:color="auto"/>
            </w:tcBorders>
            <w:shd w:val="clear" w:color="auto" w:fill="99CC00"/>
            <w:vAlign w:val="center"/>
          </w:tcPr>
          <w:p w:rsidR="00EB5C05" w:rsidRPr="00642649"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w:t>
            </w:r>
            <w:r w:rsidR="001643E0">
              <w:rPr>
                <w:rFonts w:ascii="Arial Narrow" w:hAnsi="Arial Narrow" w:cs="Arial"/>
                <w:b/>
                <w:color w:val="FFFFFF"/>
                <w:sz w:val="18"/>
                <w:szCs w:val="16"/>
              </w:rPr>
              <w:t>,</w:t>
            </w:r>
            <w:r>
              <w:rPr>
                <w:rFonts w:ascii="Arial Narrow" w:hAnsi="Arial Narrow" w:cs="Arial"/>
                <w:b/>
                <w:color w:val="FFFFFF"/>
                <w:sz w:val="18"/>
                <w:szCs w:val="16"/>
              </w:rPr>
              <w:t>6</w:t>
            </w:r>
          </w:p>
        </w:tc>
      </w:tr>
    </w:tbl>
    <w:p w:rsidR="00446CA9" w:rsidRDefault="00446CA9" w:rsidP="000B2058">
      <w:pPr>
        <w:spacing w:after="120"/>
        <w:ind w:left="1814" w:right="84"/>
        <w:jc w:val="both"/>
        <w:rPr>
          <w:rFonts w:ascii="Arial" w:hAnsi="Arial" w:cs="Arial"/>
          <w:sz w:val="20"/>
          <w:szCs w:val="20"/>
        </w:rPr>
      </w:pPr>
    </w:p>
    <w:p w:rsidR="00696E8C" w:rsidRPr="00384F7C" w:rsidRDefault="00696E8C" w:rsidP="00696E8C">
      <w:pPr>
        <w:spacing w:after="120"/>
        <w:ind w:left="1814"/>
        <w:jc w:val="both"/>
        <w:rPr>
          <w:rFonts w:ascii="Arial" w:hAnsi="Arial" w:cs="Arial"/>
          <w:sz w:val="20"/>
          <w:szCs w:val="20"/>
        </w:rPr>
      </w:pPr>
      <w:r w:rsidRPr="00117170">
        <w:rPr>
          <w:rFonts w:ascii="Arial" w:hAnsi="Arial" w:cs="Arial"/>
          <w:sz w:val="20"/>
          <w:szCs w:val="20"/>
        </w:rPr>
        <w:t xml:space="preserve">Con riguardo al mercato estero – area euro – a livello di indice generale, il rapporto </w:t>
      </w:r>
      <w:r w:rsidRPr="00117170">
        <w:rPr>
          <w:rFonts w:ascii="Arial" w:hAnsi="Arial" w:cs="Arial"/>
          <w:i/>
          <w:sz w:val="20"/>
          <w:szCs w:val="20"/>
        </w:rPr>
        <w:t>prezzi/imprese</w:t>
      </w:r>
      <w:r w:rsidRPr="00117170">
        <w:rPr>
          <w:rFonts w:ascii="Arial" w:hAnsi="Arial" w:cs="Arial"/>
          <w:sz w:val="20"/>
          <w:szCs w:val="20"/>
        </w:rPr>
        <w:t xml:space="preserve"> scende da 2,6 a 2,5, mentre il rapporto </w:t>
      </w:r>
      <w:r w:rsidRPr="00117170">
        <w:rPr>
          <w:rFonts w:ascii="Arial" w:hAnsi="Arial" w:cs="Arial"/>
          <w:i/>
          <w:sz w:val="20"/>
          <w:szCs w:val="20"/>
        </w:rPr>
        <w:t>imprese/prodotti</w:t>
      </w:r>
      <w:r w:rsidRPr="00117170">
        <w:rPr>
          <w:rFonts w:ascii="Arial" w:hAnsi="Arial" w:cs="Arial"/>
          <w:sz w:val="20"/>
          <w:szCs w:val="20"/>
        </w:rPr>
        <w:t xml:space="preserve"> rimane invariato a 2</w:t>
      </w:r>
      <w:r w:rsidR="008D3573">
        <w:rPr>
          <w:rFonts w:ascii="Arial" w:hAnsi="Arial" w:cs="Arial"/>
          <w:sz w:val="20"/>
          <w:szCs w:val="20"/>
        </w:rPr>
        <w:t>,0</w:t>
      </w:r>
      <w:r w:rsidRPr="00117170">
        <w:rPr>
          <w:rFonts w:ascii="Arial" w:hAnsi="Arial" w:cs="Arial"/>
          <w:sz w:val="20"/>
          <w:szCs w:val="20"/>
        </w:rPr>
        <w:t>.</w:t>
      </w:r>
    </w:p>
    <w:p w:rsidR="00DF3ABE" w:rsidRDefault="00DF3ABE" w:rsidP="000B2058">
      <w:pPr>
        <w:spacing w:after="120"/>
        <w:ind w:left="1814" w:right="84"/>
        <w:jc w:val="both"/>
        <w:rPr>
          <w:rFonts w:ascii="Arial" w:hAnsi="Arial" w:cs="Arial"/>
          <w:sz w:val="20"/>
          <w:szCs w:val="20"/>
        </w:rPr>
      </w:pPr>
    </w:p>
    <w:p w:rsidR="00F27D52" w:rsidRPr="00800C32" w:rsidRDefault="0066037C" w:rsidP="00F27D52">
      <w:pPr>
        <w:pStyle w:val="Soggettocommento"/>
        <w:spacing w:after="120"/>
        <w:ind w:left="1814"/>
        <w:jc w:val="both"/>
        <w:rPr>
          <w:rFonts w:ascii="Arial Narrow" w:hAnsi="Arial Narrow" w:cs="Arial"/>
          <w:b w:val="0"/>
          <w:bCs w:val="0"/>
          <w:caps/>
          <w:color w:val="808080"/>
          <w:szCs w:val="16"/>
        </w:rPr>
      </w:pPr>
      <w:r>
        <w:rPr>
          <w:rFonts w:ascii="Arial Narrow" w:hAnsi="Arial Narrow" w:cs="Arial"/>
          <w:bCs w:val="0"/>
          <w:caps/>
          <w:color w:val="777777"/>
          <w:szCs w:val="16"/>
        </w:rPr>
        <w:t>P</w:t>
      </w:r>
      <w:r w:rsidR="00180425">
        <w:rPr>
          <w:rFonts w:ascii="Arial Narrow" w:hAnsi="Arial Narrow" w:cs="Arial"/>
          <w:bCs w:val="0"/>
          <w:caps/>
          <w:color w:val="777777"/>
          <w:szCs w:val="16"/>
        </w:rPr>
        <w:t xml:space="preserve">rospetto </w:t>
      </w:r>
      <w:r w:rsidR="00557CFD">
        <w:rPr>
          <w:rFonts w:ascii="Arial Narrow" w:hAnsi="Arial Narrow" w:cs="Arial"/>
          <w:bCs w:val="0"/>
          <w:caps/>
          <w:color w:val="777777"/>
          <w:szCs w:val="16"/>
        </w:rPr>
        <w:t>5</w:t>
      </w:r>
      <w:r w:rsidR="00F27D52">
        <w:rPr>
          <w:rFonts w:ascii="Arial Narrow" w:hAnsi="Arial Narrow" w:cs="Arial"/>
          <w:bCs w:val="0"/>
          <w:caps/>
          <w:color w:val="777777"/>
          <w:szCs w:val="16"/>
        </w:rPr>
        <w:t xml:space="preserve">. Prezzi alla produzione dei prodotti industriali, Mercato estero area euro. Numerosità del campione dei prodotti, prezzi e imprese per Raggruppamenti principali di industrie. </w:t>
      </w:r>
      <w:r w:rsidR="00F27D52" w:rsidRPr="00800C32">
        <w:rPr>
          <w:rFonts w:ascii="Arial Narrow" w:hAnsi="Arial Narrow" w:cs="Arial"/>
          <w:b w:val="0"/>
          <w:bCs w:val="0"/>
          <w:caps/>
          <w:color w:val="808080"/>
          <w:spacing w:val="-2"/>
          <w:sz w:val="19"/>
          <w:szCs w:val="19"/>
        </w:rPr>
        <w:t>c</w:t>
      </w:r>
      <w:r w:rsidR="00F27D52" w:rsidRPr="00800C32">
        <w:rPr>
          <w:rFonts w:ascii="Arial Narrow" w:hAnsi="Arial Narrow" w:cs="Arial"/>
          <w:b w:val="0"/>
          <w:bCs w:val="0"/>
          <w:color w:val="808080"/>
          <w:spacing w:val="-2"/>
          <w:sz w:val="19"/>
          <w:szCs w:val="19"/>
        </w:rPr>
        <w:t xml:space="preserve">onfronto tra </w:t>
      </w:r>
      <w:r w:rsidR="00F27D52">
        <w:rPr>
          <w:rFonts w:ascii="Arial Narrow" w:hAnsi="Arial Narrow" w:cs="Arial"/>
          <w:b w:val="0"/>
          <w:bCs w:val="0"/>
          <w:color w:val="808080"/>
          <w:spacing w:val="-2"/>
          <w:sz w:val="19"/>
          <w:szCs w:val="19"/>
        </w:rPr>
        <w:t>le basi di calcolo Dicembre 201</w:t>
      </w:r>
      <w:r w:rsidR="00C86F21">
        <w:rPr>
          <w:rFonts w:ascii="Arial Narrow" w:hAnsi="Arial Narrow" w:cs="Arial"/>
          <w:b w:val="0"/>
          <w:bCs w:val="0"/>
          <w:color w:val="808080"/>
          <w:spacing w:val="-2"/>
          <w:sz w:val="19"/>
          <w:szCs w:val="19"/>
        </w:rPr>
        <w:t>2</w:t>
      </w:r>
      <w:r w:rsidR="00F27D52" w:rsidRPr="00800C32">
        <w:rPr>
          <w:rFonts w:ascii="Arial Narrow" w:hAnsi="Arial Narrow" w:cs="Arial"/>
          <w:b w:val="0"/>
          <w:bCs w:val="0"/>
          <w:color w:val="808080"/>
          <w:spacing w:val="-2"/>
          <w:sz w:val="19"/>
          <w:szCs w:val="19"/>
        </w:rPr>
        <w:t xml:space="preserve"> e Dicembre 201</w:t>
      </w:r>
      <w:r w:rsidR="00C86F21">
        <w:rPr>
          <w:rFonts w:ascii="Arial Narrow" w:hAnsi="Arial Narrow" w:cs="Arial"/>
          <w:b w:val="0"/>
          <w:bCs w:val="0"/>
          <w:color w:val="808080"/>
          <w:spacing w:val="-2"/>
          <w:sz w:val="19"/>
          <w:szCs w:val="19"/>
        </w:rPr>
        <w:t>3</w:t>
      </w:r>
      <w:r w:rsidR="00946F10">
        <w:rPr>
          <w:rFonts w:ascii="Arial Narrow" w:hAnsi="Arial Narrow" w:cs="Arial"/>
          <w:b w:val="0"/>
          <w:bCs w:val="0"/>
          <w:color w:val="808080"/>
          <w:spacing w:val="-2"/>
          <w:sz w:val="19"/>
          <w:szCs w:val="19"/>
        </w:rPr>
        <w:t>.</w:t>
      </w:r>
    </w:p>
    <w:tbl>
      <w:tblPr>
        <w:tblW w:w="8832" w:type="dxa"/>
        <w:tblInd w:w="1908" w:type="dxa"/>
        <w:tblBorders>
          <w:top w:val="single" w:sz="4" w:space="0" w:color="333333"/>
          <w:bottom w:val="single" w:sz="4" w:space="0" w:color="333333"/>
          <w:insideH w:val="single" w:sz="4" w:space="0" w:color="333333"/>
        </w:tblBorders>
        <w:tblLayout w:type="fixed"/>
        <w:tblLook w:val="01E0" w:firstRow="1" w:lastRow="1" w:firstColumn="1" w:lastColumn="1" w:noHBand="0" w:noVBand="0"/>
      </w:tblPr>
      <w:tblGrid>
        <w:gridCol w:w="1461"/>
        <w:gridCol w:w="708"/>
        <w:gridCol w:w="141"/>
        <w:gridCol w:w="712"/>
        <w:gridCol w:w="708"/>
        <w:gridCol w:w="850"/>
        <w:gridCol w:w="851"/>
        <w:gridCol w:w="850"/>
        <w:gridCol w:w="851"/>
        <w:gridCol w:w="850"/>
        <w:gridCol w:w="850"/>
      </w:tblGrid>
      <w:tr w:rsidR="004462FC" w:rsidRPr="00826681" w:rsidTr="00DF3ABE">
        <w:trPr>
          <w:cantSplit/>
        </w:trPr>
        <w:tc>
          <w:tcPr>
            <w:tcW w:w="827" w:type="pct"/>
            <w:vMerge w:val="restart"/>
            <w:vAlign w:val="center"/>
          </w:tcPr>
          <w:p w:rsidR="00F27D52" w:rsidRPr="00DF3ABE" w:rsidRDefault="00F27D52" w:rsidP="00DF3ABE">
            <w:pPr>
              <w:spacing w:before="40" w:after="20"/>
              <w:ind w:left="-57"/>
              <w:rPr>
                <w:rFonts w:ascii="Arial Narrow" w:hAnsi="Arial Narrow" w:cs="Arial"/>
                <w:b/>
                <w:sz w:val="18"/>
                <w:szCs w:val="16"/>
              </w:rPr>
            </w:pPr>
            <w:r w:rsidRPr="00DF3ABE">
              <w:rPr>
                <w:rFonts w:ascii="Arial Narrow" w:hAnsi="Arial Narrow" w:cs="Arial"/>
                <w:b/>
                <w:sz w:val="18"/>
                <w:szCs w:val="16"/>
              </w:rPr>
              <w:t xml:space="preserve">Raggruppamenti principali </w:t>
            </w:r>
            <w:r w:rsidRPr="00DF3ABE">
              <w:rPr>
                <w:rFonts w:ascii="Arial Narrow" w:hAnsi="Arial Narrow" w:cs="Arial"/>
                <w:b/>
                <w:sz w:val="18"/>
                <w:szCs w:val="16"/>
              </w:rPr>
              <w:br/>
              <w:t>di industrie</w:t>
            </w:r>
          </w:p>
        </w:tc>
        <w:tc>
          <w:tcPr>
            <w:tcW w:w="1285" w:type="pct"/>
            <w:gridSpan w:val="4"/>
            <w:shd w:val="clear" w:color="auto" w:fill="E6E6E6"/>
            <w:vAlign w:val="center"/>
          </w:tcPr>
          <w:p w:rsidR="00F27D52" w:rsidRPr="00E0727F" w:rsidRDefault="00F27D52" w:rsidP="00DF5142">
            <w:pPr>
              <w:spacing w:before="40" w:after="20"/>
              <w:jc w:val="center"/>
              <w:rPr>
                <w:rFonts w:ascii="Arial Narrow" w:hAnsi="Arial Narrow" w:cs="Arial"/>
                <w:b/>
                <w:sz w:val="18"/>
                <w:szCs w:val="16"/>
              </w:rPr>
            </w:pPr>
            <w:r w:rsidRPr="00E0727F">
              <w:rPr>
                <w:rFonts w:ascii="Arial Narrow" w:hAnsi="Arial Narrow" w:cs="Arial"/>
                <w:b/>
                <w:sz w:val="18"/>
                <w:szCs w:val="16"/>
              </w:rPr>
              <w:t>Base 201</w:t>
            </w:r>
            <w:r w:rsidR="00C86F21" w:rsidRPr="00E0727F">
              <w:rPr>
                <w:rFonts w:ascii="Arial Narrow" w:hAnsi="Arial Narrow" w:cs="Arial"/>
                <w:b/>
                <w:sz w:val="18"/>
                <w:szCs w:val="16"/>
              </w:rPr>
              <w:t>2</w:t>
            </w:r>
          </w:p>
        </w:tc>
        <w:tc>
          <w:tcPr>
            <w:tcW w:w="1444" w:type="pct"/>
            <w:gridSpan w:val="3"/>
            <w:vAlign w:val="center"/>
          </w:tcPr>
          <w:p w:rsidR="00F27D52" w:rsidRPr="0049282A" w:rsidRDefault="00F27D52" w:rsidP="00DF5142">
            <w:pPr>
              <w:spacing w:before="40" w:after="20"/>
              <w:jc w:val="center"/>
              <w:rPr>
                <w:rFonts w:ascii="Arial Narrow" w:hAnsi="Arial Narrow" w:cs="Arial"/>
                <w:b/>
                <w:bCs/>
                <w:sz w:val="18"/>
                <w:szCs w:val="16"/>
              </w:rPr>
            </w:pPr>
            <w:r w:rsidRPr="0049282A">
              <w:rPr>
                <w:rFonts w:ascii="Arial Narrow" w:hAnsi="Arial Narrow" w:cs="Arial"/>
                <w:b/>
                <w:bCs/>
                <w:sz w:val="18"/>
                <w:szCs w:val="16"/>
              </w:rPr>
              <w:t>Base 201</w:t>
            </w:r>
            <w:r w:rsidR="00C86F21" w:rsidRPr="0049282A">
              <w:rPr>
                <w:rFonts w:ascii="Arial Narrow" w:hAnsi="Arial Narrow" w:cs="Arial"/>
                <w:b/>
                <w:bCs/>
                <w:sz w:val="18"/>
                <w:szCs w:val="16"/>
              </w:rPr>
              <w:t>3</w:t>
            </w:r>
          </w:p>
        </w:tc>
        <w:tc>
          <w:tcPr>
            <w:tcW w:w="1444" w:type="pct"/>
            <w:gridSpan w:val="3"/>
            <w:shd w:val="clear" w:color="auto" w:fill="E6E6E6"/>
            <w:vAlign w:val="center"/>
          </w:tcPr>
          <w:p w:rsidR="00F27D52" w:rsidRPr="0049282A" w:rsidRDefault="00F27D52" w:rsidP="00826681">
            <w:pPr>
              <w:spacing w:before="40" w:after="20"/>
              <w:jc w:val="right"/>
              <w:rPr>
                <w:rFonts w:ascii="Arial Narrow" w:hAnsi="Arial Narrow" w:cs="Arial"/>
                <w:b/>
                <w:bCs/>
                <w:sz w:val="18"/>
                <w:szCs w:val="16"/>
              </w:rPr>
            </w:pPr>
            <w:r w:rsidRPr="0049282A">
              <w:rPr>
                <w:rFonts w:ascii="Arial Narrow" w:hAnsi="Arial Narrow" w:cs="Arial"/>
                <w:b/>
                <w:bCs/>
                <w:sz w:val="18"/>
                <w:szCs w:val="16"/>
              </w:rPr>
              <w:t>Variazioni percentuali</w:t>
            </w:r>
          </w:p>
        </w:tc>
      </w:tr>
      <w:tr w:rsidR="00DF3ABE" w:rsidTr="00E0727F">
        <w:trPr>
          <w:cantSplit/>
          <w:trHeight w:val="389"/>
        </w:trPr>
        <w:tc>
          <w:tcPr>
            <w:tcW w:w="827" w:type="pct"/>
            <w:vMerge/>
            <w:vAlign w:val="center"/>
          </w:tcPr>
          <w:p w:rsidR="00F27D52" w:rsidRPr="00E0727F" w:rsidRDefault="00F27D52" w:rsidP="00F939D6">
            <w:pPr>
              <w:spacing w:before="40" w:after="20"/>
              <w:ind w:left="-57"/>
              <w:rPr>
                <w:rFonts w:ascii="Arial Narrow" w:hAnsi="Arial Narrow" w:cs="Arial"/>
                <w:b/>
                <w:sz w:val="18"/>
                <w:szCs w:val="16"/>
              </w:rPr>
            </w:pPr>
          </w:p>
        </w:tc>
        <w:tc>
          <w:tcPr>
            <w:tcW w:w="481" w:type="pct"/>
            <w:gridSpan w:val="2"/>
            <w:shd w:val="clear" w:color="auto" w:fill="E6E6E6"/>
            <w:vAlign w:val="center"/>
          </w:tcPr>
          <w:p w:rsidR="00F27D52" w:rsidRDefault="00F27D52" w:rsidP="00E0727F">
            <w:pPr>
              <w:spacing w:before="40" w:after="20"/>
              <w:ind w:left="-109" w:firstLine="1"/>
              <w:jc w:val="right"/>
              <w:rPr>
                <w:rFonts w:ascii="Arial Narrow" w:hAnsi="Arial Narrow" w:cs="Arial"/>
                <w:b/>
                <w:sz w:val="18"/>
                <w:szCs w:val="16"/>
              </w:rPr>
            </w:pPr>
            <w:r>
              <w:rPr>
                <w:rFonts w:ascii="Arial Narrow" w:hAnsi="Arial Narrow" w:cs="Arial"/>
                <w:b/>
                <w:sz w:val="18"/>
                <w:szCs w:val="16"/>
              </w:rPr>
              <w:t>Prodotti</w:t>
            </w:r>
          </w:p>
        </w:tc>
        <w:tc>
          <w:tcPr>
            <w:tcW w:w="403" w:type="pct"/>
            <w:vAlign w:val="center"/>
          </w:tcPr>
          <w:p w:rsidR="00F27D52" w:rsidRDefault="00F27D52" w:rsidP="00E0727F">
            <w:pPr>
              <w:pStyle w:val="Titolo7"/>
              <w:ind w:left="-109" w:firstLine="1"/>
            </w:pPr>
            <w:r>
              <w:t>Imprese</w:t>
            </w:r>
          </w:p>
        </w:tc>
        <w:tc>
          <w:tcPr>
            <w:tcW w:w="401" w:type="pct"/>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Prezzi</w:t>
            </w:r>
          </w:p>
        </w:tc>
        <w:tc>
          <w:tcPr>
            <w:tcW w:w="481" w:type="pct"/>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Prodotti</w:t>
            </w:r>
          </w:p>
        </w:tc>
        <w:tc>
          <w:tcPr>
            <w:tcW w:w="482" w:type="pct"/>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Imprese</w:t>
            </w:r>
          </w:p>
        </w:tc>
        <w:tc>
          <w:tcPr>
            <w:tcW w:w="481" w:type="pct"/>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Prezzi</w:t>
            </w:r>
          </w:p>
        </w:tc>
        <w:tc>
          <w:tcPr>
            <w:tcW w:w="482" w:type="pct"/>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Prodotti</w:t>
            </w:r>
          </w:p>
        </w:tc>
        <w:tc>
          <w:tcPr>
            <w:tcW w:w="481" w:type="pct"/>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Imprese</w:t>
            </w:r>
          </w:p>
        </w:tc>
        <w:tc>
          <w:tcPr>
            <w:tcW w:w="481" w:type="pct"/>
            <w:shd w:val="clear" w:color="auto" w:fill="E6E6E6"/>
            <w:vAlign w:val="center"/>
          </w:tcPr>
          <w:p w:rsidR="00F27D52" w:rsidRDefault="00F27D52" w:rsidP="00F939D6">
            <w:pPr>
              <w:spacing w:before="40" w:after="20"/>
              <w:jc w:val="right"/>
              <w:rPr>
                <w:rFonts w:ascii="Arial Narrow" w:hAnsi="Arial Narrow" w:cs="Arial"/>
                <w:b/>
                <w:sz w:val="18"/>
                <w:szCs w:val="16"/>
              </w:rPr>
            </w:pPr>
            <w:r>
              <w:rPr>
                <w:rFonts w:ascii="Arial Narrow" w:hAnsi="Arial Narrow" w:cs="Arial"/>
                <w:b/>
                <w:sz w:val="18"/>
                <w:szCs w:val="16"/>
              </w:rPr>
              <w:t>Prezzi</w:t>
            </w:r>
          </w:p>
        </w:tc>
      </w:tr>
      <w:tr w:rsidR="00EB5C05" w:rsidTr="00E0727F">
        <w:tc>
          <w:tcPr>
            <w:tcW w:w="827" w:type="pct"/>
            <w:vAlign w:val="center"/>
          </w:tcPr>
          <w:p w:rsidR="00EB5C05" w:rsidRPr="00E0727F" w:rsidRDefault="00EB5C05" w:rsidP="00F939D6">
            <w:pPr>
              <w:spacing w:before="40" w:after="20"/>
              <w:ind w:left="-57"/>
              <w:rPr>
                <w:rFonts w:ascii="Arial Narrow" w:hAnsi="Arial Narrow" w:cs="Arial"/>
                <w:sz w:val="18"/>
                <w:szCs w:val="16"/>
              </w:rPr>
            </w:pPr>
            <w:r w:rsidRPr="00E0727F">
              <w:rPr>
                <w:rFonts w:ascii="Arial Narrow" w:hAnsi="Arial Narrow" w:cs="Arial"/>
                <w:sz w:val="18"/>
                <w:szCs w:val="16"/>
              </w:rPr>
              <w:t>Beni di consumo</w:t>
            </w:r>
          </w:p>
        </w:tc>
        <w:tc>
          <w:tcPr>
            <w:tcW w:w="481" w:type="pct"/>
            <w:gridSpan w:val="2"/>
            <w:shd w:val="clear" w:color="auto" w:fill="E6E6E6"/>
            <w:vAlign w:val="bottom"/>
          </w:tcPr>
          <w:p w:rsidR="00EB5C05" w:rsidRPr="00FA4BB0" w:rsidRDefault="00EB5C05" w:rsidP="001F78E3">
            <w:pPr>
              <w:spacing w:before="40" w:after="20"/>
              <w:jc w:val="right"/>
              <w:rPr>
                <w:rFonts w:ascii="Arial Narrow" w:hAnsi="Arial Narrow" w:cs="Arial"/>
                <w:sz w:val="18"/>
                <w:szCs w:val="16"/>
              </w:rPr>
            </w:pPr>
            <w:r>
              <w:rPr>
                <w:rFonts w:ascii="Arial Narrow" w:hAnsi="Arial Narrow" w:cs="Arial"/>
                <w:sz w:val="18"/>
                <w:szCs w:val="16"/>
              </w:rPr>
              <w:t>269</w:t>
            </w:r>
          </w:p>
        </w:tc>
        <w:tc>
          <w:tcPr>
            <w:tcW w:w="403" w:type="pct"/>
            <w:vAlign w:val="bottom"/>
          </w:tcPr>
          <w:p w:rsidR="00EB5C05" w:rsidRPr="00CD0C7A"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607</w:t>
            </w:r>
          </w:p>
        </w:tc>
        <w:tc>
          <w:tcPr>
            <w:tcW w:w="401" w:type="pct"/>
            <w:shd w:val="clear" w:color="auto" w:fill="E6E6E6"/>
            <w:vAlign w:val="bottom"/>
          </w:tcPr>
          <w:p w:rsidR="00EB5C05" w:rsidRPr="00FA4BB0" w:rsidRDefault="00EB5C05" w:rsidP="001F78E3">
            <w:pPr>
              <w:spacing w:before="40" w:after="20"/>
              <w:jc w:val="right"/>
              <w:rPr>
                <w:rFonts w:ascii="Arial Narrow" w:hAnsi="Arial Narrow" w:cs="Arial"/>
                <w:sz w:val="18"/>
                <w:szCs w:val="16"/>
              </w:rPr>
            </w:pPr>
            <w:r>
              <w:rPr>
                <w:rFonts w:ascii="Arial Narrow" w:hAnsi="Arial Narrow" w:cs="Arial"/>
                <w:sz w:val="18"/>
                <w:szCs w:val="16"/>
              </w:rPr>
              <w:t>1.553</w:t>
            </w:r>
          </w:p>
        </w:tc>
        <w:tc>
          <w:tcPr>
            <w:tcW w:w="481" w:type="pct"/>
            <w:vAlign w:val="bottom"/>
          </w:tcPr>
          <w:p w:rsidR="00EB5C05" w:rsidRPr="00FA4BB0" w:rsidRDefault="00EB5C05" w:rsidP="001F78E3">
            <w:pPr>
              <w:spacing w:before="40" w:after="20"/>
              <w:jc w:val="right"/>
              <w:rPr>
                <w:rFonts w:ascii="Arial Narrow" w:hAnsi="Arial Narrow" w:cs="Arial"/>
                <w:sz w:val="18"/>
                <w:szCs w:val="16"/>
              </w:rPr>
            </w:pPr>
            <w:r>
              <w:rPr>
                <w:rFonts w:ascii="Arial Narrow" w:hAnsi="Arial Narrow" w:cs="Arial"/>
                <w:sz w:val="18"/>
                <w:szCs w:val="16"/>
              </w:rPr>
              <w:t>268</w:t>
            </w:r>
          </w:p>
        </w:tc>
        <w:tc>
          <w:tcPr>
            <w:tcW w:w="482" w:type="pct"/>
            <w:shd w:val="clear" w:color="auto" w:fill="E6E6E6"/>
            <w:vAlign w:val="bottom"/>
          </w:tcPr>
          <w:p w:rsidR="00EB5C05" w:rsidRPr="00CD0C7A"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620</w:t>
            </w:r>
          </w:p>
        </w:tc>
        <w:tc>
          <w:tcPr>
            <w:tcW w:w="481" w:type="pct"/>
            <w:vAlign w:val="bottom"/>
          </w:tcPr>
          <w:p w:rsidR="00EB5C05" w:rsidRPr="00FA4BB0" w:rsidRDefault="00EB5C05" w:rsidP="001F78E3">
            <w:pPr>
              <w:spacing w:before="40" w:after="20"/>
              <w:jc w:val="right"/>
              <w:rPr>
                <w:rFonts w:ascii="Arial Narrow" w:hAnsi="Arial Narrow" w:cs="Arial"/>
                <w:sz w:val="18"/>
                <w:szCs w:val="16"/>
              </w:rPr>
            </w:pPr>
            <w:r>
              <w:rPr>
                <w:rFonts w:ascii="Arial Narrow" w:hAnsi="Arial Narrow" w:cs="Arial"/>
                <w:sz w:val="18"/>
                <w:szCs w:val="16"/>
              </w:rPr>
              <w:t>1.538</w:t>
            </w:r>
          </w:p>
        </w:tc>
        <w:tc>
          <w:tcPr>
            <w:tcW w:w="482" w:type="pct"/>
            <w:shd w:val="clear" w:color="auto" w:fill="E6E6E6"/>
            <w:vAlign w:val="center"/>
          </w:tcPr>
          <w:p w:rsidR="00EB5C05" w:rsidRPr="00826681" w:rsidRDefault="00EB5C05" w:rsidP="001F78E3">
            <w:pPr>
              <w:spacing w:before="40" w:after="20"/>
              <w:jc w:val="right"/>
              <w:rPr>
                <w:rFonts w:ascii="Arial Narrow" w:hAnsi="Arial Narrow" w:cs="Arial"/>
                <w:sz w:val="18"/>
                <w:szCs w:val="16"/>
              </w:rPr>
            </w:pPr>
            <w:r w:rsidRPr="00826681">
              <w:rPr>
                <w:rFonts w:ascii="Arial Narrow" w:hAnsi="Arial Narrow" w:cs="Arial"/>
                <w:sz w:val="18"/>
                <w:szCs w:val="16"/>
              </w:rPr>
              <w:t>-0</w:t>
            </w:r>
            <w:r w:rsidR="001643E0">
              <w:rPr>
                <w:rFonts w:ascii="Arial Narrow" w:hAnsi="Arial Narrow" w:cs="Arial"/>
                <w:sz w:val="18"/>
                <w:szCs w:val="16"/>
              </w:rPr>
              <w:t>,</w:t>
            </w:r>
            <w:r>
              <w:rPr>
                <w:rFonts w:ascii="Arial Narrow" w:hAnsi="Arial Narrow" w:cs="Arial"/>
                <w:sz w:val="18"/>
                <w:szCs w:val="16"/>
              </w:rPr>
              <w:t>4</w:t>
            </w:r>
          </w:p>
        </w:tc>
        <w:tc>
          <w:tcPr>
            <w:tcW w:w="481" w:type="pct"/>
            <w:vAlign w:val="center"/>
          </w:tcPr>
          <w:p w:rsidR="00EB5C05" w:rsidRPr="00826681" w:rsidRDefault="000B1CF0" w:rsidP="001F78E3">
            <w:pPr>
              <w:spacing w:before="40" w:after="20"/>
              <w:jc w:val="right"/>
              <w:rPr>
                <w:rFonts w:ascii="Arial Narrow" w:hAnsi="Arial Narrow" w:cs="Arial"/>
                <w:sz w:val="18"/>
                <w:szCs w:val="16"/>
              </w:rPr>
            </w:pPr>
            <w:r>
              <w:rPr>
                <w:rFonts w:ascii="Arial Narrow" w:hAnsi="Arial Narrow" w:cs="Arial"/>
                <w:sz w:val="18"/>
                <w:szCs w:val="16"/>
              </w:rPr>
              <w:t>+</w:t>
            </w:r>
            <w:r w:rsidR="00EB5C05" w:rsidRPr="00826681">
              <w:rPr>
                <w:rFonts w:ascii="Arial Narrow" w:hAnsi="Arial Narrow" w:cs="Arial"/>
                <w:sz w:val="18"/>
                <w:szCs w:val="16"/>
              </w:rPr>
              <w:t>2</w:t>
            </w:r>
            <w:r w:rsidR="001643E0">
              <w:rPr>
                <w:rFonts w:ascii="Arial Narrow" w:hAnsi="Arial Narrow" w:cs="Arial"/>
                <w:sz w:val="18"/>
                <w:szCs w:val="16"/>
              </w:rPr>
              <w:t>,</w:t>
            </w:r>
            <w:r w:rsidR="00EB5C05" w:rsidRPr="00826681">
              <w:rPr>
                <w:rFonts w:ascii="Arial Narrow" w:hAnsi="Arial Narrow" w:cs="Arial"/>
                <w:sz w:val="18"/>
                <w:szCs w:val="16"/>
              </w:rPr>
              <w:t>1</w:t>
            </w:r>
          </w:p>
        </w:tc>
        <w:tc>
          <w:tcPr>
            <w:tcW w:w="481" w:type="pct"/>
            <w:shd w:val="clear" w:color="auto" w:fill="E6E6E6"/>
            <w:vAlign w:val="center"/>
          </w:tcPr>
          <w:p w:rsidR="00EB5C05" w:rsidRPr="00826681" w:rsidRDefault="00EB5C05" w:rsidP="001F78E3">
            <w:pPr>
              <w:spacing w:before="40" w:after="20"/>
              <w:jc w:val="right"/>
              <w:rPr>
                <w:rFonts w:ascii="Arial Narrow" w:hAnsi="Arial Narrow" w:cs="Arial"/>
                <w:sz w:val="18"/>
                <w:szCs w:val="16"/>
              </w:rPr>
            </w:pPr>
            <w:r w:rsidRPr="00826681">
              <w:rPr>
                <w:rFonts w:ascii="Arial Narrow" w:hAnsi="Arial Narrow" w:cs="Arial"/>
                <w:sz w:val="18"/>
                <w:szCs w:val="16"/>
              </w:rPr>
              <w:t>-1</w:t>
            </w:r>
            <w:r w:rsidR="001643E0">
              <w:rPr>
                <w:rFonts w:ascii="Arial Narrow" w:hAnsi="Arial Narrow" w:cs="Arial"/>
                <w:sz w:val="18"/>
                <w:szCs w:val="16"/>
              </w:rPr>
              <w:t>,</w:t>
            </w:r>
            <w:r w:rsidRPr="00826681">
              <w:rPr>
                <w:rFonts w:ascii="Arial Narrow" w:hAnsi="Arial Narrow" w:cs="Arial"/>
                <w:sz w:val="18"/>
                <w:szCs w:val="16"/>
              </w:rPr>
              <w:t>0</w:t>
            </w:r>
          </w:p>
        </w:tc>
      </w:tr>
      <w:tr w:rsidR="00EB5C05" w:rsidTr="00E0727F">
        <w:tc>
          <w:tcPr>
            <w:tcW w:w="827" w:type="pct"/>
            <w:vAlign w:val="center"/>
          </w:tcPr>
          <w:p w:rsidR="00EB5C05" w:rsidRPr="0049282A" w:rsidRDefault="00EB5C05" w:rsidP="00E0727F">
            <w:pPr>
              <w:spacing w:before="40" w:after="20"/>
              <w:ind w:left="-57"/>
              <w:rPr>
                <w:rFonts w:ascii="Arial Narrow" w:hAnsi="Arial Narrow" w:cs="Arial"/>
                <w:i/>
                <w:sz w:val="18"/>
                <w:szCs w:val="16"/>
              </w:rPr>
            </w:pPr>
            <w:r w:rsidRPr="0049282A">
              <w:rPr>
                <w:rFonts w:ascii="Arial Narrow" w:hAnsi="Arial Narrow" w:cs="Arial"/>
                <w:i/>
                <w:sz w:val="18"/>
                <w:szCs w:val="16"/>
              </w:rPr>
              <w:t xml:space="preserve">  durevoli</w:t>
            </w:r>
          </w:p>
        </w:tc>
        <w:tc>
          <w:tcPr>
            <w:tcW w:w="481" w:type="pct"/>
            <w:gridSpan w:val="2"/>
            <w:shd w:val="clear" w:color="auto" w:fill="E6E6E6"/>
            <w:vAlign w:val="center"/>
          </w:tcPr>
          <w:p w:rsidR="00EB5C05" w:rsidRPr="000B1CF0" w:rsidRDefault="00EB5C05" w:rsidP="001F78E3">
            <w:pPr>
              <w:spacing w:before="40" w:after="20"/>
              <w:jc w:val="right"/>
              <w:rPr>
                <w:rFonts w:ascii="Arial Narrow" w:hAnsi="Arial Narrow" w:cs="Arial"/>
                <w:sz w:val="18"/>
                <w:szCs w:val="16"/>
              </w:rPr>
            </w:pPr>
            <w:r w:rsidRPr="000B1CF0">
              <w:rPr>
                <w:rFonts w:ascii="Arial Narrow" w:hAnsi="Arial Narrow" w:cs="Arial"/>
                <w:sz w:val="18"/>
                <w:szCs w:val="16"/>
              </w:rPr>
              <w:t>56</w:t>
            </w:r>
          </w:p>
        </w:tc>
        <w:tc>
          <w:tcPr>
            <w:tcW w:w="403" w:type="pct"/>
            <w:vAlign w:val="center"/>
          </w:tcPr>
          <w:p w:rsidR="00EB5C05" w:rsidRPr="000B1CF0" w:rsidRDefault="00EB5C05" w:rsidP="001F78E3">
            <w:pPr>
              <w:spacing w:before="40" w:after="20"/>
              <w:jc w:val="right"/>
              <w:rPr>
                <w:rFonts w:ascii="Arial Narrow" w:hAnsi="Arial Narrow" w:cs="Arial"/>
                <w:bCs/>
                <w:i/>
                <w:sz w:val="18"/>
                <w:szCs w:val="16"/>
              </w:rPr>
            </w:pPr>
            <w:r w:rsidRPr="000B1CF0">
              <w:rPr>
                <w:rFonts w:ascii="Arial Narrow" w:hAnsi="Arial Narrow" w:cs="Arial"/>
                <w:bCs/>
                <w:i/>
                <w:sz w:val="18"/>
                <w:szCs w:val="16"/>
              </w:rPr>
              <w:t>151</w:t>
            </w:r>
          </w:p>
        </w:tc>
        <w:tc>
          <w:tcPr>
            <w:tcW w:w="401" w:type="pct"/>
            <w:shd w:val="clear" w:color="auto" w:fill="E6E6E6"/>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422</w:t>
            </w:r>
          </w:p>
        </w:tc>
        <w:tc>
          <w:tcPr>
            <w:tcW w:w="481" w:type="pct"/>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55</w:t>
            </w:r>
          </w:p>
        </w:tc>
        <w:tc>
          <w:tcPr>
            <w:tcW w:w="482" w:type="pct"/>
            <w:shd w:val="clear" w:color="auto" w:fill="E6E6E6"/>
            <w:vAlign w:val="center"/>
          </w:tcPr>
          <w:p w:rsidR="00EB5C05" w:rsidRPr="000B1CF0" w:rsidRDefault="00EB5C05" w:rsidP="001F78E3">
            <w:pPr>
              <w:spacing w:before="40" w:after="20"/>
              <w:jc w:val="right"/>
              <w:rPr>
                <w:rFonts w:ascii="Arial Narrow" w:hAnsi="Arial Narrow" w:cs="Arial"/>
                <w:bCs/>
                <w:i/>
                <w:sz w:val="18"/>
                <w:szCs w:val="16"/>
              </w:rPr>
            </w:pPr>
            <w:r w:rsidRPr="000B1CF0">
              <w:rPr>
                <w:rFonts w:ascii="Arial Narrow" w:hAnsi="Arial Narrow" w:cs="Arial"/>
                <w:bCs/>
                <w:i/>
                <w:sz w:val="18"/>
                <w:szCs w:val="16"/>
              </w:rPr>
              <w:t>154</w:t>
            </w:r>
          </w:p>
        </w:tc>
        <w:tc>
          <w:tcPr>
            <w:tcW w:w="481" w:type="pct"/>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421</w:t>
            </w:r>
          </w:p>
        </w:tc>
        <w:tc>
          <w:tcPr>
            <w:tcW w:w="482" w:type="pct"/>
            <w:shd w:val="clear" w:color="auto" w:fill="E6E6E6"/>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-1</w:t>
            </w:r>
            <w:r w:rsidR="001643E0">
              <w:rPr>
                <w:rFonts w:ascii="Arial Narrow" w:hAnsi="Arial Narrow" w:cs="Arial"/>
                <w:i/>
                <w:sz w:val="18"/>
                <w:szCs w:val="16"/>
              </w:rPr>
              <w:t>,</w:t>
            </w:r>
            <w:r w:rsidRPr="000B1CF0">
              <w:rPr>
                <w:rFonts w:ascii="Arial Narrow" w:hAnsi="Arial Narrow" w:cs="Arial"/>
                <w:i/>
                <w:sz w:val="18"/>
                <w:szCs w:val="16"/>
              </w:rPr>
              <w:t>8</w:t>
            </w:r>
          </w:p>
        </w:tc>
        <w:tc>
          <w:tcPr>
            <w:tcW w:w="481" w:type="pct"/>
            <w:vAlign w:val="center"/>
          </w:tcPr>
          <w:p w:rsidR="00EB5C05" w:rsidRPr="000B1CF0" w:rsidRDefault="000B1CF0" w:rsidP="001F78E3">
            <w:pPr>
              <w:spacing w:before="40" w:after="20"/>
              <w:jc w:val="right"/>
              <w:rPr>
                <w:rFonts w:ascii="Arial Narrow" w:hAnsi="Arial Narrow" w:cs="Arial"/>
                <w:i/>
                <w:sz w:val="18"/>
                <w:szCs w:val="16"/>
              </w:rPr>
            </w:pPr>
            <w:r>
              <w:rPr>
                <w:rFonts w:ascii="Arial Narrow" w:hAnsi="Arial Narrow" w:cs="Arial"/>
                <w:i/>
                <w:sz w:val="18"/>
                <w:szCs w:val="16"/>
              </w:rPr>
              <w:t>+</w:t>
            </w:r>
            <w:r w:rsidR="00EB5C05" w:rsidRPr="000B1CF0">
              <w:rPr>
                <w:rFonts w:ascii="Arial Narrow" w:hAnsi="Arial Narrow" w:cs="Arial"/>
                <w:i/>
                <w:sz w:val="18"/>
                <w:szCs w:val="16"/>
              </w:rPr>
              <w:t>2</w:t>
            </w:r>
            <w:r w:rsidR="001643E0">
              <w:rPr>
                <w:rFonts w:ascii="Arial Narrow" w:hAnsi="Arial Narrow" w:cs="Arial"/>
                <w:i/>
                <w:sz w:val="18"/>
                <w:szCs w:val="16"/>
              </w:rPr>
              <w:t>,</w:t>
            </w:r>
            <w:r w:rsidR="00EB5C05" w:rsidRPr="000B1CF0">
              <w:rPr>
                <w:rFonts w:ascii="Arial Narrow" w:hAnsi="Arial Narrow" w:cs="Arial"/>
                <w:i/>
                <w:sz w:val="18"/>
                <w:szCs w:val="16"/>
              </w:rPr>
              <w:t>0</w:t>
            </w:r>
          </w:p>
        </w:tc>
        <w:tc>
          <w:tcPr>
            <w:tcW w:w="481" w:type="pct"/>
            <w:shd w:val="clear" w:color="auto" w:fill="E6E6E6"/>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-0</w:t>
            </w:r>
            <w:r w:rsidR="001643E0">
              <w:rPr>
                <w:rFonts w:ascii="Arial Narrow" w:hAnsi="Arial Narrow" w:cs="Arial"/>
                <w:i/>
                <w:sz w:val="18"/>
                <w:szCs w:val="16"/>
              </w:rPr>
              <w:t>,</w:t>
            </w:r>
            <w:r w:rsidRPr="000B1CF0">
              <w:rPr>
                <w:rFonts w:ascii="Arial Narrow" w:hAnsi="Arial Narrow" w:cs="Arial"/>
                <w:i/>
                <w:sz w:val="18"/>
                <w:szCs w:val="16"/>
              </w:rPr>
              <w:t>2</w:t>
            </w:r>
          </w:p>
        </w:tc>
      </w:tr>
      <w:tr w:rsidR="00EB5C05" w:rsidTr="00E0727F">
        <w:tc>
          <w:tcPr>
            <w:tcW w:w="827" w:type="pct"/>
            <w:vAlign w:val="center"/>
          </w:tcPr>
          <w:p w:rsidR="00EB5C05" w:rsidRPr="0049282A" w:rsidRDefault="00EB5C05" w:rsidP="00E0727F">
            <w:pPr>
              <w:spacing w:before="40" w:after="20"/>
              <w:ind w:left="-57"/>
              <w:rPr>
                <w:rFonts w:ascii="Arial Narrow" w:hAnsi="Arial Narrow" w:cs="Arial"/>
                <w:i/>
                <w:sz w:val="18"/>
                <w:szCs w:val="16"/>
              </w:rPr>
            </w:pPr>
            <w:r w:rsidRPr="0049282A">
              <w:rPr>
                <w:rFonts w:ascii="Arial Narrow" w:hAnsi="Arial Narrow" w:cs="Arial"/>
                <w:i/>
                <w:sz w:val="18"/>
                <w:szCs w:val="16"/>
              </w:rPr>
              <w:t xml:space="preserve">  non durevoli</w:t>
            </w:r>
          </w:p>
        </w:tc>
        <w:tc>
          <w:tcPr>
            <w:tcW w:w="481" w:type="pct"/>
            <w:gridSpan w:val="2"/>
            <w:shd w:val="clear" w:color="auto" w:fill="E6E6E6"/>
            <w:vAlign w:val="center"/>
          </w:tcPr>
          <w:p w:rsidR="00EB5C05" w:rsidRPr="000B1CF0" w:rsidRDefault="00EB5C05" w:rsidP="001F78E3">
            <w:pPr>
              <w:spacing w:before="40" w:after="20"/>
              <w:jc w:val="right"/>
              <w:rPr>
                <w:rFonts w:ascii="Arial Narrow" w:hAnsi="Arial Narrow" w:cs="Arial"/>
                <w:sz w:val="18"/>
                <w:szCs w:val="16"/>
              </w:rPr>
            </w:pPr>
            <w:r w:rsidRPr="000B1CF0">
              <w:rPr>
                <w:rFonts w:ascii="Arial Narrow" w:hAnsi="Arial Narrow" w:cs="Arial"/>
                <w:sz w:val="18"/>
                <w:szCs w:val="16"/>
              </w:rPr>
              <w:t>213</w:t>
            </w:r>
          </w:p>
        </w:tc>
        <w:tc>
          <w:tcPr>
            <w:tcW w:w="403" w:type="pct"/>
            <w:vAlign w:val="center"/>
          </w:tcPr>
          <w:p w:rsidR="00EB5C05" w:rsidRPr="000B1CF0" w:rsidRDefault="00EB5C05" w:rsidP="001F78E3">
            <w:pPr>
              <w:spacing w:before="40" w:after="20"/>
              <w:jc w:val="right"/>
              <w:rPr>
                <w:rFonts w:ascii="Arial Narrow" w:hAnsi="Arial Narrow" w:cs="Arial"/>
                <w:bCs/>
                <w:i/>
                <w:sz w:val="18"/>
                <w:szCs w:val="16"/>
              </w:rPr>
            </w:pPr>
            <w:r w:rsidRPr="000B1CF0">
              <w:rPr>
                <w:rFonts w:ascii="Arial Narrow" w:hAnsi="Arial Narrow" w:cs="Arial"/>
                <w:bCs/>
                <w:i/>
                <w:sz w:val="18"/>
                <w:szCs w:val="16"/>
              </w:rPr>
              <w:t>457</w:t>
            </w:r>
          </w:p>
        </w:tc>
        <w:tc>
          <w:tcPr>
            <w:tcW w:w="401" w:type="pct"/>
            <w:shd w:val="clear" w:color="auto" w:fill="E6E6E6"/>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1.131</w:t>
            </w:r>
          </w:p>
        </w:tc>
        <w:tc>
          <w:tcPr>
            <w:tcW w:w="481" w:type="pct"/>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213</w:t>
            </w:r>
          </w:p>
        </w:tc>
        <w:tc>
          <w:tcPr>
            <w:tcW w:w="482" w:type="pct"/>
            <w:shd w:val="clear" w:color="auto" w:fill="E6E6E6"/>
            <w:vAlign w:val="center"/>
          </w:tcPr>
          <w:p w:rsidR="00EB5C05" w:rsidRPr="000B1CF0" w:rsidRDefault="00EB5C05" w:rsidP="001F78E3">
            <w:pPr>
              <w:spacing w:before="40" w:after="20"/>
              <w:jc w:val="right"/>
              <w:rPr>
                <w:rFonts w:ascii="Arial Narrow" w:hAnsi="Arial Narrow" w:cs="Arial"/>
                <w:bCs/>
                <w:i/>
                <w:sz w:val="18"/>
                <w:szCs w:val="16"/>
              </w:rPr>
            </w:pPr>
            <w:r w:rsidRPr="000B1CF0">
              <w:rPr>
                <w:rFonts w:ascii="Arial Narrow" w:hAnsi="Arial Narrow" w:cs="Arial"/>
                <w:bCs/>
                <w:i/>
                <w:sz w:val="18"/>
                <w:szCs w:val="16"/>
              </w:rPr>
              <w:t>467</w:t>
            </w:r>
          </w:p>
        </w:tc>
        <w:tc>
          <w:tcPr>
            <w:tcW w:w="481" w:type="pct"/>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1.117</w:t>
            </w:r>
          </w:p>
        </w:tc>
        <w:tc>
          <w:tcPr>
            <w:tcW w:w="482" w:type="pct"/>
            <w:shd w:val="clear" w:color="auto" w:fill="E6E6E6"/>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0</w:t>
            </w:r>
            <w:r w:rsidR="001643E0">
              <w:rPr>
                <w:rFonts w:ascii="Arial Narrow" w:hAnsi="Arial Narrow" w:cs="Arial"/>
                <w:i/>
                <w:sz w:val="18"/>
                <w:szCs w:val="16"/>
              </w:rPr>
              <w:t>,</w:t>
            </w:r>
            <w:r w:rsidRPr="000B1CF0">
              <w:rPr>
                <w:rFonts w:ascii="Arial Narrow" w:hAnsi="Arial Narrow" w:cs="Arial"/>
                <w:i/>
                <w:sz w:val="18"/>
                <w:szCs w:val="16"/>
              </w:rPr>
              <w:t>0</w:t>
            </w:r>
          </w:p>
        </w:tc>
        <w:tc>
          <w:tcPr>
            <w:tcW w:w="481" w:type="pct"/>
            <w:vAlign w:val="center"/>
          </w:tcPr>
          <w:p w:rsidR="00EB5C05" w:rsidRPr="000B1CF0" w:rsidRDefault="000B1CF0" w:rsidP="001F78E3">
            <w:pPr>
              <w:spacing w:before="40" w:after="20"/>
              <w:jc w:val="right"/>
              <w:rPr>
                <w:rFonts w:ascii="Arial Narrow" w:hAnsi="Arial Narrow" w:cs="Arial"/>
                <w:i/>
                <w:sz w:val="18"/>
                <w:szCs w:val="16"/>
              </w:rPr>
            </w:pPr>
            <w:r>
              <w:rPr>
                <w:rFonts w:ascii="Arial Narrow" w:hAnsi="Arial Narrow" w:cs="Arial"/>
                <w:i/>
                <w:sz w:val="18"/>
                <w:szCs w:val="16"/>
              </w:rPr>
              <w:t>+</w:t>
            </w:r>
            <w:r w:rsidR="00EB5C05" w:rsidRPr="000B1CF0">
              <w:rPr>
                <w:rFonts w:ascii="Arial Narrow" w:hAnsi="Arial Narrow" w:cs="Arial"/>
                <w:i/>
                <w:sz w:val="18"/>
                <w:szCs w:val="16"/>
              </w:rPr>
              <w:t>2</w:t>
            </w:r>
            <w:r w:rsidR="001643E0">
              <w:rPr>
                <w:rFonts w:ascii="Arial Narrow" w:hAnsi="Arial Narrow" w:cs="Arial"/>
                <w:i/>
                <w:sz w:val="18"/>
                <w:szCs w:val="16"/>
              </w:rPr>
              <w:t>,</w:t>
            </w:r>
            <w:r w:rsidR="00EB5C05" w:rsidRPr="000B1CF0">
              <w:rPr>
                <w:rFonts w:ascii="Arial Narrow" w:hAnsi="Arial Narrow" w:cs="Arial"/>
                <w:i/>
                <w:sz w:val="18"/>
                <w:szCs w:val="16"/>
              </w:rPr>
              <w:t>2</w:t>
            </w:r>
          </w:p>
        </w:tc>
        <w:tc>
          <w:tcPr>
            <w:tcW w:w="481" w:type="pct"/>
            <w:shd w:val="clear" w:color="auto" w:fill="E6E6E6"/>
            <w:vAlign w:val="center"/>
          </w:tcPr>
          <w:p w:rsidR="00EB5C05" w:rsidRPr="000B1CF0" w:rsidRDefault="00EB5C05" w:rsidP="001F78E3">
            <w:pPr>
              <w:spacing w:before="40" w:after="20"/>
              <w:jc w:val="right"/>
              <w:rPr>
                <w:rFonts w:ascii="Arial Narrow" w:hAnsi="Arial Narrow" w:cs="Arial"/>
                <w:i/>
                <w:sz w:val="18"/>
                <w:szCs w:val="16"/>
              </w:rPr>
            </w:pPr>
            <w:r w:rsidRPr="000B1CF0">
              <w:rPr>
                <w:rFonts w:ascii="Arial Narrow" w:hAnsi="Arial Narrow" w:cs="Arial"/>
                <w:i/>
                <w:sz w:val="18"/>
                <w:szCs w:val="16"/>
              </w:rPr>
              <w:t>-1</w:t>
            </w:r>
            <w:r w:rsidR="001643E0">
              <w:rPr>
                <w:rFonts w:ascii="Arial Narrow" w:hAnsi="Arial Narrow" w:cs="Arial"/>
                <w:i/>
                <w:sz w:val="18"/>
                <w:szCs w:val="16"/>
              </w:rPr>
              <w:t>,</w:t>
            </w:r>
            <w:r w:rsidRPr="000B1CF0">
              <w:rPr>
                <w:rFonts w:ascii="Arial Narrow" w:hAnsi="Arial Narrow" w:cs="Arial"/>
                <w:i/>
                <w:sz w:val="18"/>
                <w:szCs w:val="16"/>
              </w:rPr>
              <w:t>2</w:t>
            </w:r>
          </w:p>
        </w:tc>
      </w:tr>
      <w:tr w:rsidR="00EB5C05" w:rsidTr="00E0727F">
        <w:tc>
          <w:tcPr>
            <w:tcW w:w="827" w:type="pct"/>
            <w:vAlign w:val="center"/>
          </w:tcPr>
          <w:p w:rsidR="00EB5C05" w:rsidRPr="00E0727F" w:rsidRDefault="00EB5C05" w:rsidP="00F939D6">
            <w:pPr>
              <w:spacing w:before="40" w:after="20"/>
              <w:ind w:left="-57"/>
              <w:rPr>
                <w:rFonts w:ascii="Arial Narrow" w:hAnsi="Arial Narrow" w:cs="Arial"/>
                <w:sz w:val="18"/>
                <w:szCs w:val="16"/>
              </w:rPr>
            </w:pPr>
            <w:r w:rsidRPr="00E0727F">
              <w:rPr>
                <w:rFonts w:ascii="Arial Narrow" w:hAnsi="Arial Narrow" w:cs="Arial"/>
                <w:sz w:val="18"/>
                <w:szCs w:val="16"/>
              </w:rPr>
              <w:t>Beni strumentali</w:t>
            </w:r>
          </w:p>
        </w:tc>
        <w:tc>
          <w:tcPr>
            <w:tcW w:w="481" w:type="pct"/>
            <w:gridSpan w:val="2"/>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209</w:t>
            </w:r>
          </w:p>
        </w:tc>
        <w:tc>
          <w:tcPr>
            <w:tcW w:w="403"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381</w:t>
            </w:r>
          </w:p>
        </w:tc>
        <w:tc>
          <w:tcPr>
            <w:tcW w:w="401" w:type="pct"/>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1.062</w:t>
            </w:r>
          </w:p>
        </w:tc>
        <w:tc>
          <w:tcPr>
            <w:tcW w:w="481" w:type="pct"/>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208</w:t>
            </w:r>
          </w:p>
        </w:tc>
        <w:tc>
          <w:tcPr>
            <w:tcW w:w="482"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385</w:t>
            </w:r>
          </w:p>
        </w:tc>
        <w:tc>
          <w:tcPr>
            <w:tcW w:w="481" w:type="pct"/>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1.071</w:t>
            </w:r>
          </w:p>
        </w:tc>
        <w:tc>
          <w:tcPr>
            <w:tcW w:w="482" w:type="pct"/>
            <w:shd w:val="clear" w:color="auto" w:fill="E6E6E6"/>
            <w:vAlign w:val="center"/>
          </w:tcPr>
          <w:p w:rsidR="00EB5C05" w:rsidRPr="00826681" w:rsidRDefault="00EB5C05" w:rsidP="001F78E3">
            <w:pPr>
              <w:spacing w:before="40" w:after="20"/>
              <w:jc w:val="right"/>
              <w:rPr>
                <w:rFonts w:ascii="Arial Narrow" w:hAnsi="Arial Narrow" w:cs="Arial"/>
                <w:sz w:val="18"/>
                <w:szCs w:val="16"/>
              </w:rPr>
            </w:pPr>
            <w:r w:rsidRPr="00826681">
              <w:rPr>
                <w:rFonts w:ascii="Arial Narrow" w:hAnsi="Arial Narrow" w:cs="Arial"/>
                <w:sz w:val="18"/>
                <w:szCs w:val="16"/>
              </w:rPr>
              <w:t>-0</w:t>
            </w:r>
            <w:r w:rsidR="001643E0">
              <w:rPr>
                <w:rFonts w:ascii="Arial Narrow" w:hAnsi="Arial Narrow" w:cs="Arial"/>
                <w:sz w:val="18"/>
                <w:szCs w:val="16"/>
              </w:rPr>
              <w:t>,</w:t>
            </w:r>
            <w:r w:rsidRPr="00826681">
              <w:rPr>
                <w:rFonts w:ascii="Arial Narrow" w:hAnsi="Arial Narrow" w:cs="Arial"/>
                <w:sz w:val="18"/>
                <w:szCs w:val="16"/>
              </w:rPr>
              <w:t>5</w:t>
            </w:r>
          </w:p>
        </w:tc>
        <w:tc>
          <w:tcPr>
            <w:tcW w:w="481" w:type="pct"/>
            <w:vAlign w:val="center"/>
          </w:tcPr>
          <w:p w:rsidR="00EB5C05" w:rsidRPr="00826681" w:rsidRDefault="000B1CF0" w:rsidP="001F78E3">
            <w:pPr>
              <w:spacing w:before="40" w:after="20"/>
              <w:jc w:val="right"/>
              <w:rPr>
                <w:rFonts w:ascii="Arial Narrow" w:hAnsi="Arial Narrow" w:cs="Arial"/>
                <w:sz w:val="18"/>
                <w:szCs w:val="16"/>
              </w:rPr>
            </w:pPr>
            <w:r>
              <w:rPr>
                <w:rFonts w:ascii="Arial Narrow" w:hAnsi="Arial Narrow" w:cs="Arial"/>
                <w:sz w:val="18"/>
                <w:szCs w:val="16"/>
              </w:rPr>
              <w:t>+</w:t>
            </w:r>
            <w:r w:rsidR="00EB5C05" w:rsidRPr="00826681">
              <w:rPr>
                <w:rFonts w:ascii="Arial Narrow" w:hAnsi="Arial Narrow" w:cs="Arial"/>
                <w:sz w:val="18"/>
                <w:szCs w:val="16"/>
              </w:rPr>
              <w:t>1</w:t>
            </w:r>
            <w:r w:rsidR="001643E0">
              <w:rPr>
                <w:rFonts w:ascii="Arial Narrow" w:hAnsi="Arial Narrow" w:cs="Arial"/>
                <w:sz w:val="18"/>
                <w:szCs w:val="16"/>
              </w:rPr>
              <w:t>,</w:t>
            </w:r>
            <w:r w:rsidR="00EB5C05" w:rsidRPr="00826681">
              <w:rPr>
                <w:rFonts w:ascii="Arial Narrow" w:hAnsi="Arial Narrow" w:cs="Arial"/>
                <w:sz w:val="18"/>
                <w:szCs w:val="16"/>
              </w:rPr>
              <w:t>0</w:t>
            </w:r>
          </w:p>
        </w:tc>
        <w:tc>
          <w:tcPr>
            <w:tcW w:w="481" w:type="pct"/>
            <w:shd w:val="clear" w:color="auto" w:fill="E6E6E6"/>
            <w:vAlign w:val="center"/>
          </w:tcPr>
          <w:p w:rsidR="00EB5C05" w:rsidRPr="00826681" w:rsidRDefault="000B1CF0" w:rsidP="001F78E3">
            <w:pPr>
              <w:spacing w:before="40" w:after="20"/>
              <w:jc w:val="right"/>
              <w:rPr>
                <w:rFonts w:ascii="Arial Narrow" w:hAnsi="Arial Narrow" w:cs="Arial"/>
                <w:sz w:val="18"/>
                <w:szCs w:val="16"/>
              </w:rPr>
            </w:pPr>
            <w:r>
              <w:rPr>
                <w:rFonts w:ascii="Arial Narrow" w:hAnsi="Arial Narrow" w:cs="Arial"/>
                <w:sz w:val="18"/>
                <w:szCs w:val="16"/>
              </w:rPr>
              <w:t>+</w:t>
            </w:r>
            <w:r w:rsidR="00EB5C05" w:rsidRPr="00826681">
              <w:rPr>
                <w:rFonts w:ascii="Arial Narrow" w:hAnsi="Arial Narrow" w:cs="Arial"/>
                <w:sz w:val="18"/>
                <w:szCs w:val="16"/>
              </w:rPr>
              <w:t>0</w:t>
            </w:r>
            <w:r w:rsidR="001643E0">
              <w:rPr>
                <w:rFonts w:ascii="Arial Narrow" w:hAnsi="Arial Narrow" w:cs="Arial"/>
                <w:sz w:val="18"/>
                <w:szCs w:val="16"/>
              </w:rPr>
              <w:t>,</w:t>
            </w:r>
            <w:r w:rsidR="00EB5C05" w:rsidRPr="00826681">
              <w:rPr>
                <w:rFonts w:ascii="Arial Narrow" w:hAnsi="Arial Narrow" w:cs="Arial"/>
                <w:sz w:val="18"/>
                <w:szCs w:val="16"/>
              </w:rPr>
              <w:t>8</w:t>
            </w:r>
          </w:p>
        </w:tc>
      </w:tr>
      <w:tr w:rsidR="00EB5C05" w:rsidTr="00E0727F">
        <w:tc>
          <w:tcPr>
            <w:tcW w:w="827" w:type="pct"/>
            <w:vAlign w:val="center"/>
          </w:tcPr>
          <w:p w:rsidR="00EB5C05" w:rsidRPr="00E0727F" w:rsidRDefault="00EB5C05" w:rsidP="00F939D6">
            <w:pPr>
              <w:spacing w:before="40" w:after="20"/>
              <w:ind w:left="-57"/>
              <w:rPr>
                <w:rFonts w:ascii="Arial Narrow" w:hAnsi="Arial Narrow" w:cs="Arial"/>
                <w:sz w:val="18"/>
                <w:szCs w:val="16"/>
              </w:rPr>
            </w:pPr>
            <w:r w:rsidRPr="00E0727F">
              <w:rPr>
                <w:rFonts w:ascii="Arial Narrow" w:hAnsi="Arial Narrow" w:cs="Arial"/>
                <w:sz w:val="18"/>
                <w:szCs w:val="16"/>
              </w:rPr>
              <w:t>Beni intermedi</w:t>
            </w:r>
          </w:p>
        </w:tc>
        <w:tc>
          <w:tcPr>
            <w:tcW w:w="481" w:type="pct"/>
            <w:gridSpan w:val="2"/>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380</w:t>
            </w:r>
          </w:p>
        </w:tc>
        <w:tc>
          <w:tcPr>
            <w:tcW w:w="403"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698</w:t>
            </w:r>
          </w:p>
        </w:tc>
        <w:tc>
          <w:tcPr>
            <w:tcW w:w="401" w:type="pct"/>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1.731</w:t>
            </w:r>
          </w:p>
        </w:tc>
        <w:tc>
          <w:tcPr>
            <w:tcW w:w="481" w:type="pct"/>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382</w:t>
            </w:r>
          </w:p>
        </w:tc>
        <w:tc>
          <w:tcPr>
            <w:tcW w:w="482"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735</w:t>
            </w:r>
          </w:p>
        </w:tc>
        <w:tc>
          <w:tcPr>
            <w:tcW w:w="481" w:type="pct"/>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1.774</w:t>
            </w:r>
          </w:p>
        </w:tc>
        <w:tc>
          <w:tcPr>
            <w:tcW w:w="482" w:type="pct"/>
            <w:shd w:val="clear" w:color="auto" w:fill="E6E6E6"/>
            <w:vAlign w:val="center"/>
          </w:tcPr>
          <w:p w:rsidR="00EB5C05" w:rsidRPr="00826681" w:rsidRDefault="000B1CF0" w:rsidP="000B1CF0">
            <w:pPr>
              <w:spacing w:before="40" w:after="20"/>
              <w:jc w:val="right"/>
              <w:rPr>
                <w:rFonts w:ascii="Arial Narrow" w:hAnsi="Arial Narrow" w:cs="Arial"/>
                <w:sz w:val="18"/>
                <w:szCs w:val="16"/>
              </w:rPr>
            </w:pPr>
            <w:r>
              <w:rPr>
                <w:rFonts w:ascii="Arial Narrow" w:hAnsi="Arial Narrow" w:cs="Arial"/>
                <w:sz w:val="18"/>
                <w:szCs w:val="16"/>
              </w:rPr>
              <w:t>+</w:t>
            </w:r>
            <w:r w:rsidR="00EB5C05" w:rsidRPr="00826681">
              <w:rPr>
                <w:rFonts w:ascii="Arial Narrow" w:hAnsi="Arial Narrow" w:cs="Arial"/>
                <w:sz w:val="18"/>
                <w:szCs w:val="16"/>
              </w:rPr>
              <w:t>0</w:t>
            </w:r>
            <w:r w:rsidR="00EB5C05">
              <w:rPr>
                <w:rFonts w:ascii="Arial Narrow" w:hAnsi="Arial Narrow" w:cs="Arial"/>
                <w:sz w:val="18"/>
                <w:szCs w:val="16"/>
              </w:rPr>
              <w:t>,5</w:t>
            </w:r>
          </w:p>
        </w:tc>
        <w:tc>
          <w:tcPr>
            <w:tcW w:w="481" w:type="pct"/>
            <w:vAlign w:val="center"/>
          </w:tcPr>
          <w:p w:rsidR="00EB5C05" w:rsidRPr="00826681" w:rsidRDefault="000B1CF0" w:rsidP="001F78E3">
            <w:pPr>
              <w:spacing w:before="40" w:after="20"/>
              <w:jc w:val="right"/>
              <w:rPr>
                <w:rFonts w:ascii="Arial Narrow" w:hAnsi="Arial Narrow" w:cs="Arial"/>
                <w:sz w:val="18"/>
                <w:szCs w:val="16"/>
              </w:rPr>
            </w:pPr>
            <w:r>
              <w:rPr>
                <w:rFonts w:ascii="Arial Narrow" w:hAnsi="Arial Narrow" w:cs="Arial"/>
                <w:sz w:val="18"/>
                <w:szCs w:val="16"/>
              </w:rPr>
              <w:t>+</w:t>
            </w:r>
            <w:r w:rsidR="00EB5C05" w:rsidRPr="00826681">
              <w:rPr>
                <w:rFonts w:ascii="Arial Narrow" w:hAnsi="Arial Narrow" w:cs="Arial"/>
                <w:sz w:val="18"/>
                <w:szCs w:val="16"/>
              </w:rPr>
              <w:t>5</w:t>
            </w:r>
            <w:r w:rsidR="001643E0">
              <w:rPr>
                <w:rFonts w:ascii="Arial Narrow" w:hAnsi="Arial Narrow" w:cs="Arial"/>
                <w:sz w:val="18"/>
                <w:szCs w:val="16"/>
              </w:rPr>
              <w:t>,</w:t>
            </w:r>
            <w:r w:rsidR="00EB5C05" w:rsidRPr="00826681">
              <w:rPr>
                <w:rFonts w:ascii="Arial Narrow" w:hAnsi="Arial Narrow" w:cs="Arial"/>
                <w:sz w:val="18"/>
                <w:szCs w:val="16"/>
              </w:rPr>
              <w:t>3</w:t>
            </w:r>
          </w:p>
        </w:tc>
        <w:tc>
          <w:tcPr>
            <w:tcW w:w="481" w:type="pct"/>
            <w:shd w:val="clear" w:color="auto" w:fill="E6E6E6"/>
            <w:vAlign w:val="center"/>
          </w:tcPr>
          <w:p w:rsidR="00EB5C05" w:rsidRPr="00826681" w:rsidRDefault="000B1CF0" w:rsidP="001F78E3">
            <w:pPr>
              <w:spacing w:before="40" w:after="20"/>
              <w:jc w:val="right"/>
              <w:rPr>
                <w:rFonts w:ascii="Arial Narrow" w:hAnsi="Arial Narrow" w:cs="Arial"/>
                <w:sz w:val="18"/>
                <w:szCs w:val="16"/>
              </w:rPr>
            </w:pPr>
            <w:r>
              <w:rPr>
                <w:rFonts w:ascii="Arial Narrow" w:hAnsi="Arial Narrow" w:cs="Arial"/>
                <w:sz w:val="18"/>
                <w:szCs w:val="16"/>
              </w:rPr>
              <w:t>+</w:t>
            </w:r>
            <w:r w:rsidR="00EB5C05" w:rsidRPr="00826681">
              <w:rPr>
                <w:rFonts w:ascii="Arial Narrow" w:hAnsi="Arial Narrow" w:cs="Arial"/>
                <w:sz w:val="18"/>
                <w:szCs w:val="16"/>
              </w:rPr>
              <w:t>2</w:t>
            </w:r>
            <w:r w:rsidR="001643E0">
              <w:rPr>
                <w:rFonts w:ascii="Arial Narrow" w:hAnsi="Arial Narrow" w:cs="Arial"/>
                <w:sz w:val="18"/>
                <w:szCs w:val="16"/>
              </w:rPr>
              <w:t>,</w:t>
            </w:r>
            <w:r w:rsidR="00EB5C05" w:rsidRPr="00826681">
              <w:rPr>
                <w:rFonts w:ascii="Arial Narrow" w:hAnsi="Arial Narrow" w:cs="Arial"/>
                <w:sz w:val="18"/>
                <w:szCs w:val="16"/>
              </w:rPr>
              <w:t>5</w:t>
            </w:r>
          </w:p>
        </w:tc>
      </w:tr>
      <w:tr w:rsidR="00EB5C05" w:rsidTr="00E0727F">
        <w:tc>
          <w:tcPr>
            <w:tcW w:w="827" w:type="pct"/>
            <w:tcBorders>
              <w:bottom w:val="single" w:sz="4" w:space="0" w:color="333333"/>
            </w:tcBorders>
            <w:vAlign w:val="center"/>
          </w:tcPr>
          <w:p w:rsidR="00EB5C05" w:rsidRPr="00E0727F" w:rsidRDefault="00EB5C05" w:rsidP="00F939D6">
            <w:pPr>
              <w:spacing w:before="40" w:after="20"/>
              <w:ind w:left="-57"/>
              <w:rPr>
                <w:rFonts w:ascii="Arial Narrow" w:hAnsi="Arial Narrow" w:cs="Arial"/>
                <w:sz w:val="18"/>
                <w:szCs w:val="16"/>
              </w:rPr>
            </w:pPr>
            <w:r w:rsidRPr="00E0727F">
              <w:rPr>
                <w:rFonts w:ascii="Arial Narrow" w:hAnsi="Arial Narrow" w:cs="Arial"/>
                <w:sz w:val="18"/>
                <w:szCs w:val="16"/>
              </w:rPr>
              <w:t>Energia</w:t>
            </w:r>
          </w:p>
        </w:tc>
        <w:tc>
          <w:tcPr>
            <w:tcW w:w="481" w:type="pct"/>
            <w:gridSpan w:val="2"/>
            <w:tcBorders>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5</w:t>
            </w:r>
          </w:p>
        </w:tc>
        <w:tc>
          <w:tcPr>
            <w:tcW w:w="403" w:type="pct"/>
            <w:tcBorders>
              <w:bottom w:val="single" w:sz="4" w:space="0" w:color="333333"/>
            </w:tcBorders>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4</w:t>
            </w:r>
          </w:p>
        </w:tc>
        <w:tc>
          <w:tcPr>
            <w:tcW w:w="401" w:type="pct"/>
            <w:tcBorders>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6</w:t>
            </w:r>
          </w:p>
        </w:tc>
        <w:tc>
          <w:tcPr>
            <w:tcW w:w="481" w:type="pct"/>
            <w:tcBorders>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5</w:t>
            </w:r>
          </w:p>
        </w:tc>
        <w:tc>
          <w:tcPr>
            <w:tcW w:w="482" w:type="pct"/>
            <w:tcBorders>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4</w:t>
            </w:r>
          </w:p>
        </w:tc>
        <w:tc>
          <w:tcPr>
            <w:tcW w:w="481" w:type="pct"/>
            <w:tcBorders>
              <w:bottom w:val="single" w:sz="4" w:space="0" w:color="333333"/>
            </w:tcBorders>
            <w:vAlign w:val="center"/>
          </w:tcPr>
          <w:p w:rsidR="00EB5C05" w:rsidRDefault="00EB5C05" w:rsidP="001F78E3">
            <w:pPr>
              <w:spacing w:before="40" w:after="20"/>
              <w:jc w:val="right"/>
              <w:rPr>
                <w:rFonts w:ascii="Arial Narrow" w:hAnsi="Arial Narrow" w:cs="Arial"/>
                <w:sz w:val="18"/>
                <w:szCs w:val="16"/>
              </w:rPr>
            </w:pPr>
            <w:r>
              <w:rPr>
                <w:rFonts w:ascii="Arial Narrow" w:hAnsi="Arial Narrow" w:cs="Arial"/>
                <w:sz w:val="18"/>
                <w:szCs w:val="16"/>
              </w:rPr>
              <w:t>6</w:t>
            </w:r>
          </w:p>
        </w:tc>
        <w:tc>
          <w:tcPr>
            <w:tcW w:w="482" w:type="pct"/>
            <w:tcBorders>
              <w:bottom w:val="single" w:sz="4" w:space="0" w:color="333333"/>
            </w:tcBorders>
            <w:shd w:val="clear" w:color="auto" w:fill="E6E6E6"/>
            <w:vAlign w:val="center"/>
          </w:tcPr>
          <w:p w:rsidR="00EB5C05" w:rsidRPr="00826681" w:rsidRDefault="00EB5C05" w:rsidP="001F78E3">
            <w:pPr>
              <w:spacing w:before="40" w:after="20"/>
              <w:jc w:val="right"/>
              <w:rPr>
                <w:rFonts w:ascii="Arial Narrow" w:hAnsi="Arial Narrow" w:cs="Arial"/>
                <w:sz w:val="18"/>
                <w:szCs w:val="16"/>
              </w:rPr>
            </w:pPr>
            <w:r w:rsidRPr="00826681">
              <w:rPr>
                <w:rFonts w:ascii="Arial Narrow" w:hAnsi="Arial Narrow" w:cs="Arial"/>
                <w:sz w:val="18"/>
                <w:szCs w:val="16"/>
              </w:rPr>
              <w:t>0</w:t>
            </w:r>
            <w:r w:rsidR="001643E0">
              <w:rPr>
                <w:rFonts w:ascii="Arial Narrow" w:hAnsi="Arial Narrow" w:cs="Arial"/>
                <w:sz w:val="18"/>
                <w:szCs w:val="16"/>
              </w:rPr>
              <w:t>,</w:t>
            </w:r>
            <w:r w:rsidRPr="00826681">
              <w:rPr>
                <w:rFonts w:ascii="Arial Narrow" w:hAnsi="Arial Narrow" w:cs="Arial"/>
                <w:sz w:val="18"/>
                <w:szCs w:val="16"/>
              </w:rPr>
              <w:t>0</w:t>
            </w:r>
          </w:p>
        </w:tc>
        <w:tc>
          <w:tcPr>
            <w:tcW w:w="481" w:type="pct"/>
            <w:tcBorders>
              <w:bottom w:val="single" w:sz="4" w:space="0" w:color="333333"/>
            </w:tcBorders>
            <w:vAlign w:val="center"/>
          </w:tcPr>
          <w:p w:rsidR="00EB5C05" w:rsidRPr="00826681" w:rsidRDefault="00EB5C05" w:rsidP="001F78E3">
            <w:pPr>
              <w:spacing w:before="40" w:after="20"/>
              <w:jc w:val="right"/>
              <w:rPr>
                <w:rFonts w:ascii="Arial Narrow" w:hAnsi="Arial Narrow" w:cs="Arial"/>
                <w:sz w:val="18"/>
                <w:szCs w:val="16"/>
              </w:rPr>
            </w:pPr>
            <w:r w:rsidRPr="00826681">
              <w:rPr>
                <w:rFonts w:ascii="Arial Narrow" w:hAnsi="Arial Narrow" w:cs="Arial"/>
                <w:sz w:val="18"/>
                <w:szCs w:val="16"/>
              </w:rPr>
              <w:t>0</w:t>
            </w:r>
            <w:r w:rsidR="001643E0">
              <w:rPr>
                <w:rFonts w:ascii="Arial Narrow" w:hAnsi="Arial Narrow" w:cs="Arial"/>
                <w:sz w:val="18"/>
                <w:szCs w:val="16"/>
              </w:rPr>
              <w:t>,</w:t>
            </w:r>
            <w:r w:rsidRPr="00826681">
              <w:rPr>
                <w:rFonts w:ascii="Arial Narrow" w:hAnsi="Arial Narrow" w:cs="Arial"/>
                <w:sz w:val="18"/>
                <w:szCs w:val="16"/>
              </w:rPr>
              <w:t>0</w:t>
            </w:r>
          </w:p>
        </w:tc>
        <w:tc>
          <w:tcPr>
            <w:tcW w:w="481" w:type="pct"/>
            <w:tcBorders>
              <w:bottom w:val="single" w:sz="4" w:space="0" w:color="333333"/>
            </w:tcBorders>
            <w:shd w:val="clear" w:color="auto" w:fill="E6E6E6"/>
            <w:vAlign w:val="center"/>
          </w:tcPr>
          <w:p w:rsidR="00EB5C05" w:rsidRPr="00826681" w:rsidRDefault="00EB5C05" w:rsidP="001F78E3">
            <w:pPr>
              <w:spacing w:before="40" w:after="20"/>
              <w:jc w:val="right"/>
              <w:rPr>
                <w:rFonts w:ascii="Arial Narrow" w:hAnsi="Arial Narrow" w:cs="Arial"/>
                <w:sz w:val="18"/>
                <w:szCs w:val="16"/>
              </w:rPr>
            </w:pPr>
            <w:r w:rsidRPr="00826681">
              <w:rPr>
                <w:rFonts w:ascii="Arial Narrow" w:hAnsi="Arial Narrow" w:cs="Arial"/>
                <w:sz w:val="18"/>
                <w:szCs w:val="16"/>
              </w:rPr>
              <w:t>0</w:t>
            </w:r>
            <w:r w:rsidR="001643E0">
              <w:rPr>
                <w:rFonts w:ascii="Arial Narrow" w:hAnsi="Arial Narrow" w:cs="Arial"/>
                <w:sz w:val="18"/>
                <w:szCs w:val="16"/>
              </w:rPr>
              <w:t>,</w:t>
            </w:r>
            <w:r w:rsidRPr="00826681">
              <w:rPr>
                <w:rFonts w:ascii="Arial Narrow" w:hAnsi="Arial Narrow" w:cs="Arial"/>
                <w:sz w:val="18"/>
                <w:szCs w:val="16"/>
              </w:rPr>
              <w:t>0</w:t>
            </w:r>
          </w:p>
        </w:tc>
      </w:tr>
      <w:tr w:rsidR="00EB5C05" w:rsidTr="00DF3ABE">
        <w:tc>
          <w:tcPr>
            <w:tcW w:w="827" w:type="pct"/>
            <w:tcBorders>
              <w:bottom w:val="single" w:sz="4" w:space="0" w:color="auto"/>
            </w:tcBorders>
            <w:shd w:val="clear" w:color="auto" w:fill="99CC00"/>
            <w:vAlign w:val="center"/>
          </w:tcPr>
          <w:p w:rsidR="00EB5C05" w:rsidRPr="00C10B26" w:rsidRDefault="00EB5C05" w:rsidP="00F939D6">
            <w:pPr>
              <w:spacing w:before="40" w:after="20"/>
              <w:ind w:left="-57"/>
              <w:rPr>
                <w:rFonts w:ascii="Arial Narrow" w:hAnsi="Arial Narrow" w:cs="Arial"/>
                <w:b/>
                <w:color w:val="FFFFFF"/>
                <w:sz w:val="18"/>
                <w:szCs w:val="16"/>
              </w:rPr>
            </w:pPr>
            <w:r w:rsidRPr="00C10B26">
              <w:rPr>
                <w:rFonts w:ascii="Arial Narrow" w:hAnsi="Arial Narrow" w:cs="Arial"/>
                <w:b/>
                <w:color w:val="FFFFFF"/>
                <w:sz w:val="18"/>
                <w:szCs w:val="16"/>
              </w:rPr>
              <w:t>Totale</w:t>
            </w:r>
          </w:p>
        </w:tc>
        <w:tc>
          <w:tcPr>
            <w:tcW w:w="401" w:type="pct"/>
            <w:tcBorders>
              <w:bottom w:val="single" w:sz="4" w:space="0" w:color="auto"/>
            </w:tcBorders>
            <w:shd w:val="clear" w:color="auto" w:fill="99CC00"/>
            <w:vAlign w:val="center"/>
          </w:tcPr>
          <w:p w:rsidR="00EB5C05" w:rsidRPr="000B1CF0" w:rsidRDefault="006260CD" w:rsidP="006260CD">
            <w:pPr>
              <w:spacing w:before="40" w:after="20"/>
              <w:jc w:val="right"/>
              <w:rPr>
                <w:rFonts w:ascii="Arial Narrow" w:hAnsi="Arial Narrow" w:cs="Arial"/>
                <w:b/>
                <w:color w:val="FFFFFF"/>
                <w:sz w:val="18"/>
                <w:szCs w:val="16"/>
              </w:rPr>
            </w:pPr>
            <w:r>
              <w:rPr>
                <w:rFonts w:ascii="Arial Narrow" w:hAnsi="Arial Narrow" w:cs="Arial"/>
                <w:b/>
                <w:color w:val="FFFFFF"/>
                <w:sz w:val="18"/>
                <w:szCs w:val="16"/>
              </w:rPr>
              <w:t xml:space="preserve">   </w:t>
            </w:r>
            <w:r w:rsidR="00EB5C05" w:rsidRPr="000B1CF0">
              <w:rPr>
                <w:rFonts w:ascii="Arial Narrow" w:hAnsi="Arial Narrow" w:cs="Arial"/>
                <w:b/>
                <w:color w:val="FFFFFF"/>
                <w:sz w:val="18"/>
                <w:szCs w:val="16"/>
              </w:rPr>
              <w:t>863</w:t>
            </w:r>
          </w:p>
        </w:tc>
        <w:tc>
          <w:tcPr>
            <w:tcW w:w="483" w:type="pct"/>
            <w:gridSpan w:val="2"/>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1.684</w:t>
            </w:r>
          </w:p>
        </w:tc>
        <w:tc>
          <w:tcPr>
            <w:tcW w:w="401"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4.352</w:t>
            </w:r>
          </w:p>
        </w:tc>
        <w:tc>
          <w:tcPr>
            <w:tcW w:w="481"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863</w:t>
            </w:r>
          </w:p>
        </w:tc>
        <w:tc>
          <w:tcPr>
            <w:tcW w:w="482"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1.735</w:t>
            </w:r>
          </w:p>
        </w:tc>
        <w:tc>
          <w:tcPr>
            <w:tcW w:w="481"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4.389</w:t>
            </w:r>
          </w:p>
        </w:tc>
        <w:tc>
          <w:tcPr>
            <w:tcW w:w="482" w:type="pct"/>
            <w:tcBorders>
              <w:bottom w:val="single" w:sz="4" w:space="0" w:color="auto"/>
            </w:tcBorders>
            <w:shd w:val="clear" w:color="auto" w:fill="99CC00"/>
            <w:vAlign w:val="center"/>
          </w:tcPr>
          <w:p w:rsidR="00EB5C05" w:rsidRPr="00826681" w:rsidRDefault="00EB5C05" w:rsidP="001F78E3">
            <w:pPr>
              <w:spacing w:before="40" w:after="20"/>
              <w:jc w:val="right"/>
              <w:rPr>
                <w:rFonts w:ascii="Arial Narrow" w:hAnsi="Arial Narrow" w:cs="Arial"/>
                <w:b/>
                <w:color w:val="FFFFFF"/>
                <w:sz w:val="18"/>
                <w:szCs w:val="16"/>
              </w:rPr>
            </w:pPr>
            <w:r w:rsidRPr="00826681">
              <w:rPr>
                <w:rFonts w:ascii="Arial Narrow" w:hAnsi="Arial Narrow" w:cs="Arial"/>
                <w:b/>
                <w:color w:val="FFFFFF"/>
                <w:sz w:val="18"/>
                <w:szCs w:val="16"/>
              </w:rPr>
              <w:t>0</w:t>
            </w:r>
            <w:r w:rsidR="001643E0">
              <w:rPr>
                <w:rFonts w:ascii="Arial Narrow" w:hAnsi="Arial Narrow" w:cs="Arial"/>
                <w:b/>
                <w:color w:val="FFFFFF"/>
                <w:sz w:val="18"/>
                <w:szCs w:val="16"/>
              </w:rPr>
              <w:t>,</w:t>
            </w:r>
            <w:r>
              <w:rPr>
                <w:rFonts w:ascii="Arial Narrow" w:hAnsi="Arial Narrow" w:cs="Arial"/>
                <w:b/>
                <w:color w:val="FFFFFF"/>
                <w:sz w:val="18"/>
                <w:szCs w:val="16"/>
              </w:rPr>
              <w:t>0</w:t>
            </w:r>
          </w:p>
        </w:tc>
        <w:tc>
          <w:tcPr>
            <w:tcW w:w="481" w:type="pct"/>
            <w:tcBorders>
              <w:bottom w:val="single" w:sz="4" w:space="0" w:color="auto"/>
            </w:tcBorders>
            <w:shd w:val="clear" w:color="auto" w:fill="99CC00"/>
            <w:vAlign w:val="center"/>
          </w:tcPr>
          <w:p w:rsidR="00EB5C05" w:rsidRPr="00826681" w:rsidRDefault="000B1CF0"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w:t>
            </w:r>
            <w:r w:rsidR="00EB5C05" w:rsidRPr="00826681">
              <w:rPr>
                <w:rFonts w:ascii="Arial Narrow" w:hAnsi="Arial Narrow" w:cs="Arial"/>
                <w:b/>
                <w:color w:val="FFFFFF"/>
                <w:sz w:val="18"/>
                <w:szCs w:val="16"/>
              </w:rPr>
              <w:t>3</w:t>
            </w:r>
            <w:r w:rsidR="001643E0">
              <w:rPr>
                <w:rFonts w:ascii="Arial Narrow" w:hAnsi="Arial Narrow" w:cs="Arial"/>
                <w:b/>
                <w:color w:val="FFFFFF"/>
                <w:sz w:val="18"/>
                <w:szCs w:val="16"/>
              </w:rPr>
              <w:t>,</w:t>
            </w:r>
            <w:r w:rsidR="00EB5C05" w:rsidRPr="00826681">
              <w:rPr>
                <w:rFonts w:ascii="Arial Narrow" w:hAnsi="Arial Narrow" w:cs="Arial"/>
                <w:b/>
                <w:color w:val="FFFFFF"/>
                <w:sz w:val="18"/>
                <w:szCs w:val="16"/>
              </w:rPr>
              <w:t>0</w:t>
            </w:r>
          </w:p>
        </w:tc>
        <w:tc>
          <w:tcPr>
            <w:tcW w:w="481" w:type="pct"/>
            <w:tcBorders>
              <w:bottom w:val="single" w:sz="4" w:space="0" w:color="auto"/>
            </w:tcBorders>
            <w:shd w:val="clear" w:color="auto" w:fill="99CC00"/>
            <w:vAlign w:val="center"/>
          </w:tcPr>
          <w:p w:rsidR="00EB5C05" w:rsidRPr="00826681" w:rsidRDefault="000B1CF0" w:rsidP="001F78E3">
            <w:pPr>
              <w:spacing w:before="40" w:after="20"/>
              <w:jc w:val="right"/>
              <w:rPr>
                <w:rFonts w:ascii="Arial Narrow" w:hAnsi="Arial Narrow" w:cs="Arial"/>
                <w:b/>
                <w:color w:val="FFFFFF"/>
                <w:sz w:val="18"/>
                <w:szCs w:val="16"/>
              </w:rPr>
            </w:pPr>
            <w:r>
              <w:rPr>
                <w:rFonts w:ascii="Arial Narrow" w:hAnsi="Arial Narrow" w:cs="Arial"/>
                <w:b/>
                <w:color w:val="FFFFFF"/>
                <w:sz w:val="18"/>
                <w:szCs w:val="16"/>
              </w:rPr>
              <w:t>+</w:t>
            </w:r>
            <w:r w:rsidR="00EB5C05" w:rsidRPr="00826681">
              <w:rPr>
                <w:rFonts w:ascii="Arial Narrow" w:hAnsi="Arial Narrow" w:cs="Arial"/>
                <w:b/>
                <w:color w:val="FFFFFF"/>
                <w:sz w:val="18"/>
                <w:szCs w:val="16"/>
              </w:rPr>
              <w:t>0</w:t>
            </w:r>
            <w:r w:rsidR="001643E0">
              <w:rPr>
                <w:rFonts w:ascii="Arial Narrow" w:hAnsi="Arial Narrow" w:cs="Arial"/>
                <w:b/>
                <w:color w:val="FFFFFF"/>
                <w:sz w:val="18"/>
                <w:szCs w:val="16"/>
              </w:rPr>
              <w:t>,</w:t>
            </w:r>
            <w:r w:rsidR="00EB5C05" w:rsidRPr="00826681">
              <w:rPr>
                <w:rFonts w:ascii="Arial Narrow" w:hAnsi="Arial Narrow" w:cs="Arial"/>
                <w:b/>
                <w:color w:val="FFFFFF"/>
                <w:sz w:val="18"/>
                <w:szCs w:val="16"/>
              </w:rPr>
              <w:t>9</w:t>
            </w:r>
          </w:p>
        </w:tc>
      </w:tr>
    </w:tbl>
    <w:p w:rsidR="001552D0" w:rsidRDefault="001552D0" w:rsidP="000B2058">
      <w:pPr>
        <w:spacing w:after="120"/>
        <w:ind w:left="1814"/>
        <w:jc w:val="both"/>
        <w:rPr>
          <w:rFonts w:ascii="Arial" w:hAnsi="Arial" w:cs="Arial"/>
          <w:sz w:val="20"/>
          <w:szCs w:val="20"/>
        </w:rPr>
      </w:pPr>
    </w:p>
    <w:p w:rsidR="00230ACD" w:rsidRDefault="00696E8C" w:rsidP="000E4E70">
      <w:pPr>
        <w:spacing w:after="120"/>
        <w:ind w:left="1843"/>
        <w:jc w:val="both"/>
        <w:rPr>
          <w:rFonts w:ascii="Arial" w:hAnsi="Arial" w:cs="Arial"/>
          <w:sz w:val="20"/>
          <w:szCs w:val="20"/>
        </w:rPr>
      </w:pPr>
      <w:r w:rsidRPr="00925FAA">
        <w:rPr>
          <w:rFonts w:ascii="Arial" w:hAnsi="Arial" w:cs="Arial"/>
          <w:sz w:val="20"/>
          <w:szCs w:val="20"/>
        </w:rPr>
        <w:t>Infine, co</w:t>
      </w:r>
      <w:r w:rsidR="001F0FA6" w:rsidRPr="00925FAA">
        <w:rPr>
          <w:rFonts w:ascii="Arial" w:hAnsi="Arial" w:cs="Arial"/>
          <w:sz w:val="20"/>
          <w:szCs w:val="20"/>
        </w:rPr>
        <w:t>n riferimento all’area non euro</w:t>
      </w:r>
      <w:r w:rsidRPr="00925FAA">
        <w:rPr>
          <w:rFonts w:ascii="Arial" w:hAnsi="Arial" w:cs="Arial"/>
          <w:sz w:val="20"/>
          <w:szCs w:val="20"/>
        </w:rPr>
        <w:t xml:space="preserve">, a livello di indice generale il rapporto </w:t>
      </w:r>
      <w:r w:rsidRPr="00925FAA">
        <w:rPr>
          <w:rFonts w:ascii="Arial" w:hAnsi="Arial" w:cs="Arial"/>
          <w:i/>
          <w:sz w:val="20"/>
          <w:szCs w:val="20"/>
        </w:rPr>
        <w:t>prezzi/imprese</w:t>
      </w:r>
      <w:r w:rsidRPr="00925FAA">
        <w:rPr>
          <w:rFonts w:ascii="Arial" w:hAnsi="Arial" w:cs="Arial"/>
          <w:sz w:val="20"/>
          <w:szCs w:val="20"/>
        </w:rPr>
        <w:t xml:space="preserve"> scende da 2,6 a 2,5; il rapporto </w:t>
      </w:r>
      <w:r w:rsidRPr="00925FAA">
        <w:rPr>
          <w:rFonts w:ascii="Arial" w:hAnsi="Arial" w:cs="Arial"/>
          <w:i/>
          <w:sz w:val="20"/>
          <w:szCs w:val="20"/>
        </w:rPr>
        <w:t>imprese/prodotti</w:t>
      </w:r>
      <w:r w:rsidRPr="00925FAA">
        <w:rPr>
          <w:rFonts w:ascii="Arial" w:hAnsi="Arial" w:cs="Arial"/>
          <w:sz w:val="20"/>
          <w:szCs w:val="20"/>
        </w:rPr>
        <w:t xml:space="preserve"> sale da 2</w:t>
      </w:r>
      <w:r w:rsidR="008D3573">
        <w:rPr>
          <w:rFonts w:ascii="Arial" w:hAnsi="Arial" w:cs="Arial"/>
          <w:sz w:val="20"/>
          <w:szCs w:val="20"/>
        </w:rPr>
        <w:t>,0</w:t>
      </w:r>
      <w:r w:rsidRPr="00925FAA">
        <w:rPr>
          <w:rFonts w:ascii="Arial" w:hAnsi="Arial" w:cs="Arial"/>
          <w:sz w:val="20"/>
          <w:szCs w:val="20"/>
        </w:rPr>
        <w:t xml:space="preserve"> a 2,2.</w:t>
      </w:r>
    </w:p>
    <w:p w:rsidR="00696E8C" w:rsidRPr="00384F7C" w:rsidRDefault="00696E8C" w:rsidP="000E4E70">
      <w:pPr>
        <w:spacing w:after="120"/>
        <w:ind w:left="1843"/>
        <w:jc w:val="both"/>
        <w:rPr>
          <w:rFonts w:ascii="Arial" w:hAnsi="Arial" w:cs="Arial"/>
          <w:sz w:val="20"/>
          <w:szCs w:val="20"/>
        </w:rPr>
      </w:pPr>
    </w:p>
    <w:p w:rsidR="00F27D52" w:rsidRPr="00260109" w:rsidRDefault="00180425" w:rsidP="00F27D52">
      <w:pPr>
        <w:pStyle w:val="Soggettocommento"/>
        <w:spacing w:after="120"/>
        <w:ind w:left="1814"/>
        <w:jc w:val="both"/>
        <w:rPr>
          <w:rFonts w:ascii="Arial Narrow" w:hAnsi="Arial Narrow" w:cs="Arial"/>
          <w:b w:val="0"/>
          <w:bCs w:val="0"/>
          <w:color w:val="808080"/>
          <w:sz w:val="19"/>
          <w:szCs w:val="16"/>
        </w:rPr>
      </w:pPr>
      <w:r>
        <w:rPr>
          <w:rFonts w:ascii="Arial Narrow" w:hAnsi="Arial Narrow" w:cs="Arial"/>
          <w:bCs w:val="0"/>
          <w:caps/>
          <w:color w:val="777777"/>
          <w:szCs w:val="16"/>
        </w:rPr>
        <w:t xml:space="preserve">Prospetto </w:t>
      </w:r>
      <w:r w:rsidR="00557CFD">
        <w:rPr>
          <w:rFonts w:ascii="Arial Narrow" w:hAnsi="Arial Narrow" w:cs="Arial"/>
          <w:bCs w:val="0"/>
          <w:caps/>
          <w:color w:val="777777"/>
          <w:szCs w:val="16"/>
        </w:rPr>
        <w:t>6</w:t>
      </w:r>
      <w:r w:rsidR="00F27D52">
        <w:rPr>
          <w:rFonts w:ascii="Arial Narrow" w:hAnsi="Arial Narrow" w:cs="Arial"/>
          <w:bCs w:val="0"/>
          <w:caps/>
          <w:color w:val="777777"/>
          <w:szCs w:val="16"/>
        </w:rPr>
        <w:t xml:space="preserve"> Prezzi alla produzione dei prodotti industriali, Mercato estero area non euro. Numerosità del campione dei prodotti, prezzi e imprese per Raggruppamenti principali di industrie. </w:t>
      </w:r>
      <w:r w:rsidR="00F27D52" w:rsidRPr="00260109">
        <w:rPr>
          <w:rFonts w:ascii="Arial Narrow" w:hAnsi="Arial Narrow" w:cs="Arial"/>
          <w:b w:val="0"/>
          <w:bCs w:val="0"/>
          <w:caps/>
          <w:color w:val="808080"/>
          <w:spacing w:val="-2"/>
          <w:sz w:val="19"/>
          <w:szCs w:val="19"/>
        </w:rPr>
        <w:t>c</w:t>
      </w:r>
      <w:r w:rsidR="00F27D52" w:rsidRPr="00260109">
        <w:rPr>
          <w:rFonts w:ascii="Arial Narrow" w:hAnsi="Arial Narrow" w:cs="Arial"/>
          <w:b w:val="0"/>
          <w:bCs w:val="0"/>
          <w:color w:val="808080"/>
          <w:spacing w:val="-2"/>
          <w:sz w:val="19"/>
          <w:szCs w:val="19"/>
        </w:rPr>
        <w:t xml:space="preserve">onfronto tra </w:t>
      </w:r>
      <w:r w:rsidR="00F27D52">
        <w:rPr>
          <w:rFonts w:ascii="Arial Narrow" w:hAnsi="Arial Narrow" w:cs="Arial"/>
          <w:b w:val="0"/>
          <w:bCs w:val="0"/>
          <w:color w:val="808080"/>
          <w:spacing w:val="-2"/>
          <w:sz w:val="19"/>
          <w:szCs w:val="19"/>
        </w:rPr>
        <w:t>le basi di calcolo Dicembre 201</w:t>
      </w:r>
      <w:r w:rsidR="00C86F21">
        <w:rPr>
          <w:rFonts w:ascii="Arial Narrow" w:hAnsi="Arial Narrow" w:cs="Arial"/>
          <w:b w:val="0"/>
          <w:bCs w:val="0"/>
          <w:color w:val="808080"/>
          <w:spacing w:val="-2"/>
          <w:sz w:val="19"/>
          <w:szCs w:val="19"/>
        </w:rPr>
        <w:t>2</w:t>
      </w:r>
      <w:r w:rsidR="00F27D52" w:rsidRPr="00260109">
        <w:rPr>
          <w:rFonts w:ascii="Arial Narrow" w:hAnsi="Arial Narrow" w:cs="Arial"/>
          <w:b w:val="0"/>
          <w:bCs w:val="0"/>
          <w:color w:val="808080"/>
          <w:spacing w:val="-2"/>
          <w:sz w:val="19"/>
          <w:szCs w:val="19"/>
        </w:rPr>
        <w:t xml:space="preserve"> e Dicembre 201</w:t>
      </w:r>
      <w:r w:rsidR="00C86F21">
        <w:rPr>
          <w:rFonts w:ascii="Arial Narrow" w:hAnsi="Arial Narrow" w:cs="Arial"/>
          <w:b w:val="0"/>
          <w:bCs w:val="0"/>
          <w:color w:val="808080"/>
          <w:spacing w:val="-2"/>
          <w:sz w:val="19"/>
          <w:szCs w:val="19"/>
        </w:rPr>
        <w:t>3</w:t>
      </w:r>
      <w:r w:rsidR="00690734">
        <w:rPr>
          <w:rFonts w:ascii="Arial Narrow" w:hAnsi="Arial Narrow" w:cs="Arial"/>
          <w:b w:val="0"/>
          <w:bCs w:val="0"/>
          <w:color w:val="808080"/>
          <w:spacing w:val="-2"/>
          <w:sz w:val="19"/>
          <w:szCs w:val="19"/>
        </w:rPr>
        <w:t>.</w:t>
      </w:r>
    </w:p>
    <w:tbl>
      <w:tblPr>
        <w:tblW w:w="8690" w:type="dxa"/>
        <w:tblInd w:w="1908" w:type="dxa"/>
        <w:tblBorders>
          <w:top w:val="single" w:sz="4" w:space="0" w:color="333333"/>
          <w:bottom w:val="single" w:sz="4" w:space="0" w:color="333333"/>
          <w:insideH w:val="single" w:sz="4" w:space="0" w:color="333333"/>
        </w:tblBorders>
        <w:tblLayout w:type="fixed"/>
        <w:tblLook w:val="01E0" w:firstRow="1" w:lastRow="1" w:firstColumn="1" w:lastColumn="1" w:noHBand="0" w:noVBand="0"/>
      </w:tblPr>
      <w:tblGrid>
        <w:gridCol w:w="1348"/>
        <w:gridCol w:w="784"/>
        <w:gridCol w:w="888"/>
        <w:gridCol w:w="709"/>
        <w:gridCol w:w="850"/>
        <w:gridCol w:w="852"/>
        <w:gridCol w:w="707"/>
        <w:gridCol w:w="991"/>
        <w:gridCol w:w="848"/>
        <w:gridCol w:w="713"/>
      </w:tblGrid>
      <w:tr w:rsidR="00E85925">
        <w:trPr>
          <w:cantSplit/>
        </w:trPr>
        <w:tc>
          <w:tcPr>
            <w:tcW w:w="776" w:type="pct"/>
            <w:vMerge w:val="restart"/>
            <w:vAlign w:val="center"/>
          </w:tcPr>
          <w:p w:rsidR="00F27D52" w:rsidRDefault="00F27D52" w:rsidP="00F939D6">
            <w:pPr>
              <w:spacing w:before="40" w:after="20"/>
              <w:ind w:left="-57"/>
              <w:rPr>
                <w:rFonts w:ascii="Arial Narrow" w:hAnsi="Arial Narrow" w:cs="Arial"/>
                <w:b/>
                <w:sz w:val="18"/>
                <w:szCs w:val="16"/>
              </w:rPr>
            </w:pPr>
            <w:r>
              <w:rPr>
                <w:rFonts w:ascii="Arial Narrow" w:hAnsi="Arial Narrow" w:cs="Arial"/>
                <w:b/>
                <w:sz w:val="18"/>
                <w:szCs w:val="16"/>
              </w:rPr>
              <w:t>Raggruppamenti principali di industrie</w:t>
            </w:r>
          </w:p>
        </w:tc>
        <w:tc>
          <w:tcPr>
            <w:tcW w:w="1370" w:type="pct"/>
            <w:gridSpan w:val="3"/>
            <w:shd w:val="clear" w:color="auto" w:fill="E6E6E6"/>
            <w:vAlign w:val="center"/>
          </w:tcPr>
          <w:p w:rsidR="00F27D52" w:rsidRPr="00887D26" w:rsidRDefault="00F27D52" w:rsidP="00C86F21">
            <w:pPr>
              <w:pStyle w:val="Titolo5"/>
              <w:rPr>
                <w:bCs/>
              </w:rPr>
            </w:pPr>
            <w:r>
              <w:rPr>
                <w:bCs/>
              </w:rPr>
              <w:t>Base 201</w:t>
            </w:r>
            <w:r w:rsidR="00C86F21">
              <w:rPr>
                <w:bCs/>
              </w:rPr>
              <w:t>2</w:t>
            </w:r>
          </w:p>
        </w:tc>
        <w:tc>
          <w:tcPr>
            <w:tcW w:w="1386" w:type="pct"/>
            <w:gridSpan w:val="3"/>
            <w:vAlign w:val="center"/>
          </w:tcPr>
          <w:p w:rsidR="00F27D52" w:rsidRDefault="00F27D52" w:rsidP="00C86F21">
            <w:pPr>
              <w:spacing w:before="40" w:after="20"/>
              <w:jc w:val="center"/>
              <w:rPr>
                <w:rFonts w:ascii="Arial Narrow" w:hAnsi="Arial Narrow" w:cs="Arial"/>
                <w:b/>
                <w:sz w:val="18"/>
                <w:szCs w:val="16"/>
              </w:rPr>
            </w:pPr>
            <w:r>
              <w:rPr>
                <w:rFonts w:ascii="Arial Narrow" w:hAnsi="Arial Narrow" w:cs="Arial"/>
                <w:b/>
                <w:sz w:val="18"/>
                <w:szCs w:val="16"/>
              </w:rPr>
              <w:t>Base 201</w:t>
            </w:r>
            <w:r w:rsidR="00C86F21">
              <w:rPr>
                <w:rFonts w:ascii="Arial Narrow" w:hAnsi="Arial Narrow" w:cs="Arial"/>
                <w:b/>
                <w:sz w:val="18"/>
                <w:szCs w:val="16"/>
              </w:rPr>
              <w:t>3</w:t>
            </w:r>
          </w:p>
        </w:tc>
        <w:tc>
          <w:tcPr>
            <w:tcW w:w="1468" w:type="pct"/>
            <w:gridSpan w:val="3"/>
            <w:shd w:val="clear" w:color="auto" w:fill="E6E6E6"/>
            <w:vAlign w:val="center"/>
          </w:tcPr>
          <w:p w:rsidR="00F27D52" w:rsidRDefault="00F27D52" w:rsidP="00F939D6">
            <w:pPr>
              <w:spacing w:before="40" w:after="20"/>
              <w:jc w:val="center"/>
              <w:rPr>
                <w:rFonts w:ascii="Arial Narrow" w:hAnsi="Arial Narrow" w:cs="Arial"/>
                <w:b/>
                <w:sz w:val="18"/>
                <w:szCs w:val="16"/>
              </w:rPr>
            </w:pPr>
            <w:r>
              <w:rPr>
                <w:rFonts w:ascii="Arial Narrow" w:hAnsi="Arial Narrow" w:cs="Arial"/>
                <w:b/>
                <w:sz w:val="18"/>
                <w:szCs w:val="16"/>
              </w:rPr>
              <w:t>Variazioni percentuali</w:t>
            </w:r>
          </w:p>
        </w:tc>
      </w:tr>
      <w:tr w:rsidR="004B062E">
        <w:trPr>
          <w:cantSplit/>
          <w:trHeight w:val="338"/>
        </w:trPr>
        <w:tc>
          <w:tcPr>
            <w:tcW w:w="776" w:type="pct"/>
            <w:vMerge/>
            <w:vAlign w:val="center"/>
          </w:tcPr>
          <w:p w:rsidR="00F27D52" w:rsidRDefault="00F27D52" w:rsidP="00F939D6">
            <w:pPr>
              <w:spacing w:before="40" w:after="20"/>
              <w:ind w:left="-57"/>
              <w:rPr>
                <w:rFonts w:ascii="Arial Narrow" w:hAnsi="Arial Narrow" w:cs="Arial"/>
                <w:sz w:val="18"/>
                <w:szCs w:val="16"/>
              </w:rPr>
            </w:pPr>
          </w:p>
        </w:tc>
        <w:tc>
          <w:tcPr>
            <w:tcW w:w="451" w:type="pct"/>
            <w:shd w:val="clear" w:color="auto" w:fill="E6E6E6"/>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Prodotti</w:t>
            </w:r>
          </w:p>
        </w:tc>
        <w:tc>
          <w:tcPr>
            <w:tcW w:w="511" w:type="pct"/>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Imprese</w:t>
            </w:r>
          </w:p>
        </w:tc>
        <w:tc>
          <w:tcPr>
            <w:tcW w:w="408" w:type="pct"/>
            <w:shd w:val="clear" w:color="auto" w:fill="E6E6E6"/>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Prezzi</w:t>
            </w:r>
          </w:p>
        </w:tc>
        <w:tc>
          <w:tcPr>
            <w:tcW w:w="489" w:type="pct"/>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Prodotti</w:t>
            </w:r>
          </w:p>
        </w:tc>
        <w:tc>
          <w:tcPr>
            <w:tcW w:w="490" w:type="pct"/>
            <w:shd w:val="clear" w:color="auto" w:fill="E6E6E6"/>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Imprese</w:t>
            </w:r>
          </w:p>
        </w:tc>
        <w:tc>
          <w:tcPr>
            <w:tcW w:w="407" w:type="pct"/>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Prezzi</w:t>
            </w:r>
          </w:p>
        </w:tc>
        <w:tc>
          <w:tcPr>
            <w:tcW w:w="570" w:type="pct"/>
            <w:shd w:val="clear" w:color="auto" w:fill="E6E6E6"/>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Prodotti</w:t>
            </w:r>
          </w:p>
        </w:tc>
        <w:tc>
          <w:tcPr>
            <w:tcW w:w="488" w:type="pct"/>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Imprese</w:t>
            </w:r>
          </w:p>
        </w:tc>
        <w:tc>
          <w:tcPr>
            <w:tcW w:w="410" w:type="pct"/>
            <w:shd w:val="clear" w:color="auto" w:fill="E6E6E6"/>
            <w:vAlign w:val="center"/>
          </w:tcPr>
          <w:p w:rsidR="00F27D52" w:rsidRPr="00FB2278" w:rsidRDefault="00F27D52" w:rsidP="00F939D6">
            <w:pPr>
              <w:spacing w:before="40" w:after="20"/>
              <w:jc w:val="right"/>
              <w:rPr>
                <w:rFonts w:ascii="Arial Narrow" w:hAnsi="Arial Narrow" w:cs="Arial"/>
                <w:b/>
                <w:sz w:val="18"/>
                <w:szCs w:val="16"/>
              </w:rPr>
            </w:pPr>
            <w:r w:rsidRPr="00FB2278">
              <w:rPr>
                <w:rFonts w:ascii="Arial Narrow" w:hAnsi="Arial Narrow" w:cs="Arial"/>
                <w:b/>
                <w:sz w:val="18"/>
                <w:szCs w:val="16"/>
              </w:rPr>
              <w:t>Prezzi</w:t>
            </w:r>
          </w:p>
        </w:tc>
      </w:tr>
      <w:tr w:rsidR="00EB5C05">
        <w:tc>
          <w:tcPr>
            <w:tcW w:w="776" w:type="pct"/>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Beni di consumo</w:t>
            </w:r>
          </w:p>
        </w:tc>
        <w:tc>
          <w:tcPr>
            <w:tcW w:w="451"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268</w:t>
            </w:r>
          </w:p>
        </w:tc>
        <w:tc>
          <w:tcPr>
            <w:tcW w:w="511" w:type="pct"/>
            <w:vAlign w:val="bottom"/>
          </w:tcPr>
          <w:p w:rsidR="00EB5C05" w:rsidRPr="00CD0C7A"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703</w:t>
            </w:r>
          </w:p>
        </w:tc>
        <w:tc>
          <w:tcPr>
            <w:tcW w:w="408" w:type="pct"/>
            <w:shd w:val="clear" w:color="auto" w:fill="E6E6E6"/>
            <w:vAlign w:val="bottom"/>
          </w:tcPr>
          <w:p w:rsidR="00EB5C05" w:rsidRPr="00CD0C7A"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1.834</w:t>
            </w:r>
          </w:p>
        </w:tc>
        <w:tc>
          <w:tcPr>
            <w:tcW w:w="489"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261</w:t>
            </w:r>
          </w:p>
        </w:tc>
        <w:tc>
          <w:tcPr>
            <w:tcW w:w="490" w:type="pct"/>
            <w:shd w:val="clear" w:color="auto" w:fill="E6E6E6"/>
            <w:vAlign w:val="bottom"/>
          </w:tcPr>
          <w:p w:rsidR="00EB5C05" w:rsidRPr="00CD0C7A"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712</w:t>
            </w:r>
          </w:p>
        </w:tc>
        <w:tc>
          <w:tcPr>
            <w:tcW w:w="407" w:type="pct"/>
            <w:vAlign w:val="bottom"/>
          </w:tcPr>
          <w:p w:rsidR="00EB5C05" w:rsidRPr="00CD0C7A"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1.761</w:t>
            </w:r>
          </w:p>
        </w:tc>
        <w:tc>
          <w:tcPr>
            <w:tcW w:w="57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-2</w:t>
            </w:r>
            <w:r w:rsidR="001643E0">
              <w:rPr>
                <w:rFonts w:ascii="Arial Narrow" w:hAnsi="Arial Narrow" w:cs="Arial"/>
                <w:bCs/>
                <w:sz w:val="18"/>
                <w:szCs w:val="16"/>
              </w:rPr>
              <w:t>,</w:t>
            </w:r>
            <w:r w:rsidRPr="00826681">
              <w:rPr>
                <w:rFonts w:ascii="Arial Narrow" w:hAnsi="Arial Narrow" w:cs="Arial"/>
                <w:bCs/>
                <w:sz w:val="18"/>
                <w:szCs w:val="16"/>
              </w:rPr>
              <w:t>6</w:t>
            </w:r>
          </w:p>
        </w:tc>
        <w:tc>
          <w:tcPr>
            <w:tcW w:w="488" w:type="pct"/>
            <w:vAlign w:val="center"/>
          </w:tcPr>
          <w:p w:rsidR="00EB5C05" w:rsidRPr="00826681" w:rsidRDefault="00360477" w:rsidP="001F78E3">
            <w:pPr>
              <w:spacing w:before="40" w:after="20"/>
              <w:jc w:val="right"/>
              <w:rPr>
                <w:rFonts w:ascii="Arial Narrow" w:hAnsi="Arial Narrow" w:cs="Arial"/>
                <w:bCs/>
                <w:sz w:val="18"/>
                <w:szCs w:val="16"/>
              </w:rPr>
            </w:pPr>
            <w:r>
              <w:rPr>
                <w:rFonts w:ascii="Arial Narrow" w:hAnsi="Arial Narrow" w:cs="Arial"/>
                <w:bCs/>
                <w:sz w:val="18"/>
                <w:szCs w:val="16"/>
              </w:rPr>
              <w:t>+</w:t>
            </w:r>
            <w:r w:rsidR="00EB5C05" w:rsidRPr="00826681">
              <w:rPr>
                <w:rFonts w:ascii="Arial Narrow" w:hAnsi="Arial Narrow" w:cs="Arial"/>
                <w:bCs/>
                <w:sz w:val="18"/>
                <w:szCs w:val="16"/>
              </w:rPr>
              <w:t>1</w:t>
            </w:r>
            <w:r w:rsidR="001643E0">
              <w:rPr>
                <w:rFonts w:ascii="Arial Narrow" w:hAnsi="Arial Narrow" w:cs="Arial"/>
                <w:bCs/>
                <w:sz w:val="18"/>
                <w:szCs w:val="16"/>
              </w:rPr>
              <w:t>,</w:t>
            </w:r>
            <w:r w:rsidR="00EB5C05" w:rsidRPr="00826681">
              <w:rPr>
                <w:rFonts w:ascii="Arial Narrow" w:hAnsi="Arial Narrow" w:cs="Arial"/>
                <w:bCs/>
                <w:sz w:val="18"/>
                <w:szCs w:val="16"/>
              </w:rPr>
              <w:t>3</w:t>
            </w:r>
          </w:p>
        </w:tc>
        <w:tc>
          <w:tcPr>
            <w:tcW w:w="41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-4</w:t>
            </w:r>
            <w:r w:rsidR="001643E0">
              <w:rPr>
                <w:rFonts w:ascii="Arial Narrow" w:hAnsi="Arial Narrow" w:cs="Arial"/>
                <w:bCs/>
                <w:sz w:val="18"/>
                <w:szCs w:val="16"/>
              </w:rPr>
              <w:t>,</w:t>
            </w:r>
            <w:r w:rsidRPr="00826681">
              <w:rPr>
                <w:rFonts w:ascii="Arial Narrow" w:hAnsi="Arial Narrow" w:cs="Arial"/>
                <w:bCs/>
                <w:sz w:val="18"/>
                <w:szCs w:val="16"/>
              </w:rPr>
              <w:t>0</w:t>
            </w:r>
          </w:p>
        </w:tc>
      </w:tr>
      <w:tr w:rsidR="00EB5C05">
        <w:tc>
          <w:tcPr>
            <w:tcW w:w="776" w:type="pct"/>
            <w:vAlign w:val="center"/>
          </w:tcPr>
          <w:p w:rsidR="00EB5C05" w:rsidRDefault="00EB5C05" w:rsidP="00F939D6">
            <w:pPr>
              <w:spacing w:before="40" w:after="20"/>
              <w:rPr>
                <w:rFonts w:ascii="Arial Narrow" w:hAnsi="Arial Narrow" w:cs="Arial"/>
                <w:i/>
                <w:sz w:val="18"/>
                <w:szCs w:val="16"/>
              </w:rPr>
            </w:pPr>
            <w:r>
              <w:rPr>
                <w:rFonts w:ascii="Arial Narrow" w:hAnsi="Arial Narrow" w:cs="Arial"/>
                <w:i/>
                <w:sz w:val="18"/>
                <w:szCs w:val="16"/>
              </w:rPr>
              <w:t xml:space="preserve">  durevoli</w:t>
            </w:r>
          </w:p>
        </w:tc>
        <w:tc>
          <w:tcPr>
            <w:tcW w:w="451" w:type="pct"/>
            <w:shd w:val="clear" w:color="auto" w:fill="E6E6E6"/>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54</w:t>
            </w:r>
          </w:p>
        </w:tc>
        <w:tc>
          <w:tcPr>
            <w:tcW w:w="511" w:type="pct"/>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182</w:t>
            </w:r>
          </w:p>
        </w:tc>
        <w:tc>
          <w:tcPr>
            <w:tcW w:w="408" w:type="pct"/>
            <w:shd w:val="clear" w:color="auto" w:fill="E6E6E6"/>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517</w:t>
            </w:r>
          </w:p>
        </w:tc>
        <w:tc>
          <w:tcPr>
            <w:tcW w:w="489" w:type="pct"/>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53</w:t>
            </w:r>
          </w:p>
        </w:tc>
        <w:tc>
          <w:tcPr>
            <w:tcW w:w="490" w:type="pct"/>
            <w:shd w:val="clear" w:color="auto" w:fill="E6E6E6"/>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179</w:t>
            </w:r>
          </w:p>
        </w:tc>
        <w:tc>
          <w:tcPr>
            <w:tcW w:w="407" w:type="pct"/>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486</w:t>
            </w:r>
          </w:p>
        </w:tc>
        <w:tc>
          <w:tcPr>
            <w:tcW w:w="57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-1</w:t>
            </w:r>
            <w:r w:rsidR="001643E0">
              <w:rPr>
                <w:rFonts w:ascii="Arial Narrow" w:hAnsi="Arial Narrow" w:cs="Arial"/>
                <w:bCs/>
                <w:sz w:val="18"/>
                <w:szCs w:val="16"/>
              </w:rPr>
              <w:t>,</w:t>
            </w:r>
            <w:r w:rsidRPr="00826681">
              <w:rPr>
                <w:rFonts w:ascii="Arial Narrow" w:hAnsi="Arial Narrow" w:cs="Arial"/>
                <w:bCs/>
                <w:sz w:val="18"/>
                <w:szCs w:val="16"/>
              </w:rPr>
              <w:t>9</w:t>
            </w:r>
          </w:p>
        </w:tc>
        <w:tc>
          <w:tcPr>
            <w:tcW w:w="488" w:type="pct"/>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-1</w:t>
            </w:r>
            <w:r w:rsidR="001643E0">
              <w:rPr>
                <w:rFonts w:ascii="Arial Narrow" w:hAnsi="Arial Narrow" w:cs="Arial"/>
                <w:bCs/>
                <w:sz w:val="18"/>
                <w:szCs w:val="16"/>
              </w:rPr>
              <w:t>,</w:t>
            </w:r>
            <w:r w:rsidRPr="00826681">
              <w:rPr>
                <w:rFonts w:ascii="Arial Narrow" w:hAnsi="Arial Narrow" w:cs="Arial"/>
                <w:bCs/>
                <w:sz w:val="18"/>
                <w:szCs w:val="16"/>
              </w:rPr>
              <w:t>6</w:t>
            </w:r>
          </w:p>
        </w:tc>
        <w:tc>
          <w:tcPr>
            <w:tcW w:w="41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-6</w:t>
            </w:r>
            <w:r w:rsidR="001643E0">
              <w:rPr>
                <w:rFonts w:ascii="Arial Narrow" w:hAnsi="Arial Narrow" w:cs="Arial"/>
                <w:bCs/>
                <w:sz w:val="18"/>
                <w:szCs w:val="16"/>
              </w:rPr>
              <w:t>,</w:t>
            </w:r>
            <w:r w:rsidRPr="00826681">
              <w:rPr>
                <w:rFonts w:ascii="Arial Narrow" w:hAnsi="Arial Narrow" w:cs="Arial"/>
                <w:bCs/>
                <w:sz w:val="18"/>
                <w:szCs w:val="16"/>
              </w:rPr>
              <w:t>0</w:t>
            </w:r>
          </w:p>
        </w:tc>
      </w:tr>
      <w:tr w:rsidR="00EB5C05">
        <w:tc>
          <w:tcPr>
            <w:tcW w:w="776" w:type="pct"/>
            <w:vAlign w:val="center"/>
          </w:tcPr>
          <w:p w:rsidR="00EB5C05" w:rsidRDefault="00EB5C05" w:rsidP="00F939D6">
            <w:pPr>
              <w:spacing w:before="40" w:after="20"/>
              <w:rPr>
                <w:rFonts w:ascii="Arial Narrow" w:hAnsi="Arial Narrow" w:cs="Arial"/>
                <w:i/>
                <w:sz w:val="18"/>
                <w:szCs w:val="16"/>
              </w:rPr>
            </w:pPr>
            <w:r>
              <w:rPr>
                <w:rFonts w:ascii="Arial Narrow" w:hAnsi="Arial Narrow" w:cs="Arial"/>
                <w:i/>
                <w:sz w:val="18"/>
                <w:szCs w:val="16"/>
              </w:rPr>
              <w:t xml:space="preserve">  non durevoli</w:t>
            </w:r>
          </w:p>
        </w:tc>
        <w:tc>
          <w:tcPr>
            <w:tcW w:w="451" w:type="pct"/>
            <w:shd w:val="clear" w:color="auto" w:fill="E6E6E6"/>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214</w:t>
            </w:r>
          </w:p>
        </w:tc>
        <w:tc>
          <w:tcPr>
            <w:tcW w:w="511" w:type="pct"/>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522</w:t>
            </w:r>
          </w:p>
        </w:tc>
        <w:tc>
          <w:tcPr>
            <w:tcW w:w="408" w:type="pct"/>
            <w:shd w:val="clear" w:color="auto" w:fill="E6E6E6"/>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1.317</w:t>
            </w:r>
          </w:p>
        </w:tc>
        <w:tc>
          <w:tcPr>
            <w:tcW w:w="489" w:type="pct"/>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208</w:t>
            </w:r>
          </w:p>
        </w:tc>
        <w:tc>
          <w:tcPr>
            <w:tcW w:w="490" w:type="pct"/>
            <w:shd w:val="clear" w:color="auto" w:fill="E6E6E6"/>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534</w:t>
            </w:r>
          </w:p>
        </w:tc>
        <w:tc>
          <w:tcPr>
            <w:tcW w:w="407" w:type="pct"/>
            <w:vAlign w:val="center"/>
          </w:tcPr>
          <w:p w:rsidR="00EB5C05" w:rsidRDefault="00EB5C05" w:rsidP="001F78E3">
            <w:pPr>
              <w:spacing w:before="40" w:after="20"/>
              <w:jc w:val="right"/>
              <w:rPr>
                <w:rFonts w:ascii="Arial Narrow" w:hAnsi="Arial Narrow" w:cs="Arial"/>
                <w:bCs/>
                <w:i/>
                <w:sz w:val="18"/>
                <w:szCs w:val="16"/>
              </w:rPr>
            </w:pPr>
            <w:r>
              <w:rPr>
                <w:rFonts w:ascii="Arial Narrow" w:hAnsi="Arial Narrow" w:cs="Arial"/>
                <w:bCs/>
                <w:i/>
                <w:sz w:val="18"/>
                <w:szCs w:val="16"/>
              </w:rPr>
              <w:t>1.275</w:t>
            </w:r>
          </w:p>
        </w:tc>
        <w:tc>
          <w:tcPr>
            <w:tcW w:w="57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-2</w:t>
            </w:r>
            <w:r w:rsidR="001643E0">
              <w:rPr>
                <w:rFonts w:ascii="Arial Narrow" w:hAnsi="Arial Narrow" w:cs="Arial"/>
                <w:bCs/>
                <w:sz w:val="18"/>
                <w:szCs w:val="16"/>
              </w:rPr>
              <w:t>,</w:t>
            </w:r>
            <w:r w:rsidRPr="00826681">
              <w:rPr>
                <w:rFonts w:ascii="Arial Narrow" w:hAnsi="Arial Narrow" w:cs="Arial"/>
                <w:bCs/>
                <w:sz w:val="18"/>
                <w:szCs w:val="16"/>
              </w:rPr>
              <w:t>8</w:t>
            </w:r>
          </w:p>
        </w:tc>
        <w:tc>
          <w:tcPr>
            <w:tcW w:w="488" w:type="pct"/>
            <w:vAlign w:val="center"/>
          </w:tcPr>
          <w:p w:rsidR="00EB5C05" w:rsidRPr="00826681" w:rsidRDefault="00360477" w:rsidP="001F78E3">
            <w:pPr>
              <w:spacing w:before="40" w:after="20"/>
              <w:jc w:val="right"/>
              <w:rPr>
                <w:rFonts w:ascii="Arial Narrow" w:hAnsi="Arial Narrow" w:cs="Arial"/>
                <w:bCs/>
                <w:sz w:val="18"/>
                <w:szCs w:val="16"/>
              </w:rPr>
            </w:pPr>
            <w:r>
              <w:rPr>
                <w:rFonts w:ascii="Arial Narrow" w:hAnsi="Arial Narrow" w:cs="Arial"/>
                <w:bCs/>
                <w:sz w:val="18"/>
                <w:szCs w:val="16"/>
              </w:rPr>
              <w:t>+</w:t>
            </w:r>
            <w:r w:rsidR="00EB5C05" w:rsidRPr="00826681">
              <w:rPr>
                <w:rFonts w:ascii="Arial Narrow" w:hAnsi="Arial Narrow" w:cs="Arial"/>
                <w:bCs/>
                <w:sz w:val="18"/>
                <w:szCs w:val="16"/>
              </w:rPr>
              <w:t>2</w:t>
            </w:r>
            <w:r w:rsidR="001643E0">
              <w:rPr>
                <w:rFonts w:ascii="Arial Narrow" w:hAnsi="Arial Narrow" w:cs="Arial"/>
                <w:bCs/>
                <w:sz w:val="18"/>
                <w:szCs w:val="16"/>
              </w:rPr>
              <w:t>,</w:t>
            </w:r>
            <w:r w:rsidR="00EB5C05" w:rsidRPr="00826681">
              <w:rPr>
                <w:rFonts w:ascii="Arial Narrow" w:hAnsi="Arial Narrow" w:cs="Arial"/>
                <w:bCs/>
                <w:sz w:val="18"/>
                <w:szCs w:val="16"/>
              </w:rPr>
              <w:t>3</w:t>
            </w:r>
          </w:p>
        </w:tc>
        <w:tc>
          <w:tcPr>
            <w:tcW w:w="41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-3</w:t>
            </w:r>
            <w:r w:rsidR="001643E0">
              <w:rPr>
                <w:rFonts w:ascii="Arial Narrow" w:hAnsi="Arial Narrow" w:cs="Arial"/>
                <w:bCs/>
                <w:sz w:val="18"/>
                <w:szCs w:val="16"/>
              </w:rPr>
              <w:t>,</w:t>
            </w:r>
            <w:r w:rsidRPr="00826681">
              <w:rPr>
                <w:rFonts w:ascii="Arial Narrow" w:hAnsi="Arial Narrow" w:cs="Arial"/>
                <w:bCs/>
                <w:sz w:val="18"/>
                <w:szCs w:val="16"/>
              </w:rPr>
              <w:t>2</w:t>
            </w:r>
          </w:p>
        </w:tc>
      </w:tr>
      <w:tr w:rsidR="00EB5C05">
        <w:tc>
          <w:tcPr>
            <w:tcW w:w="776" w:type="pct"/>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Beni strumentali</w:t>
            </w:r>
          </w:p>
        </w:tc>
        <w:tc>
          <w:tcPr>
            <w:tcW w:w="451"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195</w:t>
            </w:r>
          </w:p>
        </w:tc>
        <w:tc>
          <w:tcPr>
            <w:tcW w:w="511"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358</w:t>
            </w:r>
          </w:p>
        </w:tc>
        <w:tc>
          <w:tcPr>
            <w:tcW w:w="408"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983</w:t>
            </w:r>
          </w:p>
        </w:tc>
        <w:tc>
          <w:tcPr>
            <w:tcW w:w="489"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194</w:t>
            </w:r>
          </w:p>
        </w:tc>
        <w:tc>
          <w:tcPr>
            <w:tcW w:w="490"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389</w:t>
            </w:r>
          </w:p>
        </w:tc>
        <w:tc>
          <w:tcPr>
            <w:tcW w:w="407"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1.059</w:t>
            </w:r>
          </w:p>
        </w:tc>
        <w:tc>
          <w:tcPr>
            <w:tcW w:w="57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-0</w:t>
            </w:r>
            <w:r w:rsidR="001643E0">
              <w:rPr>
                <w:rFonts w:ascii="Arial Narrow" w:hAnsi="Arial Narrow" w:cs="Arial"/>
                <w:bCs/>
                <w:sz w:val="18"/>
                <w:szCs w:val="16"/>
              </w:rPr>
              <w:t>,</w:t>
            </w:r>
            <w:r w:rsidRPr="00826681">
              <w:rPr>
                <w:rFonts w:ascii="Arial Narrow" w:hAnsi="Arial Narrow" w:cs="Arial"/>
                <w:bCs/>
                <w:sz w:val="18"/>
                <w:szCs w:val="16"/>
              </w:rPr>
              <w:t>5</w:t>
            </w:r>
          </w:p>
        </w:tc>
        <w:tc>
          <w:tcPr>
            <w:tcW w:w="488" w:type="pct"/>
            <w:vAlign w:val="center"/>
          </w:tcPr>
          <w:p w:rsidR="00EB5C05" w:rsidRPr="00826681" w:rsidRDefault="00360477" w:rsidP="001F78E3">
            <w:pPr>
              <w:spacing w:before="40" w:after="20"/>
              <w:jc w:val="right"/>
              <w:rPr>
                <w:rFonts w:ascii="Arial Narrow" w:hAnsi="Arial Narrow" w:cs="Arial"/>
                <w:bCs/>
                <w:sz w:val="18"/>
                <w:szCs w:val="16"/>
              </w:rPr>
            </w:pPr>
            <w:r>
              <w:rPr>
                <w:rFonts w:ascii="Arial Narrow" w:hAnsi="Arial Narrow" w:cs="Arial"/>
                <w:bCs/>
                <w:sz w:val="18"/>
                <w:szCs w:val="16"/>
              </w:rPr>
              <w:t>+</w:t>
            </w:r>
            <w:r w:rsidR="00EB5C05" w:rsidRPr="00826681">
              <w:rPr>
                <w:rFonts w:ascii="Arial Narrow" w:hAnsi="Arial Narrow" w:cs="Arial"/>
                <w:bCs/>
                <w:sz w:val="18"/>
                <w:szCs w:val="16"/>
              </w:rPr>
              <w:t>8</w:t>
            </w:r>
            <w:r w:rsidR="001643E0">
              <w:rPr>
                <w:rFonts w:ascii="Arial Narrow" w:hAnsi="Arial Narrow" w:cs="Arial"/>
                <w:bCs/>
                <w:sz w:val="18"/>
                <w:szCs w:val="16"/>
              </w:rPr>
              <w:t>,</w:t>
            </w:r>
            <w:r w:rsidR="00EB5C05" w:rsidRPr="00826681">
              <w:rPr>
                <w:rFonts w:ascii="Arial Narrow" w:hAnsi="Arial Narrow" w:cs="Arial"/>
                <w:bCs/>
                <w:sz w:val="18"/>
                <w:szCs w:val="16"/>
              </w:rPr>
              <w:t>7</w:t>
            </w:r>
          </w:p>
        </w:tc>
        <w:tc>
          <w:tcPr>
            <w:tcW w:w="410" w:type="pct"/>
            <w:shd w:val="clear" w:color="auto" w:fill="E6E6E6"/>
            <w:vAlign w:val="center"/>
          </w:tcPr>
          <w:p w:rsidR="00EB5C05" w:rsidRPr="00826681" w:rsidRDefault="00360477" w:rsidP="001F78E3">
            <w:pPr>
              <w:spacing w:before="40" w:after="20"/>
              <w:jc w:val="right"/>
              <w:rPr>
                <w:rFonts w:ascii="Arial Narrow" w:hAnsi="Arial Narrow" w:cs="Arial"/>
                <w:bCs/>
                <w:sz w:val="18"/>
                <w:szCs w:val="16"/>
              </w:rPr>
            </w:pPr>
            <w:r>
              <w:rPr>
                <w:rFonts w:ascii="Arial Narrow" w:hAnsi="Arial Narrow" w:cs="Arial"/>
                <w:bCs/>
                <w:sz w:val="18"/>
                <w:szCs w:val="16"/>
              </w:rPr>
              <w:t>+</w:t>
            </w:r>
            <w:r w:rsidR="00EB5C05" w:rsidRPr="00826681">
              <w:rPr>
                <w:rFonts w:ascii="Arial Narrow" w:hAnsi="Arial Narrow" w:cs="Arial"/>
                <w:bCs/>
                <w:sz w:val="18"/>
                <w:szCs w:val="16"/>
              </w:rPr>
              <w:t>7</w:t>
            </w:r>
            <w:r w:rsidR="001643E0">
              <w:rPr>
                <w:rFonts w:ascii="Arial Narrow" w:hAnsi="Arial Narrow" w:cs="Arial"/>
                <w:bCs/>
                <w:sz w:val="18"/>
                <w:szCs w:val="16"/>
              </w:rPr>
              <w:t>,</w:t>
            </w:r>
            <w:r w:rsidR="00EB5C05" w:rsidRPr="00826681">
              <w:rPr>
                <w:rFonts w:ascii="Arial Narrow" w:hAnsi="Arial Narrow" w:cs="Arial"/>
                <w:bCs/>
                <w:sz w:val="18"/>
                <w:szCs w:val="16"/>
              </w:rPr>
              <w:t>7</w:t>
            </w:r>
          </w:p>
        </w:tc>
      </w:tr>
      <w:tr w:rsidR="00EB5C05">
        <w:tc>
          <w:tcPr>
            <w:tcW w:w="776" w:type="pct"/>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Beni intermedi</w:t>
            </w:r>
          </w:p>
        </w:tc>
        <w:tc>
          <w:tcPr>
            <w:tcW w:w="451"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378</w:t>
            </w:r>
          </w:p>
        </w:tc>
        <w:tc>
          <w:tcPr>
            <w:tcW w:w="511"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676</w:t>
            </w:r>
          </w:p>
        </w:tc>
        <w:tc>
          <w:tcPr>
            <w:tcW w:w="408"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1.722</w:t>
            </w:r>
          </w:p>
        </w:tc>
        <w:tc>
          <w:tcPr>
            <w:tcW w:w="489"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378</w:t>
            </w:r>
          </w:p>
        </w:tc>
        <w:tc>
          <w:tcPr>
            <w:tcW w:w="490" w:type="pct"/>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726</w:t>
            </w:r>
          </w:p>
        </w:tc>
        <w:tc>
          <w:tcPr>
            <w:tcW w:w="407" w:type="pct"/>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1.771</w:t>
            </w:r>
          </w:p>
        </w:tc>
        <w:tc>
          <w:tcPr>
            <w:tcW w:w="570" w:type="pct"/>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0</w:t>
            </w:r>
            <w:r w:rsidR="001643E0">
              <w:rPr>
                <w:rFonts w:ascii="Arial Narrow" w:hAnsi="Arial Narrow" w:cs="Arial"/>
                <w:bCs/>
                <w:sz w:val="18"/>
                <w:szCs w:val="16"/>
              </w:rPr>
              <w:t>,</w:t>
            </w:r>
            <w:r>
              <w:rPr>
                <w:rFonts w:ascii="Arial Narrow" w:hAnsi="Arial Narrow" w:cs="Arial"/>
                <w:bCs/>
                <w:sz w:val="18"/>
                <w:szCs w:val="16"/>
              </w:rPr>
              <w:t>0</w:t>
            </w:r>
          </w:p>
        </w:tc>
        <w:tc>
          <w:tcPr>
            <w:tcW w:w="488" w:type="pct"/>
            <w:vAlign w:val="center"/>
          </w:tcPr>
          <w:p w:rsidR="00EB5C05" w:rsidRPr="00826681" w:rsidRDefault="00360477" w:rsidP="001F78E3">
            <w:pPr>
              <w:spacing w:before="40" w:after="20"/>
              <w:jc w:val="right"/>
              <w:rPr>
                <w:rFonts w:ascii="Arial Narrow" w:hAnsi="Arial Narrow" w:cs="Arial"/>
                <w:bCs/>
                <w:sz w:val="18"/>
                <w:szCs w:val="16"/>
              </w:rPr>
            </w:pPr>
            <w:r>
              <w:rPr>
                <w:rFonts w:ascii="Arial Narrow" w:hAnsi="Arial Narrow" w:cs="Arial"/>
                <w:bCs/>
                <w:sz w:val="18"/>
                <w:szCs w:val="16"/>
              </w:rPr>
              <w:t>+</w:t>
            </w:r>
            <w:r w:rsidR="00EB5C05" w:rsidRPr="00826681">
              <w:rPr>
                <w:rFonts w:ascii="Arial Narrow" w:hAnsi="Arial Narrow" w:cs="Arial"/>
                <w:bCs/>
                <w:sz w:val="18"/>
                <w:szCs w:val="16"/>
              </w:rPr>
              <w:t>7</w:t>
            </w:r>
            <w:r w:rsidR="001643E0">
              <w:rPr>
                <w:rFonts w:ascii="Arial Narrow" w:hAnsi="Arial Narrow" w:cs="Arial"/>
                <w:bCs/>
                <w:sz w:val="18"/>
                <w:szCs w:val="16"/>
              </w:rPr>
              <w:t>,</w:t>
            </w:r>
            <w:r w:rsidR="00EB5C05" w:rsidRPr="00826681">
              <w:rPr>
                <w:rFonts w:ascii="Arial Narrow" w:hAnsi="Arial Narrow" w:cs="Arial"/>
                <w:bCs/>
                <w:sz w:val="18"/>
                <w:szCs w:val="16"/>
              </w:rPr>
              <w:t>4</w:t>
            </w:r>
          </w:p>
        </w:tc>
        <w:tc>
          <w:tcPr>
            <w:tcW w:w="410" w:type="pct"/>
            <w:shd w:val="clear" w:color="auto" w:fill="E6E6E6"/>
            <w:vAlign w:val="center"/>
          </w:tcPr>
          <w:p w:rsidR="00EB5C05" w:rsidRPr="00826681" w:rsidRDefault="00360477" w:rsidP="001F78E3">
            <w:pPr>
              <w:spacing w:before="40" w:after="20"/>
              <w:jc w:val="right"/>
              <w:rPr>
                <w:rFonts w:ascii="Arial Narrow" w:hAnsi="Arial Narrow" w:cs="Arial"/>
                <w:bCs/>
                <w:sz w:val="18"/>
                <w:szCs w:val="16"/>
              </w:rPr>
            </w:pPr>
            <w:r>
              <w:rPr>
                <w:rFonts w:ascii="Arial Narrow" w:hAnsi="Arial Narrow" w:cs="Arial"/>
                <w:bCs/>
                <w:sz w:val="18"/>
                <w:szCs w:val="16"/>
              </w:rPr>
              <w:t>+</w:t>
            </w:r>
            <w:r w:rsidR="00EB5C05" w:rsidRPr="00826681">
              <w:rPr>
                <w:rFonts w:ascii="Arial Narrow" w:hAnsi="Arial Narrow" w:cs="Arial"/>
                <w:bCs/>
                <w:sz w:val="18"/>
                <w:szCs w:val="16"/>
              </w:rPr>
              <w:t>2</w:t>
            </w:r>
            <w:r w:rsidR="001643E0">
              <w:rPr>
                <w:rFonts w:ascii="Arial Narrow" w:hAnsi="Arial Narrow" w:cs="Arial"/>
                <w:bCs/>
                <w:sz w:val="18"/>
                <w:szCs w:val="16"/>
              </w:rPr>
              <w:t>,</w:t>
            </w:r>
            <w:r w:rsidR="00EB5C05" w:rsidRPr="00826681">
              <w:rPr>
                <w:rFonts w:ascii="Arial Narrow" w:hAnsi="Arial Narrow" w:cs="Arial"/>
                <w:bCs/>
                <w:sz w:val="18"/>
                <w:szCs w:val="16"/>
              </w:rPr>
              <w:t>8</w:t>
            </w:r>
          </w:p>
        </w:tc>
      </w:tr>
      <w:tr w:rsidR="00EB5C05">
        <w:tc>
          <w:tcPr>
            <w:tcW w:w="776" w:type="pct"/>
            <w:tcBorders>
              <w:bottom w:val="single" w:sz="4" w:space="0" w:color="333333"/>
            </w:tcBorders>
            <w:vAlign w:val="center"/>
          </w:tcPr>
          <w:p w:rsidR="00EB5C05" w:rsidRDefault="00EB5C05" w:rsidP="00F939D6">
            <w:pPr>
              <w:spacing w:before="40" w:after="20"/>
              <w:ind w:left="-57"/>
              <w:rPr>
                <w:rFonts w:ascii="Arial Narrow" w:hAnsi="Arial Narrow" w:cs="Arial"/>
                <w:sz w:val="18"/>
                <w:szCs w:val="16"/>
              </w:rPr>
            </w:pPr>
            <w:r>
              <w:rPr>
                <w:rFonts w:ascii="Arial Narrow" w:hAnsi="Arial Narrow" w:cs="Arial"/>
                <w:sz w:val="18"/>
                <w:szCs w:val="16"/>
              </w:rPr>
              <w:t>Energia</w:t>
            </w:r>
          </w:p>
        </w:tc>
        <w:tc>
          <w:tcPr>
            <w:tcW w:w="451" w:type="pct"/>
            <w:tcBorders>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5</w:t>
            </w:r>
          </w:p>
        </w:tc>
        <w:tc>
          <w:tcPr>
            <w:tcW w:w="511" w:type="pct"/>
            <w:tcBorders>
              <w:bottom w:val="single" w:sz="4" w:space="0" w:color="333333"/>
            </w:tcBorders>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w:t>
            </w:r>
          </w:p>
        </w:tc>
        <w:tc>
          <w:tcPr>
            <w:tcW w:w="408" w:type="pct"/>
            <w:tcBorders>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10</w:t>
            </w:r>
          </w:p>
        </w:tc>
        <w:tc>
          <w:tcPr>
            <w:tcW w:w="489" w:type="pct"/>
            <w:tcBorders>
              <w:bottom w:val="single" w:sz="4" w:space="0" w:color="333333"/>
            </w:tcBorders>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5</w:t>
            </w:r>
          </w:p>
        </w:tc>
        <w:tc>
          <w:tcPr>
            <w:tcW w:w="490" w:type="pct"/>
            <w:tcBorders>
              <w:bottom w:val="single" w:sz="4" w:space="0" w:color="333333"/>
            </w:tcBorders>
            <w:shd w:val="clear" w:color="auto" w:fill="E6E6E6"/>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3</w:t>
            </w:r>
          </w:p>
        </w:tc>
        <w:tc>
          <w:tcPr>
            <w:tcW w:w="407" w:type="pct"/>
            <w:tcBorders>
              <w:bottom w:val="single" w:sz="4" w:space="0" w:color="333333"/>
            </w:tcBorders>
            <w:vAlign w:val="center"/>
          </w:tcPr>
          <w:p w:rsidR="00EB5C05" w:rsidRDefault="00EB5C05" w:rsidP="001F78E3">
            <w:pPr>
              <w:spacing w:before="40" w:after="20"/>
              <w:jc w:val="right"/>
              <w:rPr>
                <w:rFonts w:ascii="Arial Narrow" w:hAnsi="Arial Narrow" w:cs="Arial"/>
                <w:bCs/>
                <w:sz w:val="18"/>
                <w:szCs w:val="16"/>
              </w:rPr>
            </w:pPr>
            <w:r>
              <w:rPr>
                <w:rFonts w:ascii="Arial Narrow" w:hAnsi="Arial Narrow" w:cs="Arial"/>
                <w:bCs/>
                <w:sz w:val="18"/>
                <w:szCs w:val="16"/>
              </w:rPr>
              <w:t>10</w:t>
            </w:r>
          </w:p>
        </w:tc>
        <w:tc>
          <w:tcPr>
            <w:tcW w:w="570" w:type="pct"/>
            <w:tcBorders>
              <w:bottom w:val="single" w:sz="4" w:space="0" w:color="333333"/>
            </w:tcBorders>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0</w:t>
            </w:r>
            <w:r w:rsidR="001643E0">
              <w:rPr>
                <w:rFonts w:ascii="Arial Narrow" w:hAnsi="Arial Narrow" w:cs="Arial"/>
                <w:bCs/>
                <w:sz w:val="18"/>
                <w:szCs w:val="16"/>
              </w:rPr>
              <w:t>,</w:t>
            </w:r>
            <w:r w:rsidRPr="00826681">
              <w:rPr>
                <w:rFonts w:ascii="Arial Narrow" w:hAnsi="Arial Narrow" w:cs="Arial"/>
                <w:bCs/>
                <w:sz w:val="18"/>
                <w:szCs w:val="16"/>
              </w:rPr>
              <w:t>0</w:t>
            </w:r>
          </w:p>
        </w:tc>
        <w:tc>
          <w:tcPr>
            <w:tcW w:w="488" w:type="pct"/>
            <w:tcBorders>
              <w:bottom w:val="single" w:sz="4" w:space="0" w:color="333333"/>
            </w:tcBorders>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0</w:t>
            </w:r>
            <w:r w:rsidR="001643E0">
              <w:rPr>
                <w:rFonts w:ascii="Arial Narrow" w:hAnsi="Arial Narrow" w:cs="Arial"/>
                <w:bCs/>
                <w:sz w:val="18"/>
                <w:szCs w:val="16"/>
              </w:rPr>
              <w:t>,</w:t>
            </w:r>
            <w:r w:rsidRPr="00826681">
              <w:rPr>
                <w:rFonts w:ascii="Arial Narrow" w:hAnsi="Arial Narrow" w:cs="Arial"/>
                <w:bCs/>
                <w:sz w:val="18"/>
                <w:szCs w:val="16"/>
              </w:rPr>
              <w:t>0</w:t>
            </w:r>
          </w:p>
        </w:tc>
        <w:tc>
          <w:tcPr>
            <w:tcW w:w="410" w:type="pct"/>
            <w:tcBorders>
              <w:bottom w:val="single" w:sz="4" w:space="0" w:color="333333"/>
            </w:tcBorders>
            <w:shd w:val="clear" w:color="auto" w:fill="E6E6E6"/>
            <w:vAlign w:val="center"/>
          </w:tcPr>
          <w:p w:rsidR="00EB5C05" w:rsidRPr="00826681" w:rsidRDefault="00EB5C05" w:rsidP="001F78E3">
            <w:pPr>
              <w:spacing w:before="40" w:after="20"/>
              <w:jc w:val="right"/>
              <w:rPr>
                <w:rFonts w:ascii="Arial Narrow" w:hAnsi="Arial Narrow" w:cs="Arial"/>
                <w:bCs/>
                <w:sz w:val="18"/>
                <w:szCs w:val="16"/>
              </w:rPr>
            </w:pPr>
            <w:r w:rsidRPr="00826681">
              <w:rPr>
                <w:rFonts w:ascii="Arial Narrow" w:hAnsi="Arial Narrow" w:cs="Arial"/>
                <w:bCs/>
                <w:sz w:val="18"/>
                <w:szCs w:val="16"/>
              </w:rPr>
              <w:t>0</w:t>
            </w:r>
            <w:r w:rsidR="001643E0">
              <w:rPr>
                <w:rFonts w:ascii="Arial Narrow" w:hAnsi="Arial Narrow" w:cs="Arial"/>
                <w:bCs/>
                <w:sz w:val="18"/>
                <w:szCs w:val="16"/>
              </w:rPr>
              <w:t>,</w:t>
            </w:r>
            <w:r w:rsidRPr="00826681">
              <w:rPr>
                <w:rFonts w:ascii="Arial Narrow" w:hAnsi="Arial Narrow" w:cs="Arial"/>
                <w:bCs/>
                <w:sz w:val="18"/>
                <w:szCs w:val="16"/>
              </w:rPr>
              <w:t>0</w:t>
            </w:r>
          </w:p>
        </w:tc>
      </w:tr>
      <w:tr w:rsidR="00EB5C05">
        <w:tc>
          <w:tcPr>
            <w:tcW w:w="776" w:type="pct"/>
            <w:tcBorders>
              <w:bottom w:val="single" w:sz="4" w:space="0" w:color="auto"/>
            </w:tcBorders>
            <w:shd w:val="clear" w:color="auto" w:fill="99CC00"/>
            <w:vAlign w:val="center"/>
          </w:tcPr>
          <w:p w:rsidR="00EB5C05" w:rsidRPr="00C10B26" w:rsidRDefault="00EB5C05" w:rsidP="00F939D6">
            <w:pPr>
              <w:spacing w:before="40" w:after="20"/>
              <w:ind w:left="-57"/>
              <w:rPr>
                <w:rFonts w:ascii="Arial Narrow" w:hAnsi="Arial Narrow" w:cs="Arial"/>
                <w:b/>
                <w:color w:val="FFFFFF"/>
                <w:sz w:val="18"/>
                <w:szCs w:val="16"/>
              </w:rPr>
            </w:pPr>
            <w:r w:rsidRPr="00C10B26">
              <w:rPr>
                <w:rFonts w:ascii="Arial Narrow" w:hAnsi="Arial Narrow" w:cs="Arial"/>
                <w:b/>
                <w:color w:val="FFFFFF"/>
                <w:sz w:val="18"/>
                <w:szCs w:val="16"/>
              </w:rPr>
              <w:t>Totale</w:t>
            </w:r>
          </w:p>
        </w:tc>
        <w:tc>
          <w:tcPr>
            <w:tcW w:w="451"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846</w:t>
            </w:r>
          </w:p>
        </w:tc>
        <w:tc>
          <w:tcPr>
            <w:tcW w:w="511"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1.732</w:t>
            </w:r>
          </w:p>
        </w:tc>
        <w:tc>
          <w:tcPr>
            <w:tcW w:w="408"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4.549</w:t>
            </w:r>
          </w:p>
        </w:tc>
        <w:tc>
          <w:tcPr>
            <w:tcW w:w="489"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838</w:t>
            </w:r>
          </w:p>
        </w:tc>
        <w:tc>
          <w:tcPr>
            <w:tcW w:w="490"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1.821</w:t>
            </w:r>
          </w:p>
        </w:tc>
        <w:tc>
          <w:tcPr>
            <w:tcW w:w="407" w:type="pct"/>
            <w:tcBorders>
              <w:bottom w:val="single" w:sz="4" w:space="0" w:color="auto"/>
            </w:tcBorders>
            <w:shd w:val="clear" w:color="auto" w:fill="99CC00"/>
            <w:vAlign w:val="center"/>
          </w:tcPr>
          <w:p w:rsidR="00EB5C05" w:rsidRPr="00C10B26" w:rsidRDefault="00EB5C05"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4.601</w:t>
            </w:r>
          </w:p>
        </w:tc>
        <w:tc>
          <w:tcPr>
            <w:tcW w:w="570" w:type="pct"/>
            <w:tcBorders>
              <w:bottom w:val="single" w:sz="4" w:space="0" w:color="auto"/>
            </w:tcBorders>
            <w:shd w:val="clear" w:color="auto" w:fill="99CC00"/>
            <w:vAlign w:val="center"/>
          </w:tcPr>
          <w:p w:rsidR="00EB5C05" w:rsidRPr="00826681" w:rsidRDefault="00EB5C05" w:rsidP="001F78E3">
            <w:pPr>
              <w:spacing w:before="40" w:after="20"/>
              <w:jc w:val="right"/>
              <w:rPr>
                <w:rFonts w:ascii="Arial Narrow" w:hAnsi="Arial Narrow" w:cs="Arial"/>
                <w:b/>
                <w:bCs/>
                <w:color w:val="FFFFFF"/>
                <w:sz w:val="18"/>
                <w:szCs w:val="16"/>
              </w:rPr>
            </w:pPr>
            <w:r w:rsidRPr="00826681">
              <w:rPr>
                <w:rFonts w:ascii="Arial Narrow" w:hAnsi="Arial Narrow" w:cs="Arial"/>
                <w:b/>
                <w:bCs/>
                <w:color w:val="FFFFFF"/>
                <w:sz w:val="18"/>
                <w:szCs w:val="16"/>
              </w:rPr>
              <w:t>-1</w:t>
            </w:r>
            <w:r w:rsidR="001643E0">
              <w:rPr>
                <w:rFonts w:ascii="Arial Narrow" w:hAnsi="Arial Narrow" w:cs="Arial"/>
                <w:b/>
                <w:bCs/>
                <w:color w:val="FFFFFF"/>
                <w:sz w:val="18"/>
                <w:szCs w:val="16"/>
              </w:rPr>
              <w:t>,</w:t>
            </w:r>
            <w:r w:rsidRPr="00826681">
              <w:rPr>
                <w:rFonts w:ascii="Arial Narrow" w:hAnsi="Arial Narrow" w:cs="Arial"/>
                <w:b/>
                <w:bCs/>
                <w:color w:val="FFFFFF"/>
                <w:sz w:val="18"/>
                <w:szCs w:val="16"/>
              </w:rPr>
              <w:t>6</w:t>
            </w:r>
          </w:p>
        </w:tc>
        <w:tc>
          <w:tcPr>
            <w:tcW w:w="488" w:type="pct"/>
            <w:tcBorders>
              <w:bottom w:val="single" w:sz="4" w:space="0" w:color="auto"/>
            </w:tcBorders>
            <w:shd w:val="clear" w:color="auto" w:fill="99CC00"/>
            <w:vAlign w:val="center"/>
          </w:tcPr>
          <w:p w:rsidR="00EB5C05" w:rsidRPr="00826681" w:rsidRDefault="00360477"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w:t>
            </w:r>
            <w:r w:rsidR="00EB5C05" w:rsidRPr="00826681">
              <w:rPr>
                <w:rFonts w:ascii="Arial Narrow" w:hAnsi="Arial Narrow" w:cs="Arial"/>
                <w:b/>
                <w:bCs/>
                <w:color w:val="FFFFFF"/>
                <w:sz w:val="18"/>
                <w:szCs w:val="16"/>
              </w:rPr>
              <w:t>5</w:t>
            </w:r>
            <w:r w:rsidR="001643E0">
              <w:rPr>
                <w:rFonts w:ascii="Arial Narrow" w:hAnsi="Arial Narrow" w:cs="Arial"/>
                <w:b/>
                <w:bCs/>
                <w:color w:val="FFFFFF"/>
                <w:sz w:val="18"/>
                <w:szCs w:val="16"/>
              </w:rPr>
              <w:t>,</w:t>
            </w:r>
            <w:r w:rsidR="00EB5C05" w:rsidRPr="00826681">
              <w:rPr>
                <w:rFonts w:ascii="Arial Narrow" w:hAnsi="Arial Narrow" w:cs="Arial"/>
                <w:b/>
                <w:bCs/>
                <w:color w:val="FFFFFF"/>
                <w:sz w:val="18"/>
                <w:szCs w:val="16"/>
              </w:rPr>
              <w:t>1</w:t>
            </w:r>
          </w:p>
        </w:tc>
        <w:tc>
          <w:tcPr>
            <w:tcW w:w="410" w:type="pct"/>
            <w:tcBorders>
              <w:bottom w:val="single" w:sz="4" w:space="0" w:color="auto"/>
            </w:tcBorders>
            <w:shd w:val="clear" w:color="auto" w:fill="99CC00"/>
            <w:vAlign w:val="center"/>
          </w:tcPr>
          <w:p w:rsidR="00EB5C05" w:rsidRPr="00826681" w:rsidRDefault="00360477" w:rsidP="001F78E3">
            <w:pPr>
              <w:spacing w:before="40" w:after="20"/>
              <w:jc w:val="right"/>
              <w:rPr>
                <w:rFonts w:ascii="Arial Narrow" w:hAnsi="Arial Narrow" w:cs="Arial"/>
                <w:b/>
                <w:bCs/>
                <w:color w:val="FFFFFF"/>
                <w:sz w:val="18"/>
                <w:szCs w:val="16"/>
              </w:rPr>
            </w:pPr>
            <w:r>
              <w:rPr>
                <w:rFonts w:ascii="Arial Narrow" w:hAnsi="Arial Narrow" w:cs="Arial"/>
                <w:b/>
                <w:bCs/>
                <w:color w:val="FFFFFF"/>
                <w:sz w:val="18"/>
                <w:szCs w:val="16"/>
              </w:rPr>
              <w:t>+</w:t>
            </w:r>
            <w:r w:rsidR="00EB5C05" w:rsidRPr="00826681">
              <w:rPr>
                <w:rFonts w:ascii="Arial Narrow" w:hAnsi="Arial Narrow" w:cs="Arial"/>
                <w:b/>
                <w:bCs/>
                <w:color w:val="FFFFFF"/>
                <w:sz w:val="18"/>
                <w:szCs w:val="16"/>
              </w:rPr>
              <w:t>1</w:t>
            </w:r>
            <w:r w:rsidR="001643E0">
              <w:rPr>
                <w:rFonts w:ascii="Arial Narrow" w:hAnsi="Arial Narrow" w:cs="Arial"/>
                <w:b/>
                <w:bCs/>
                <w:color w:val="FFFFFF"/>
                <w:sz w:val="18"/>
                <w:szCs w:val="16"/>
              </w:rPr>
              <w:t>,</w:t>
            </w:r>
            <w:r w:rsidR="00EB5C05" w:rsidRPr="00826681">
              <w:rPr>
                <w:rFonts w:ascii="Arial Narrow" w:hAnsi="Arial Narrow" w:cs="Arial"/>
                <w:b/>
                <w:bCs/>
                <w:color w:val="FFFFFF"/>
                <w:sz w:val="18"/>
                <w:szCs w:val="16"/>
              </w:rPr>
              <w:t>1</w:t>
            </w:r>
          </w:p>
        </w:tc>
      </w:tr>
    </w:tbl>
    <w:p w:rsidR="00D7196E" w:rsidRDefault="00D7196E" w:rsidP="00F21D02">
      <w:pPr>
        <w:spacing w:after="120"/>
        <w:ind w:left="1814"/>
        <w:jc w:val="both"/>
        <w:rPr>
          <w:rFonts w:ascii="Arial" w:hAnsi="Arial" w:cs="Arial"/>
          <w:sz w:val="20"/>
          <w:szCs w:val="20"/>
        </w:rPr>
      </w:pPr>
    </w:p>
    <w:p w:rsidR="00696E8C" w:rsidRPr="00384F7C" w:rsidRDefault="00925FAA" w:rsidP="00696E8C">
      <w:pPr>
        <w:spacing w:after="120"/>
        <w:ind w:left="1814"/>
        <w:jc w:val="both"/>
        <w:rPr>
          <w:rFonts w:ascii="Arial" w:hAnsi="Arial" w:cs="Arial"/>
          <w:sz w:val="20"/>
          <w:szCs w:val="20"/>
        </w:rPr>
      </w:pPr>
      <w:r w:rsidRPr="00862F7E">
        <w:rPr>
          <w:rFonts w:ascii="Arial" w:hAnsi="Arial" w:cs="Arial"/>
          <w:sz w:val="20"/>
          <w:szCs w:val="20"/>
        </w:rPr>
        <w:t>L’</w:t>
      </w:r>
      <w:r w:rsidR="00696E8C" w:rsidRPr="00862F7E">
        <w:rPr>
          <w:rFonts w:ascii="Arial" w:hAnsi="Arial" w:cs="Arial"/>
          <w:sz w:val="20"/>
          <w:szCs w:val="20"/>
        </w:rPr>
        <w:t xml:space="preserve">aumento del rapporto </w:t>
      </w:r>
      <w:r w:rsidR="00696E8C" w:rsidRPr="00862F7E">
        <w:rPr>
          <w:rFonts w:ascii="Arial" w:hAnsi="Arial" w:cs="Arial"/>
          <w:i/>
          <w:sz w:val="20"/>
          <w:szCs w:val="20"/>
        </w:rPr>
        <w:t>imprese/prodotti</w:t>
      </w:r>
      <w:r w:rsidR="00696E8C" w:rsidRPr="00862F7E">
        <w:rPr>
          <w:rFonts w:ascii="Arial" w:hAnsi="Arial" w:cs="Arial"/>
          <w:sz w:val="20"/>
          <w:szCs w:val="20"/>
        </w:rPr>
        <w:t xml:space="preserve">, si registra a tutti i livelli di Raggruppamenti principali di industrie sia per l’area euro sia per </w:t>
      </w:r>
      <w:r w:rsidRPr="00862F7E">
        <w:rPr>
          <w:rFonts w:ascii="Arial" w:hAnsi="Arial" w:cs="Arial"/>
          <w:sz w:val="20"/>
          <w:szCs w:val="20"/>
        </w:rPr>
        <w:t>quel</w:t>
      </w:r>
      <w:r w:rsidR="00696E8C" w:rsidRPr="00862F7E">
        <w:rPr>
          <w:rFonts w:ascii="Arial" w:hAnsi="Arial" w:cs="Arial"/>
          <w:sz w:val="20"/>
          <w:szCs w:val="20"/>
        </w:rPr>
        <w:t>la non euro, eccetto per i Beni durevoli area non euro che rimane costante a 3,4 e per l’Energia che si mantiene al livello di 0,8 e 0,6 rispettivamente per l’area euro e non euro.</w:t>
      </w:r>
    </w:p>
    <w:p w:rsidR="000B70C5" w:rsidRPr="001552D0" w:rsidRDefault="000B70C5" w:rsidP="00584E2D">
      <w:pPr>
        <w:spacing w:after="120"/>
        <w:ind w:left="1814"/>
        <w:jc w:val="both"/>
        <w:rPr>
          <w:rFonts w:ascii="Arial" w:hAnsi="Arial" w:cs="Arial"/>
          <w:sz w:val="20"/>
          <w:szCs w:val="20"/>
        </w:rPr>
      </w:pPr>
    </w:p>
    <w:p w:rsidR="00604101" w:rsidRDefault="00604101" w:rsidP="00604101">
      <w:pPr>
        <w:spacing w:after="120"/>
        <w:ind w:left="1814"/>
        <w:jc w:val="both"/>
        <w:rPr>
          <w:rFonts w:ascii="Arial" w:hAnsi="Arial" w:cs="Arial"/>
          <w:b/>
          <w:sz w:val="22"/>
          <w:szCs w:val="22"/>
        </w:rPr>
      </w:pPr>
      <w:r>
        <w:rPr>
          <w:rFonts w:ascii="Arial" w:hAnsi="Arial" w:cs="Arial"/>
          <w:b/>
          <w:sz w:val="22"/>
          <w:szCs w:val="22"/>
        </w:rPr>
        <w:t>2. Strutture di ponderazione</w:t>
      </w:r>
    </w:p>
    <w:p w:rsidR="00604101" w:rsidRPr="008C305F" w:rsidRDefault="00604101" w:rsidP="00604101">
      <w:pPr>
        <w:spacing w:after="120"/>
        <w:ind w:left="1814"/>
        <w:jc w:val="both"/>
        <w:rPr>
          <w:rFonts w:ascii="Arial" w:hAnsi="Arial" w:cs="Arial"/>
          <w:sz w:val="20"/>
          <w:szCs w:val="20"/>
        </w:rPr>
      </w:pPr>
    </w:p>
    <w:p w:rsidR="009E35E0" w:rsidRPr="00322830" w:rsidRDefault="00604101" w:rsidP="00604101">
      <w:pPr>
        <w:spacing w:after="120"/>
        <w:ind w:left="1814"/>
        <w:jc w:val="both"/>
        <w:rPr>
          <w:rFonts w:ascii="Arial" w:hAnsi="Arial" w:cs="Arial"/>
          <w:sz w:val="20"/>
          <w:szCs w:val="20"/>
        </w:rPr>
      </w:pPr>
      <w:r w:rsidRPr="00322830">
        <w:rPr>
          <w:rFonts w:ascii="Arial" w:hAnsi="Arial" w:cs="Arial"/>
          <w:sz w:val="20"/>
          <w:szCs w:val="20"/>
        </w:rPr>
        <w:t>Anche per la base di calcolo Dicembre 2013 è stato adottato il metodo di definizione de</w:t>
      </w:r>
      <w:r w:rsidR="009E35E0" w:rsidRPr="00322830">
        <w:rPr>
          <w:rFonts w:ascii="Arial" w:hAnsi="Arial" w:cs="Arial"/>
          <w:sz w:val="20"/>
          <w:szCs w:val="20"/>
        </w:rPr>
        <w:t>lle strutture di ponderazi</w:t>
      </w:r>
      <w:r w:rsidR="0076589D">
        <w:rPr>
          <w:rFonts w:ascii="Arial" w:hAnsi="Arial" w:cs="Arial"/>
          <w:sz w:val="20"/>
          <w:szCs w:val="20"/>
        </w:rPr>
        <w:t>one</w:t>
      </w:r>
      <w:r w:rsidR="009E35E0" w:rsidRPr="00322830">
        <w:rPr>
          <w:rFonts w:ascii="Arial" w:hAnsi="Arial" w:cs="Arial"/>
          <w:sz w:val="20"/>
          <w:szCs w:val="20"/>
        </w:rPr>
        <w:t xml:space="preserve"> </w:t>
      </w:r>
      <w:r w:rsidRPr="00322830">
        <w:rPr>
          <w:rFonts w:ascii="Arial" w:hAnsi="Arial" w:cs="Arial"/>
          <w:sz w:val="20"/>
          <w:szCs w:val="20"/>
        </w:rPr>
        <w:t>introdotto a partire dal 2010</w:t>
      </w:r>
      <w:r w:rsidR="009E35E0" w:rsidRPr="00322830">
        <w:rPr>
          <w:rFonts w:ascii="Arial" w:hAnsi="Arial" w:cs="Arial"/>
          <w:sz w:val="20"/>
          <w:szCs w:val="20"/>
        </w:rPr>
        <w:t xml:space="preserve">, </w:t>
      </w:r>
      <w:r w:rsidRPr="00322830">
        <w:rPr>
          <w:rFonts w:ascii="Arial" w:hAnsi="Arial" w:cs="Arial"/>
          <w:sz w:val="20"/>
          <w:szCs w:val="20"/>
        </w:rPr>
        <w:t xml:space="preserve">che ha interessato il </w:t>
      </w:r>
      <w:proofErr w:type="spellStart"/>
      <w:r w:rsidRPr="00322830">
        <w:rPr>
          <w:rFonts w:ascii="Arial" w:hAnsi="Arial" w:cs="Arial"/>
          <w:sz w:val="20"/>
          <w:szCs w:val="20"/>
        </w:rPr>
        <w:t>ribasamento</w:t>
      </w:r>
      <w:proofErr w:type="spellEnd"/>
      <w:r w:rsidRPr="00322830">
        <w:rPr>
          <w:rFonts w:ascii="Arial" w:hAnsi="Arial" w:cs="Arial"/>
          <w:sz w:val="20"/>
          <w:szCs w:val="20"/>
        </w:rPr>
        <w:t xml:space="preserve"> dell’anno 2010, la ricostruzione degli indici in base di calcolo Dicembre 2010 e Dicembre 2011 riferiti agli anni 2011 e 2012 </w:t>
      </w:r>
      <w:r w:rsidR="009E35E0" w:rsidRPr="00322830">
        <w:rPr>
          <w:rFonts w:ascii="Arial" w:hAnsi="Arial" w:cs="Arial"/>
          <w:sz w:val="20"/>
          <w:szCs w:val="20"/>
        </w:rPr>
        <w:t>e</w:t>
      </w:r>
      <w:r w:rsidRPr="00322830">
        <w:rPr>
          <w:rFonts w:ascii="Arial" w:hAnsi="Arial" w:cs="Arial"/>
          <w:sz w:val="20"/>
          <w:szCs w:val="20"/>
        </w:rPr>
        <w:t xml:space="preserve"> la ponderazione della base di calcolo Dicembre 2012</w:t>
      </w:r>
      <w:r w:rsidRPr="00322830">
        <w:rPr>
          <w:rStyle w:val="Rimandonotaapidipagina"/>
          <w:rFonts w:ascii="Arial" w:hAnsi="Arial" w:cs="Arial"/>
          <w:sz w:val="20"/>
          <w:szCs w:val="20"/>
        </w:rPr>
        <w:footnoteReference w:id="2"/>
      </w:r>
      <w:r w:rsidR="009E35E0" w:rsidRPr="00322830">
        <w:rPr>
          <w:rFonts w:ascii="Arial" w:hAnsi="Arial" w:cs="Arial"/>
          <w:sz w:val="20"/>
          <w:szCs w:val="20"/>
        </w:rPr>
        <w:t>.</w:t>
      </w:r>
    </w:p>
    <w:p w:rsidR="007D5D22" w:rsidRPr="00A50765" w:rsidRDefault="007D5D22" w:rsidP="007D5D22">
      <w:pPr>
        <w:spacing w:after="120"/>
        <w:ind w:left="1814"/>
        <w:jc w:val="both"/>
        <w:rPr>
          <w:rFonts w:ascii="Arial" w:hAnsi="Arial" w:cs="Arial"/>
          <w:sz w:val="20"/>
          <w:szCs w:val="20"/>
        </w:rPr>
      </w:pPr>
      <w:r w:rsidRPr="00A50765">
        <w:rPr>
          <w:rFonts w:ascii="Arial" w:hAnsi="Arial" w:cs="Arial"/>
          <w:sz w:val="20"/>
          <w:szCs w:val="20"/>
        </w:rPr>
        <w:t>Tale metodo è basato sull’allineamento dei pesi propri degli indicatori dei prezzi alla produzione con gli ultimi valori disponibili delle statistiche strutturali attualizzati all’anno della base di calcolo.</w:t>
      </w:r>
    </w:p>
    <w:p w:rsidR="0037532C" w:rsidRPr="00A50765" w:rsidRDefault="0037532C" w:rsidP="0037532C">
      <w:pPr>
        <w:spacing w:after="120"/>
        <w:ind w:left="1814"/>
        <w:jc w:val="both"/>
        <w:rPr>
          <w:rFonts w:ascii="Arial" w:hAnsi="Arial" w:cs="Arial"/>
          <w:sz w:val="20"/>
          <w:szCs w:val="20"/>
        </w:rPr>
      </w:pPr>
      <w:r w:rsidRPr="00A50765">
        <w:rPr>
          <w:rFonts w:ascii="Arial" w:hAnsi="Arial" w:cs="Arial"/>
          <w:sz w:val="20"/>
          <w:szCs w:val="20"/>
        </w:rPr>
        <w:t xml:space="preserve">Per i tre indici dei prezzi alla produzione (mercato interno, mercato estero area euro e mercato estero area non euro), i sistemi di ponderazione sono determinati utilizzando diverse fonti. Al livello superiore del meccanismo di aggregazione (dalla quarta cifra della classificazione </w:t>
      </w:r>
      <w:proofErr w:type="spellStart"/>
      <w:r w:rsidRPr="00A50765">
        <w:rPr>
          <w:rFonts w:ascii="Arial" w:hAnsi="Arial" w:cs="Arial"/>
          <w:sz w:val="20"/>
          <w:szCs w:val="20"/>
        </w:rPr>
        <w:t>Ateco</w:t>
      </w:r>
      <w:proofErr w:type="spellEnd"/>
      <w:r w:rsidRPr="00A50765">
        <w:rPr>
          <w:rFonts w:ascii="Arial" w:hAnsi="Arial" w:cs="Arial"/>
          <w:sz w:val="20"/>
          <w:szCs w:val="20"/>
        </w:rPr>
        <w:t xml:space="preserve"> 2007</w:t>
      </w:r>
      <w:r w:rsidRPr="00A50765">
        <w:rPr>
          <w:rStyle w:val="Rimandonotaapidipagina"/>
          <w:rFonts w:ascii="Arial" w:hAnsi="Arial" w:cs="Arial"/>
          <w:sz w:val="20"/>
          <w:szCs w:val="20"/>
        </w:rPr>
        <w:footnoteReference w:id="3"/>
      </w:r>
      <w:r w:rsidRPr="00A50765">
        <w:rPr>
          <w:rFonts w:ascii="Arial" w:hAnsi="Arial" w:cs="Arial"/>
          <w:sz w:val="20"/>
          <w:szCs w:val="20"/>
        </w:rPr>
        <w:t xml:space="preserve"> sino al totale dell’industria), i pesi sono derivati dal valore del fatturato totale</w:t>
      </w:r>
      <w:r w:rsidRPr="00A50765">
        <w:rPr>
          <w:rFonts w:ascii="Arial" w:hAnsi="Arial" w:cs="Arial"/>
          <w:sz w:val="20"/>
          <w:szCs w:val="20"/>
          <w:vertAlign w:val="superscript"/>
        </w:rPr>
        <w:footnoteReference w:id="4"/>
      </w:r>
      <w:r w:rsidRPr="00A50765">
        <w:rPr>
          <w:rFonts w:ascii="Arial" w:hAnsi="Arial" w:cs="Arial"/>
          <w:sz w:val="20"/>
          <w:szCs w:val="20"/>
        </w:rPr>
        <w:t>, ricavato dalle indagini strutturali che danno luogo alle statistiche “Struttura e competitività del sistema delle imprese industriali e dei servizi”</w:t>
      </w:r>
      <w:r w:rsidRPr="00A50765">
        <w:rPr>
          <w:rFonts w:ascii="Arial" w:hAnsi="Arial" w:cs="Arial"/>
          <w:sz w:val="20"/>
          <w:szCs w:val="20"/>
          <w:vertAlign w:val="superscript"/>
        </w:rPr>
        <w:footnoteReference w:id="5"/>
      </w:r>
      <w:r w:rsidRPr="00A50765">
        <w:rPr>
          <w:rFonts w:ascii="Arial" w:hAnsi="Arial" w:cs="Arial"/>
          <w:sz w:val="20"/>
          <w:szCs w:val="20"/>
        </w:rPr>
        <w:t xml:space="preserve">, e dal valore delle esportazioni totali </w:t>
      </w:r>
      <w:r w:rsidR="00903245">
        <w:rPr>
          <w:rFonts w:ascii="Arial" w:hAnsi="Arial" w:cs="Arial"/>
          <w:sz w:val="20"/>
          <w:szCs w:val="20"/>
        </w:rPr>
        <w:t>– distinto</w:t>
      </w:r>
      <w:r w:rsidRPr="00A50765">
        <w:rPr>
          <w:rFonts w:ascii="Arial" w:hAnsi="Arial" w:cs="Arial"/>
          <w:sz w:val="20"/>
          <w:szCs w:val="20"/>
        </w:rPr>
        <w:t xml:space="preserve"> per area euro e area non euro </w:t>
      </w:r>
      <w:r w:rsidR="00903245">
        <w:rPr>
          <w:rFonts w:ascii="Arial" w:hAnsi="Arial" w:cs="Arial"/>
          <w:sz w:val="20"/>
          <w:szCs w:val="20"/>
        </w:rPr>
        <w:t xml:space="preserve">– </w:t>
      </w:r>
      <w:r w:rsidRPr="00A50765">
        <w:rPr>
          <w:rFonts w:ascii="Arial" w:hAnsi="Arial" w:cs="Arial"/>
          <w:sz w:val="20"/>
          <w:szCs w:val="20"/>
        </w:rPr>
        <w:t xml:space="preserve">ricavato </w:t>
      </w:r>
      <w:r w:rsidR="00903245">
        <w:rPr>
          <w:rFonts w:ascii="Arial" w:hAnsi="Arial" w:cs="Arial"/>
          <w:sz w:val="20"/>
          <w:szCs w:val="20"/>
        </w:rPr>
        <w:t>dalle rilevazioni del commercio con l’estero</w:t>
      </w:r>
      <w:r w:rsidRPr="00A50765">
        <w:rPr>
          <w:rFonts w:ascii="Arial" w:hAnsi="Arial" w:cs="Arial"/>
          <w:sz w:val="20"/>
          <w:szCs w:val="20"/>
        </w:rPr>
        <w:t>. I dati riferiti all’anno 2011 sono i più recenti al momento disponibili.</w:t>
      </w:r>
    </w:p>
    <w:p w:rsidR="00604101" w:rsidRPr="00A50765" w:rsidRDefault="00604101" w:rsidP="00604101">
      <w:pPr>
        <w:spacing w:after="120"/>
        <w:ind w:left="1814"/>
        <w:jc w:val="both"/>
        <w:rPr>
          <w:rFonts w:ascii="Arial" w:hAnsi="Arial" w:cs="Arial"/>
          <w:sz w:val="20"/>
          <w:szCs w:val="20"/>
        </w:rPr>
      </w:pPr>
      <w:r w:rsidRPr="00A50765">
        <w:rPr>
          <w:rFonts w:ascii="Arial" w:hAnsi="Arial" w:cs="Arial"/>
          <w:sz w:val="20"/>
          <w:szCs w:val="20"/>
        </w:rPr>
        <w:t xml:space="preserve">Le variabili utilizzate per la costruzione del sistema di ponderazione delle voci di prodotto sono: il valore della produzione annuale commercializzata nel 2011, rilevato dall’indagine annuale sulla produzione industriale </w:t>
      </w:r>
      <w:proofErr w:type="spellStart"/>
      <w:r w:rsidRPr="00A50765">
        <w:rPr>
          <w:rFonts w:ascii="Arial" w:hAnsi="Arial" w:cs="Arial"/>
          <w:sz w:val="20"/>
          <w:szCs w:val="20"/>
        </w:rPr>
        <w:t>ProdCom</w:t>
      </w:r>
      <w:proofErr w:type="spellEnd"/>
      <w:r w:rsidRPr="00A50765">
        <w:rPr>
          <w:rFonts w:ascii="Arial" w:hAnsi="Arial" w:cs="Arial"/>
          <w:sz w:val="20"/>
          <w:szCs w:val="20"/>
        </w:rPr>
        <w:t xml:space="preserve"> a livello di prodotto (definito a 8 cifre della classificazione </w:t>
      </w:r>
      <w:proofErr w:type="spellStart"/>
      <w:r w:rsidRPr="00A50765">
        <w:rPr>
          <w:rFonts w:ascii="Arial" w:hAnsi="Arial" w:cs="Arial"/>
          <w:sz w:val="20"/>
          <w:szCs w:val="20"/>
        </w:rPr>
        <w:t>ProdCom</w:t>
      </w:r>
      <w:proofErr w:type="spellEnd"/>
      <w:r w:rsidRPr="00A50765">
        <w:rPr>
          <w:rFonts w:ascii="Arial" w:hAnsi="Arial" w:cs="Arial"/>
          <w:sz w:val="20"/>
          <w:szCs w:val="20"/>
        </w:rPr>
        <w:t xml:space="preserve">); il valore annuale delle esportazioni misurato nel 2011 dalle rilevazioni del commercio con l’estero a livello di merce (ovvero 8 cifre della Nomenclatura Combinata espressa secondo la classificazione </w:t>
      </w:r>
      <w:proofErr w:type="spellStart"/>
      <w:r w:rsidRPr="00A50765">
        <w:rPr>
          <w:rFonts w:ascii="Arial" w:hAnsi="Arial" w:cs="Arial"/>
          <w:sz w:val="20"/>
          <w:szCs w:val="20"/>
        </w:rPr>
        <w:t>CPAteco</w:t>
      </w:r>
      <w:proofErr w:type="spellEnd"/>
      <w:r w:rsidRPr="00A50765">
        <w:rPr>
          <w:rFonts w:ascii="Arial" w:hAnsi="Arial" w:cs="Arial"/>
          <w:sz w:val="20"/>
          <w:szCs w:val="20"/>
        </w:rPr>
        <w:t xml:space="preserve"> 2007) per area di esportazione (euro e non euro). I valori riferiti alle statistiche del commercio con l’estero espressi inizialmente secondo i codici della Nomenclatura Combinata sono riportati alla codifica della classificazione </w:t>
      </w:r>
      <w:proofErr w:type="spellStart"/>
      <w:r w:rsidRPr="00A50765">
        <w:rPr>
          <w:rFonts w:ascii="Arial" w:hAnsi="Arial" w:cs="Arial"/>
          <w:sz w:val="20"/>
          <w:szCs w:val="20"/>
        </w:rPr>
        <w:t>ProdCom</w:t>
      </w:r>
      <w:proofErr w:type="spellEnd"/>
      <w:r w:rsidRPr="00A50765">
        <w:rPr>
          <w:rFonts w:ascii="Arial" w:hAnsi="Arial" w:cs="Arial"/>
          <w:sz w:val="20"/>
          <w:szCs w:val="20"/>
        </w:rPr>
        <w:t xml:space="preserve"> mediante le tavole di corrispondenza messe a punto dall’</w:t>
      </w:r>
      <w:proofErr w:type="spellStart"/>
      <w:r w:rsidRPr="00A50765">
        <w:rPr>
          <w:rFonts w:ascii="Arial" w:hAnsi="Arial" w:cs="Arial"/>
          <w:sz w:val="20"/>
          <w:szCs w:val="20"/>
        </w:rPr>
        <w:t>Eurostat</w:t>
      </w:r>
      <w:proofErr w:type="spellEnd"/>
      <w:r w:rsidRPr="00A50765">
        <w:rPr>
          <w:rFonts w:ascii="Arial" w:hAnsi="Arial" w:cs="Arial"/>
          <w:sz w:val="20"/>
          <w:szCs w:val="20"/>
        </w:rPr>
        <w:t>.</w:t>
      </w:r>
    </w:p>
    <w:p w:rsidR="007D5D22" w:rsidRPr="00322830" w:rsidRDefault="008B4839" w:rsidP="007D5D22">
      <w:pPr>
        <w:spacing w:after="120"/>
        <w:ind w:left="1814"/>
        <w:jc w:val="both"/>
        <w:rPr>
          <w:rFonts w:ascii="Arial" w:hAnsi="Arial" w:cs="Arial"/>
          <w:sz w:val="20"/>
          <w:szCs w:val="20"/>
        </w:rPr>
      </w:pPr>
      <w:r w:rsidRPr="00322830">
        <w:rPr>
          <w:rFonts w:ascii="Arial" w:hAnsi="Arial" w:cs="Arial"/>
          <w:sz w:val="20"/>
          <w:szCs w:val="20"/>
        </w:rPr>
        <w:t>Nella</w:t>
      </w:r>
      <w:r w:rsidR="007D5D22" w:rsidRPr="00322830">
        <w:rPr>
          <w:rFonts w:ascii="Arial" w:hAnsi="Arial" w:cs="Arial"/>
          <w:sz w:val="20"/>
          <w:szCs w:val="20"/>
        </w:rPr>
        <w:t xml:space="preserve"> prima fase, si stimano i valori del fatturato totale e dei flussi di esportazione delle imprese industriali a livello di classe di attività economica (quarta cifra della classificazione </w:t>
      </w:r>
      <w:proofErr w:type="spellStart"/>
      <w:r w:rsidR="007D5D22" w:rsidRPr="00322830">
        <w:rPr>
          <w:rFonts w:ascii="Arial" w:hAnsi="Arial" w:cs="Arial"/>
          <w:sz w:val="20"/>
          <w:szCs w:val="20"/>
        </w:rPr>
        <w:t>Ateco</w:t>
      </w:r>
      <w:proofErr w:type="spellEnd"/>
      <w:r w:rsidR="007D5D22" w:rsidRPr="00322830">
        <w:rPr>
          <w:rFonts w:ascii="Arial" w:hAnsi="Arial" w:cs="Arial"/>
          <w:sz w:val="20"/>
          <w:szCs w:val="20"/>
        </w:rPr>
        <w:t xml:space="preserve"> 2007). Per successiva sottrazione delle esportazioni dal fatturato totale, si ottiene il valore del fatturato interno a livello di classe di attività economica. Sempre con riferimento alla classe di attività economica, l’ulteriore disaggregazione del fatturato estero tra vendite nell’area euro e nell’area non euro è derivata sulla base dei dati delle esportazioni destinate ai due diversi mercati per l’anno 2011. </w:t>
      </w:r>
    </w:p>
    <w:p w:rsidR="007D5D22" w:rsidRDefault="007D5D22" w:rsidP="007D5D22">
      <w:pPr>
        <w:ind w:left="1814"/>
        <w:jc w:val="both"/>
        <w:rPr>
          <w:rFonts w:ascii="Arial" w:hAnsi="Arial" w:cs="Arial"/>
          <w:sz w:val="20"/>
          <w:szCs w:val="20"/>
        </w:rPr>
      </w:pPr>
      <w:r w:rsidRPr="00322830">
        <w:rPr>
          <w:rFonts w:ascii="Arial" w:hAnsi="Arial" w:cs="Arial"/>
          <w:sz w:val="20"/>
          <w:szCs w:val="20"/>
        </w:rPr>
        <w:t xml:space="preserve">Successivamente, si attualizzano i valori del fatturato interno, del fatturato estero area euro e di quello dell’area non euro del 2011 al mese di dicembre 2013, cioè alla nuova base di calcolo. A partire da quest’ultima, il metodo di </w:t>
      </w:r>
      <w:proofErr w:type="spellStart"/>
      <w:r w:rsidRPr="00322830">
        <w:rPr>
          <w:rFonts w:ascii="Arial" w:hAnsi="Arial" w:cs="Arial"/>
          <w:i/>
          <w:sz w:val="20"/>
          <w:szCs w:val="20"/>
        </w:rPr>
        <w:t>price-updating</w:t>
      </w:r>
      <w:proofErr w:type="spellEnd"/>
      <w:r w:rsidRPr="00322830">
        <w:rPr>
          <w:rFonts w:ascii="Arial" w:hAnsi="Arial" w:cs="Arial"/>
          <w:sz w:val="20"/>
          <w:szCs w:val="20"/>
        </w:rPr>
        <w:t xml:space="preserve"> della struttura ponderale è allineato a quello utilizzato per gli indici dei prezzi al consumo. Tale metodo attualizza la struttura annuale di ponderazione al mese della nuova base di calcolo (v. </w:t>
      </w:r>
      <w:r w:rsidR="0076589D">
        <w:rPr>
          <w:rFonts w:ascii="Arial" w:hAnsi="Arial" w:cs="Arial"/>
          <w:sz w:val="20"/>
          <w:szCs w:val="20"/>
        </w:rPr>
        <w:t xml:space="preserve">sezione </w:t>
      </w:r>
      <w:r w:rsidRPr="00322830">
        <w:rPr>
          <w:rFonts w:ascii="Arial" w:hAnsi="Arial" w:cs="Arial"/>
          <w:sz w:val="20"/>
          <w:szCs w:val="20"/>
        </w:rPr>
        <w:t>4, pag. 12).</w:t>
      </w:r>
    </w:p>
    <w:p w:rsidR="00066759" w:rsidRPr="00322830" w:rsidRDefault="00066759" w:rsidP="007D5D22">
      <w:pPr>
        <w:ind w:left="1814"/>
        <w:jc w:val="both"/>
        <w:rPr>
          <w:rFonts w:ascii="Arial" w:hAnsi="Arial" w:cs="Arial"/>
          <w:sz w:val="20"/>
          <w:szCs w:val="20"/>
        </w:rPr>
      </w:pPr>
    </w:p>
    <w:p w:rsidR="007D5D22" w:rsidRPr="00322830" w:rsidRDefault="00066759" w:rsidP="00066759">
      <w:pPr>
        <w:ind w:left="1814"/>
        <w:jc w:val="both"/>
        <w:rPr>
          <w:rFonts w:ascii="Arial" w:hAnsi="Arial" w:cs="Arial"/>
          <w:sz w:val="20"/>
          <w:szCs w:val="20"/>
        </w:rPr>
      </w:pPr>
      <w:r>
        <w:rPr>
          <w:rFonts w:ascii="Arial" w:hAnsi="Arial" w:cs="Arial"/>
          <w:sz w:val="20"/>
          <w:szCs w:val="20"/>
        </w:rPr>
        <w:t xml:space="preserve">I valori del 2011 del fatturato (mercati interno, estero euro ed estero non euro) sono attualizzati al mese di dicembre 2013. </w:t>
      </w:r>
      <w:r w:rsidR="007D5D22" w:rsidRPr="00322830">
        <w:rPr>
          <w:rFonts w:ascii="Arial" w:hAnsi="Arial" w:cs="Arial"/>
          <w:sz w:val="20"/>
          <w:szCs w:val="20"/>
        </w:rPr>
        <w:t>Il valore attualizzato riguarda l’aggregato di classe di attività economica (se presente in entrambi gli anni) o dell’aggregato immediatamente superiore (diversamente).</w:t>
      </w:r>
    </w:p>
    <w:p w:rsidR="007D5D22" w:rsidRPr="00322830" w:rsidRDefault="007D5D22" w:rsidP="007D5D22">
      <w:pPr>
        <w:ind w:left="1814"/>
        <w:jc w:val="both"/>
        <w:rPr>
          <w:rFonts w:ascii="Arial" w:hAnsi="Arial" w:cs="Arial"/>
          <w:sz w:val="20"/>
          <w:szCs w:val="20"/>
        </w:rPr>
      </w:pPr>
    </w:p>
    <w:p w:rsidR="007D5D22" w:rsidRDefault="007D5D22" w:rsidP="007D5D22">
      <w:pPr>
        <w:spacing w:after="120"/>
        <w:ind w:left="1814"/>
        <w:jc w:val="both"/>
        <w:rPr>
          <w:rFonts w:ascii="Arial" w:hAnsi="Arial" w:cs="Arial"/>
          <w:sz w:val="20"/>
          <w:szCs w:val="20"/>
        </w:rPr>
      </w:pPr>
      <w:r w:rsidRPr="00322830">
        <w:rPr>
          <w:rFonts w:ascii="Arial" w:hAnsi="Arial" w:cs="Arial"/>
          <w:sz w:val="20"/>
          <w:szCs w:val="20"/>
        </w:rPr>
        <w:lastRenderedPageBreak/>
        <w:t>Nella seconda fase, i valori attualizzati a dicembre 2013 del fatturato interno, del fatturato estero area euro e del</w:t>
      </w:r>
      <w:r w:rsidR="0076589D">
        <w:rPr>
          <w:rFonts w:ascii="Arial" w:hAnsi="Arial" w:cs="Arial"/>
          <w:sz w:val="20"/>
          <w:szCs w:val="20"/>
        </w:rPr>
        <w:t xml:space="preserve"> fatturato estero area non euro</w:t>
      </w:r>
      <w:r w:rsidRPr="00322830">
        <w:rPr>
          <w:rFonts w:ascii="Arial" w:hAnsi="Arial" w:cs="Arial"/>
          <w:sz w:val="20"/>
          <w:szCs w:val="20"/>
        </w:rPr>
        <w:t xml:space="preserve"> sono stimati a livello di prodotto.</w:t>
      </w:r>
    </w:p>
    <w:p w:rsidR="00604101" w:rsidRPr="00D14293" w:rsidRDefault="00604101" w:rsidP="007D5D22">
      <w:pPr>
        <w:spacing w:after="120"/>
        <w:ind w:left="1814"/>
        <w:jc w:val="both"/>
        <w:rPr>
          <w:rFonts w:ascii="Arial" w:hAnsi="Arial" w:cs="Arial"/>
          <w:sz w:val="20"/>
          <w:szCs w:val="20"/>
        </w:rPr>
      </w:pPr>
      <w:r w:rsidRPr="00D14293">
        <w:rPr>
          <w:rFonts w:ascii="Arial" w:hAnsi="Arial" w:cs="Arial"/>
          <w:sz w:val="20"/>
          <w:szCs w:val="20"/>
        </w:rPr>
        <w:t>Con riferimento al mercato interno, il peso di ogni prodotto selezionato è determinato distribuendo il peso in termini di fatturato interno stimato per il 2013 a livello di classe di attività economica proporzionalmente al valore netto della produzione commercializzata</w:t>
      </w:r>
      <w:r w:rsidRPr="00D14293">
        <w:rPr>
          <w:rFonts w:ascii="Arial" w:hAnsi="Arial" w:cs="Arial"/>
          <w:sz w:val="20"/>
          <w:szCs w:val="20"/>
          <w:vertAlign w:val="superscript"/>
        </w:rPr>
        <w:footnoteReference w:id="6"/>
      </w:r>
      <w:r w:rsidRPr="00D14293">
        <w:rPr>
          <w:rFonts w:ascii="Arial" w:hAnsi="Arial" w:cs="Arial"/>
          <w:sz w:val="20"/>
          <w:szCs w:val="20"/>
        </w:rPr>
        <w:t xml:space="preserve"> dell’anno 2011; tale valore netto è a sua volta ottenuto sottraendo al valore complessivo della produzione commercializzata rilevato dall’indagine </w:t>
      </w:r>
      <w:proofErr w:type="spellStart"/>
      <w:r w:rsidRPr="00D14293">
        <w:rPr>
          <w:rFonts w:ascii="Arial" w:hAnsi="Arial" w:cs="Arial"/>
          <w:sz w:val="20"/>
          <w:szCs w:val="20"/>
        </w:rPr>
        <w:t>ProdCom</w:t>
      </w:r>
      <w:proofErr w:type="spellEnd"/>
      <w:r w:rsidRPr="00D14293">
        <w:rPr>
          <w:rFonts w:ascii="Arial" w:hAnsi="Arial" w:cs="Arial"/>
          <w:sz w:val="20"/>
          <w:szCs w:val="20"/>
        </w:rPr>
        <w:t xml:space="preserve"> per il 2011 quello relativo alla produzione esportata nel 2011 derivato dalle rilevazioni del commercio con l’estero. Questo metodo assicura la coerenza nell’ambito del nuovo sistema degli indici dei prezzi alla produzione, in cui la rilevazione sul mercato interno è parallela a quella relativa ai prodotti venduti sul mercato estero.</w:t>
      </w:r>
    </w:p>
    <w:p w:rsidR="00604101" w:rsidRPr="00D14293" w:rsidRDefault="00604101" w:rsidP="00604101">
      <w:pPr>
        <w:spacing w:after="120"/>
        <w:ind w:left="1814"/>
        <w:jc w:val="both"/>
        <w:rPr>
          <w:rFonts w:ascii="Arial" w:hAnsi="Arial" w:cs="Arial"/>
          <w:sz w:val="20"/>
          <w:szCs w:val="20"/>
        </w:rPr>
      </w:pPr>
      <w:r w:rsidRPr="00D14293">
        <w:rPr>
          <w:rFonts w:ascii="Arial" w:hAnsi="Arial" w:cs="Arial"/>
          <w:sz w:val="20"/>
          <w:szCs w:val="20"/>
        </w:rPr>
        <w:t xml:space="preserve">Con riguardo all’area euro e all’area non euro del mercato estero, la variabile utilizzata per la costruzione del sistema di ponderazione per ogni prodotto selezionato è il valore annuale delle esportazioni (a livello di categoria della Nomenclatura Combinata) realizzato nell’anno 2011 dalle imprese industriali nell’area euro e nell’area non euro, misurato dalle statistiche del commercio con l’estero, applicato proporzionalmente al fatturato estero area euro ed al fatturato estero area non euro stimati per il 2013 a livello di classe di attività economica. Per entrambe le aree di esportazione, i prodotti inclusi nel campione della base dicembre 2013 sono stati ricodificati e riportati alla classificazione </w:t>
      </w:r>
      <w:proofErr w:type="spellStart"/>
      <w:r w:rsidRPr="00D14293">
        <w:rPr>
          <w:rFonts w:ascii="Arial" w:hAnsi="Arial" w:cs="Arial"/>
          <w:sz w:val="20"/>
          <w:szCs w:val="20"/>
        </w:rPr>
        <w:t>Ateco</w:t>
      </w:r>
      <w:proofErr w:type="spellEnd"/>
      <w:r w:rsidRPr="00D14293">
        <w:rPr>
          <w:rFonts w:ascii="Arial" w:hAnsi="Arial" w:cs="Arial"/>
          <w:sz w:val="20"/>
          <w:szCs w:val="20"/>
        </w:rPr>
        <w:t xml:space="preserve"> 2007.</w:t>
      </w:r>
    </w:p>
    <w:p w:rsidR="00604101" w:rsidRPr="00D14293" w:rsidRDefault="00604101" w:rsidP="00604101">
      <w:pPr>
        <w:spacing w:after="120"/>
        <w:ind w:left="1814"/>
        <w:jc w:val="both"/>
        <w:rPr>
          <w:rFonts w:ascii="Arial" w:hAnsi="Arial" w:cs="Arial"/>
          <w:noProof/>
          <w:sz w:val="20"/>
          <w:szCs w:val="20"/>
        </w:rPr>
      </w:pPr>
      <w:r w:rsidRPr="00D14293">
        <w:rPr>
          <w:rFonts w:ascii="Arial" w:hAnsi="Arial" w:cs="Arial"/>
          <w:sz w:val="20"/>
          <w:szCs w:val="20"/>
        </w:rPr>
        <w:t>Per l’indice estero totale (</w:t>
      </w:r>
      <w:r w:rsidRPr="00D14293">
        <w:rPr>
          <w:rFonts w:ascii="Arial" w:hAnsi="Arial" w:cs="Arial"/>
          <w:noProof/>
          <w:sz w:val="20"/>
          <w:szCs w:val="20"/>
        </w:rPr>
        <w:t>sintesi delle due aree), la struttura di ponderazione è definita per ciascun livello di aggregazione settoriale sulla base dei pesi relativi</w:t>
      </w:r>
      <w:r w:rsidRPr="00D14293">
        <w:rPr>
          <w:rFonts w:ascii="Arial" w:hAnsi="Arial" w:cs="Arial"/>
          <w:noProof/>
          <w:sz w:val="20"/>
          <w:szCs w:val="20"/>
          <w:vertAlign w:val="superscript"/>
        </w:rPr>
        <w:footnoteReference w:id="7"/>
      </w:r>
      <w:r w:rsidRPr="00D14293">
        <w:rPr>
          <w:rFonts w:ascii="Arial" w:hAnsi="Arial" w:cs="Arial"/>
          <w:noProof/>
          <w:sz w:val="20"/>
          <w:szCs w:val="20"/>
        </w:rPr>
        <w:t xml:space="preserve"> delle due aree.</w:t>
      </w:r>
    </w:p>
    <w:p w:rsidR="00604101" w:rsidRPr="00D14293" w:rsidRDefault="00604101" w:rsidP="00604101">
      <w:pPr>
        <w:spacing w:after="120"/>
        <w:ind w:left="1814"/>
        <w:jc w:val="both"/>
        <w:rPr>
          <w:rFonts w:ascii="Arial" w:hAnsi="Arial" w:cs="Arial"/>
          <w:noProof/>
          <w:sz w:val="20"/>
          <w:szCs w:val="20"/>
        </w:rPr>
      </w:pPr>
      <w:r w:rsidRPr="00D14293">
        <w:rPr>
          <w:rFonts w:ascii="Arial" w:hAnsi="Arial" w:cs="Arial"/>
          <w:noProof/>
          <w:sz w:val="20"/>
          <w:szCs w:val="20"/>
        </w:rPr>
        <w:t>Infine, per la determinazione del sistema di ponderazione dell’indice totale (sintesi del mercato interno e mercato estero), si adotta un approccio analogo a quello adottato per la sintesi del mercato estero, aggregando, per ciascun livello settoriale, le componenti dei mercati interno ed estero.</w:t>
      </w:r>
    </w:p>
    <w:p w:rsidR="00604101" w:rsidRPr="00D62247" w:rsidRDefault="00604101" w:rsidP="007D5D22">
      <w:pPr>
        <w:spacing w:after="120"/>
        <w:ind w:left="1814"/>
        <w:jc w:val="both"/>
        <w:rPr>
          <w:rFonts w:ascii="Arial" w:hAnsi="Arial" w:cs="Arial"/>
          <w:sz w:val="20"/>
          <w:szCs w:val="20"/>
        </w:rPr>
      </w:pPr>
      <w:r w:rsidRPr="007E004F">
        <w:rPr>
          <w:rFonts w:ascii="Arial" w:hAnsi="Arial" w:cs="Arial"/>
          <w:sz w:val="20"/>
          <w:szCs w:val="20"/>
        </w:rPr>
        <w:t xml:space="preserve">Nei Prospetti 7-10 si presenta per i diversi mercati il confronto tra le strutture di ponderazione per la base di calcolo Dicembre 2012 e quella 2013, considerando i grandi aggregati corrispondenti ai Raggruppamenti principali di industrie. Per il mercato interno (Prospetto 7), si registrano modesti incrementi </w:t>
      </w:r>
      <w:r w:rsidR="005779E8">
        <w:rPr>
          <w:rFonts w:ascii="Arial" w:hAnsi="Arial" w:cs="Arial"/>
          <w:sz w:val="20"/>
          <w:szCs w:val="20"/>
        </w:rPr>
        <w:t>d</w:t>
      </w:r>
      <w:r w:rsidRPr="007E004F">
        <w:rPr>
          <w:rFonts w:ascii="Arial" w:hAnsi="Arial" w:cs="Arial"/>
          <w:sz w:val="20"/>
          <w:szCs w:val="20"/>
        </w:rPr>
        <w:t xml:space="preserve">ei pesi </w:t>
      </w:r>
      <w:r w:rsidR="008B4289">
        <w:rPr>
          <w:rFonts w:ascii="Arial" w:hAnsi="Arial" w:cs="Arial"/>
          <w:sz w:val="20"/>
          <w:szCs w:val="20"/>
        </w:rPr>
        <w:t>dei Beni intermedi</w:t>
      </w:r>
      <w:r w:rsidRPr="007E004F">
        <w:rPr>
          <w:rFonts w:ascii="Arial" w:hAnsi="Arial" w:cs="Arial"/>
          <w:sz w:val="20"/>
          <w:szCs w:val="20"/>
        </w:rPr>
        <w:t xml:space="preserve"> (circa +0,</w:t>
      </w:r>
      <w:r w:rsidR="008B4289">
        <w:rPr>
          <w:rFonts w:ascii="Arial" w:hAnsi="Arial" w:cs="Arial"/>
          <w:sz w:val="20"/>
          <w:szCs w:val="20"/>
        </w:rPr>
        <w:t>5</w:t>
      </w:r>
      <w:r w:rsidRPr="007E004F">
        <w:rPr>
          <w:rFonts w:ascii="Arial" w:hAnsi="Arial" w:cs="Arial"/>
          <w:sz w:val="20"/>
          <w:szCs w:val="20"/>
        </w:rPr>
        <w:t xml:space="preserve"> punti percentuali) e dei </w:t>
      </w:r>
      <w:r w:rsidR="008B4289">
        <w:rPr>
          <w:rFonts w:ascii="Arial" w:hAnsi="Arial" w:cs="Arial"/>
          <w:sz w:val="20"/>
          <w:szCs w:val="20"/>
        </w:rPr>
        <w:t>Beni di consumo</w:t>
      </w:r>
      <w:r w:rsidRPr="007E004F">
        <w:rPr>
          <w:rFonts w:ascii="Arial" w:hAnsi="Arial" w:cs="Arial"/>
          <w:sz w:val="20"/>
          <w:szCs w:val="20"/>
        </w:rPr>
        <w:t xml:space="preserve"> (circa +0,3 punti)</w:t>
      </w:r>
      <w:r w:rsidR="008947F5">
        <w:rPr>
          <w:rFonts w:ascii="Arial" w:hAnsi="Arial" w:cs="Arial"/>
          <w:sz w:val="20"/>
          <w:szCs w:val="20"/>
        </w:rPr>
        <w:t>,</w:t>
      </w:r>
      <w:r w:rsidR="008B4289">
        <w:rPr>
          <w:rFonts w:ascii="Arial" w:hAnsi="Arial" w:cs="Arial"/>
          <w:sz w:val="20"/>
          <w:szCs w:val="20"/>
        </w:rPr>
        <w:t xml:space="preserve"> </w:t>
      </w:r>
      <w:r w:rsidR="008B4289" w:rsidRPr="007E004F">
        <w:rPr>
          <w:rFonts w:ascii="Arial" w:hAnsi="Arial" w:cs="Arial"/>
          <w:sz w:val="20"/>
          <w:szCs w:val="20"/>
        </w:rPr>
        <w:t>quest’ultim</w:t>
      </w:r>
      <w:r w:rsidR="005779E8">
        <w:rPr>
          <w:rFonts w:ascii="Arial" w:hAnsi="Arial" w:cs="Arial"/>
          <w:sz w:val="20"/>
          <w:szCs w:val="20"/>
        </w:rPr>
        <w:t>o</w:t>
      </w:r>
      <w:r w:rsidR="008B4289" w:rsidRPr="007E004F">
        <w:rPr>
          <w:rFonts w:ascii="Arial" w:hAnsi="Arial" w:cs="Arial"/>
          <w:sz w:val="20"/>
          <w:szCs w:val="20"/>
        </w:rPr>
        <w:t xml:space="preserve"> dovut</w:t>
      </w:r>
      <w:r w:rsidR="005779E8">
        <w:rPr>
          <w:rFonts w:ascii="Arial" w:hAnsi="Arial" w:cs="Arial"/>
          <w:sz w:val="20"/>
          <w:szCs w:val="20"/>
        </w:rPr>
        <w:t>o</w:t>
      </w:r>
      <w:r w:rsidR="008B4289" w:rsidRPr="007E004F">
        <w:rPr>
          <w:rFonts w:ascii="Arial" w:hAnsi="Arial" w:cs="Arial"/>
          <w:sz w:val="20"/>
          <w:szCs w:val="20"/>
        </w:rPr>
        <w:t xml:space="preserve"> soprattutto ai Beni di consumo </w:t>
      </w:r>
      <w:r w:rsidR="008B4289">
        <w:rPr>
          <w:rFonts w:ascii="Arial" w:hAnsi="Arial" w:cs="Arial"/>
          <w:sz w:val="20"/>
          <w:szCs w:val="20"/>
        </w:rPr>
        <w:t xml:space="preserve">non </w:t>
      </w:r>
      <w:r w:rsidR="008B4289" w:rsidRPr="007E004F">
        <w:rPr>
          <w:rFonts w:ascii="Arial" w:hAnsi="Arial" w:cs="Arial"/>
          <w:sz w:val="20"/>
          <w:szCs w:val="20"/>
        </w:rPr>
        <w:t xml:space="preserve">durevoli (circa </w:t>
      </w:r>
      <w:r w:rsidR="008B4289">
        <w:rPr>
          <w:rFonts w:ascii="Arial" w:hAnsi="Arial" w:cs="Arial"/>
          <w:sz w:val="20"/>
          <w:szCs w:val="20"/>
        </w:rPr>
        <w:t>+</w:t>
      </w:r>
      <w:r w:rsidR="008B4289" w:rsidRPr="007E004F">
        <w:rPr>
          <w:rFonts w:ascii="Arial" w:hAnsi="Arial" w:cs="Arial"/>
          <w:sz w:val="20"/>
          <w:szCs w:val="20"/>
        </w:rPr>
        <w:t>0,</w:t>
      </w:r>
      <w:r w:rsidR="008B4289">
        <w:rPr>
          <w:rFonts w:ascii="Arial" w:hAnsi="Arial" w:cs="Arial"/>
          <w:sz w:val="20"/>
          <w:szCs w:val="20"/>
        </w:rPr>
        <w:t>6</w:t>
      </w:r>
      <w:r w:rsidR="008B4289" w:rsidRPr="007E004F">
        <w:rPr>
          <w:rFonts w:ascii="Arial" w:hAnsi="Arial" w:cs="Arial"/>
          <w:sz w:val="20"/>
          <w:szCs w:val="20"/>
        </w:rPr>
        <w:t xml:space="preserve"> punti) mentre i durevoli </w:t>
      </w:r>
      <w:r w:rsidR="008B4289">
        <w:rPr>
          <w:rFonts w:ascii="Arial" w:hAnsi="Arial" w:cs="Arial"/>
          <w:sz w:val="20"/>
          <w:szCs w:val="20"/>
        </w:rPr>
        <w:t>diminuiscono</w:t>
      </w:r>
      <w:r w:rsidR="008B4289" w:rsidRPr="007E004F">
        <w:rPr>
          <w:rFonts w:ascii="Arial" w:hAnsi="Arial" w:cs="Arial"/>
          <w:sz w:val="20"/>
          <w:szCs w:val="20"/>
        </w:rPr>
        <w:t xml:space="preserve"> di circa </w:t>
      </w:r>
      <w:r w:rsidR="008B4289">
        <w:rPr>
          <w:rFonts w:ascii="Arial" w:hAnsi="Arial" w:cs="Arial"/>
          <w:sz w:val="20"/>
          <w:szCs w:val="20"/>
        </w:rPr>
        <w:t>-</w:t>
      </w:r>
      <w:r w:rsidR="008B4289" w:rsidRPr="007E004F">
        <w:rPr>
          <w:rFonts w:ascii="Arial" w:hAnsi="Arial" w:cs="Arial"/>
          <w:sz w:val="20"/>
          <w:szCs w:val="20"/>
        </w:rPr>
        <w:t>0,</w:t>
      </w:r>
      <w:r w:rsidR="008B4289">
        <w:rPr>
          <w:rFonts w:ascii="Arial" w:hAnsi="Arial" w:cs="Arial"/>
          <w:sz w:val="20"/>
          <w:szCs w:val="20"/>
        </w:rPr>
        <w:t>3</w:t>
      </w:r>
      <w:r w:rsidR="008B4289" w:rsidRPr="007E004F">
        <w:rPr>
          <w:rFonts w:ascii="Arial" w:hAnsi="Arial" w:cs="Arial"/>
          <w:sz w:val="20"/>
          <w:szCs w:val="20"/>
        </w:rPr>
        <w:t xml:space="preserve"> punti percentuali</w:t>
      </w:r>
      <w:r w:rsidRPr="007E004F">
        <w:rPr>
          <w:rFonts w:ascii="Arial" w:hAnsi="Arial" w:cs="Arial"/>
          <w:sz w:val="20"/>
          <w:szCs w:val="20"/>
        </w:rPr>
        <w:t xml:space="preserve">. </w:t>
      </w:r>
      <w:r w:rsidR="008947F5">
        <w:rPr>
          <w:rFonts w:ascii="Arial" w:hAnsi="Arial" w:cs="Arial"/>
          <w:sz w:val="20"/>
          <w:szCs w:val="20"/>
        </w:rPr>
        <w:t>La</w:t>
      </w:r>
      <w:r w:rsidRPr="007E004F">
        <w:rPr>
          <w:rFonts w:ascii="Arial" w:hAnsi="Arial" w:cs="Arial"/>
          <w:sz w:val="20"/>
          <w:szCs w:val="20"/>
        </w:rPr>
        <w:t xml:space="preserve"> diminuzion</w:t>
      </w:r>
      <w:r w:rsidR="008B4289">
        <w:rPr>
          <w:rFonts w:ascii="Arial" w:hAnsi="Arial" w:cs="Arial"/>
          <w:sz w:val="20"/>
          <w:szCs w:val="20"/>
        </w:rPr>
        <w:t>e</w:t>
      </w:r>
      <w:r w:rsidRPr="007E004F">
        <w:rPr>
          <w:rFonts w:ascii="Arial" w:hAnsi="Arial" w:cs="Arial"/>
          <w:sz w:val="20"/>
          <w:szCs w:val="20"/>
        </w:rPr>
        <w:t xml:space="preserve"> </w:t>
      </w:r>
      <w:r w:rsidR="005779E8">
        <w:rPr>
          <w:rFonts w:ascii="Arial" w:hAnsi="Arial" w:cs="Arial"/>
          <w:sz w:val="20"/>
          <w:szCs w:val="20"/>
        </w:rPr>
        <w:t xml:space="preserve">del peso </w:t>
      </w:r>
      <w:r w:rsidRPr="007E004F">
        <w:rPr>
          <w:rFonts w:ascii="Arial" w:hAnsi="Arial" w:cs="Arial"/>
          <w:sz w:val="20"/>
          <w:szCs w:val="20"/>
        </w:rPr>
        <w:t xml:space="preserve">dei Beni strumentali </w:t>
      </w:r>
      <w:r w:rsidR="008947F5">
        <w:rPr>
          <w:rFonts w:ascii="Arial" w:hAnsi="Arial" w:cs="Arial"/>
          <w:sz w:val="20"/>
          <w:szCs w:val="20"/>
        </w:rPr>
        <w:t xml:space="preserve">è di </w:t>
      </w:r>
      <w:r w:rsidRPr="007E004F">
        <w:rPr>
          <w:rFonts w:ascii="Arial" w:hAnsi="Arial" w:cs="Arial"/>
          <w:sz w:val="20"/>
          <w:szCs w:val="20"/>
        </w:rPr>
        <w:t>circa -</w:t>
      </w:r>
      <w:r w:rsidR="008B4289">
        <w:rPr>
          <w:rFonts w:ascii="Arial" w:hAnsi="Arial" w:cs="Arial"/>
          <w:sz w:val="20"/>
          <w:szCs w:val="20"/>
        </w:rPr>
        <w:t>0</w:t>
      </w:r>
      <w:r w:rsidRPr="007E004F">
        <w:rPr>
          <w:rFonts w:ascii="Arial" w:hAnsi="Arial" w:cs="Arial"/>
          <w:sz w:val="20"/>
          <w:szCs w:val="20"/>
        </w:rPr>
        <w:t>,</w:t>
      </w:r>
      <w:r w:rsidR="008B4289">
        <w:rPr>
          <w:rFonts w:ascii="Arial" w:hAnsi="Arial" w:cs="Arial"/>
          <w:sz w:val="20"/>
          <w:szCs w:val="20"/>
        </w:rPr>
        <w:t>8</w:t>
      </w:r>
      <w:r w:rsidRPr="007E004F">
        <w:rPr>
          <w:rFonts w:ascii="Arial" w:hAnsi="Arial" w:cs="Arial"/>
          <w:sz w:val="20"/>
          <w:szCs w:val="20"/>
        </w:rPr>
        <w:t xml:space="preserve"> punti percentuali</w:t>
      </w:r>
      <w:r w:rsidR="008947F5">
        <w:rPr>
          <w:rFonts w:ascii="Arial" w:hAnsi="Arial" w:cs="Arial"/>
          <w:sz w:val="20"/>
          <w:szCs w:val="20"/>
        </w:rPr>
        <w:t xml:space="preserve"> mentre è</w:t>
      </w:r>
      <w:r w:rsidR="008B4289">
        <w:rPr>
          <w:rFonts w:ascii="Arial" w:hAnsi="Arial" w:cs="Arial"/>
          <w:sz w:val="20"/>
          <w:szCs w:val="20"/>
        </w:rPr>
        <w:t xml:space="preserve"> </w:t>
      </w:r>
      <w:r w:rsidR="008947F5">
        <w:rPr>
          <w:rFonts w:ascii="Arial" w:hAnsi="Arial" w:cs="Arial"/>
          <w:sz w:val="20"/>
          <w:szCs w:val="20"/>
        </w:rPr>
        <w:t>p</w:t>
      </w:r>
      <w:r w:rsidR="008B4289">
        <w:rPr>
          <w:rFonts w:ascii="Arial" w:hAnsi="Arial" w:cs="Arial"/>
          <w:sz w:val="20"/>
          <w:szCs w:val="20"/>
        </w:rPr>
        <w:t>ressoché nulla</w:t>
      </w:r>
      <w:r w:rsidRPr="007E004F">
        <w:rPr>
          <w:rFonts w:ascii="Arial" w:hAnsi="Arial" w:cs="Arial"/>
          <w:sz w:val="20"/>
          <w:szCs w:val="20"/>
        </w:rPr>
        <w:t xml:space="preserve"> </w:t>
      </w:r>
      <w:r w:rsidR="005779E8">
        <w:rPr>
          <w:rFonts w:ascii="Arial" w:hAnsi="Arial" w:cs="Arial"/>
          <w:sz w:val="20"/>
          <w:szCs w:val="20"/>
        </w:rPr>
        <w:t xml:space="preserve">la variazione del peso </w:t>
      </w:r>
      <w:r w:rsidR="008B4289">
        <w:rPr>
          <w:rFonts w:ascii="Arial" w:hAnsi="Arial" w:cs="Arial"/>
          <w:sz w:val="20"/>
          <w:szCs w:val="20"/>
        </w:rPr>
        <w:t>dell’Energia</w:t>
      </w:r>
      <w:r w:rsidRPr="007E004F">
        <w:rPr>
          <w:rFonts w:ascii="Arial" w:hAnsi="Arial" w:cs="Arial"/>
          <w:sz w:val="20"/>
          <w:szCs w:val="20"/>
        </w:rPr>
        <w:t>.</w:t>
      </w:r>
    </w:p>
    <w:p w:rsidR="00604101" w:rsidRPr="00D62247" w:rsidRDefault="00604101" w:rsidP="00604101">
      <w:pPr>
        <w:spacing w:after="120"/>
        <w:ind w:left="1814"/>
        <w:jc w:val="both"/>
        <w:rPr>
          <w:rFonts w:ascii="Arial Narrow" w:hAnsi="Arial Narrow" w:cs="Arial"/>
          <w:color w:val="333333"/>
          <w:sz w:val="19"/>
          <w:szCs w:val="16"/>
        </w:rPr>
      </w:pPr>
      <w:r w:rsidRPr="00D62247">
        <w:rPr>
          <w:rFonts w:ascii="Arial Narrow" w:hAnsi="Arial Narrow" w:cs="Arial"/>
          <w:b/>
          <w:caps/>
          <w:color w:val="777777"/>
          <w:sz w:val="20"/>
          <w:szCs w:val="16"/>
        </w:rPr>
        <w:t>Prospetto 7. Prezzi alla produzione dei prodotti industriali, Mercato interno</w:t>
      </w:r>
      <w:r w:rsidRPr="00D62247">
        <w:rPr>
          <w:rFonts w:ascii="Arial Narrow" w:hAnsi="Arial Narrow" w:cs="Arial"/>
          <w:caps/>
          <w:color w:val="808080"/>
          <w:sz w:val="20"/>
          <w:szCs w:val="16"/>
        </w:rPr>
        <w:t xml:space="preserve">. </w:t>
      </w:r>
      <w:r w:rsidRPr="00D62247">
        <w:rPr>
          <w:rFonts w:ascii="Arial Narrow" w:hAnsi="Arial Narrow" w:cs="Arial"/>
          <w:color w:val="808080"/>
          <w:sz w:val="19"/>
          <w:szCs w:val="16"/>
        </w:rPr>
        <w:t>Confronto tra le strutture di ponderazione delle basi di calcolo Dicembre 201</w:t>
      </w:r>
      <w:r>
        <w:rPr>
          <w:rFonts w:ascii="Arial Narrow" w:hAnsi="Arial Narrow" w:cs="Arial"/>
          <w:color w:val="808080"/>
          <w:sz w:val="19"/>
          <w:szCs w:val="16"/>
        </w:rPr>
        <w:t>2</w:t>
      </w:r>
      <w:r w:rsidRPr="00D62247">
        <w:rPr>
          <w:rFonts w:ascii="Arial Narrow" w:hAnsi="Arial Narrow" w:cs="Arial"/>
          <w:color w:val="808080"/>
          <w:sz w:val="19"/>
          <w:szCs w:val="16"/>
        </w:rPr>
        <w:t xml:space="preserve"> e Dicembre 201</w:t>
      </w:r>
      <w:r>
        <w:rPr>
          <w:rFonts w:ascii="Arial Narrow" w:hAnsi="Arial Narrow" w:cs="Arial"/>
          <w:color w:val="808080"/>
          <w:sz w:val="19"/>
          <w:szCs w:val="16"/>
        </w:rPr>
        <w:t>3</w:t>
      </w:r>
      <w:r w:rsidR="00FB2278">
        <w:rPr>
          <w:rFonts w:ascii="Arial Narrow" w:hAnsi="Arial Narrow" w:cs="Arial"/>
          <w:color w:val="808080"/>
          <w:sz w:val="19"/>
          <w:szCs w:val="16"/>
        </w:rPr>
        <w:t>.</w:t>
      </w:r>
    </w:p>
    <w:tbl>
      <w:tblPr>
        <w:tblW w:w="4094" w:type="pct"/>
        <w:tblInd w:w="1951" w:type="dxa"/>
        <w:tblBorders>
          <w:top w:val="single" w:sz="4" w:space="0" w:color="333333"/>
          <w:bottom w:val="single" w:sz="4" w:space="0" w:color="333333"/>
          <w:insideH w:val="single" w:sz="4" w:space="0" w:color="333333"/>
        </w:tblBorders>
        <w:tblLook w:val="01E0" w:firstRow="1" w:lastRow="1" w:firstColumn="1" w:lastColumn="1" w:noHBand="0" w:noVBand="0"/>
      </w:tblPr>
      <w:tblGrid>
        <w:gridCol w:w="2218"/>
        <w:gridCol w:w="2457"/>
        <w:gridCol w:w="2124"/>
        <w:gridCol w:w="2013"/>
      </w:tblGrid>
      <w:tr w:rsidR="00604101" w:rsidRPr="00D62247" w:rsidTr="00681F86">
        <w:trPr>
          <w:trHeight w:val="227"/>
        </w:trPr>
        <w:tc>
          <w:tcPr>
            <w:tcW w:w="1259" w:type="pct"/>
            <w:vAlign w:val="center"/>
          </w:tcPr>
          <w:p w:rsidR="00604101" w:rsidRPr="00D62247" w:rsidRDefault="00604101" w:rsidP="00737A56">
            <w:pPr>
              <w:spacing w:before="40" w:after="20"/>
              <w:ind w:left="-57"/>
              <w:rPr>
                <w:rFonts w:ascii="Arial Narrow" w:hAnsi="Arial Narrow" w:cs="Arial"/>
                <w:sz w:val="18"/>
                <w:szCs w:val="16"/>
              </w:rPr>
            </w:pPr>
            <w:r w:rsidRPr="00D62247">
              <w:rPr>
                <w:rFonts w:ascii="Arial Narrow" w:hAnsi="Arial Narrow" w:cs="Arial"/>
                <w:b/>
                <w:sz w:val="18"/>
                <w:szCs w:val="16"/>
              </w:rPr>
              <w:t>Raggruppamenti principali di industrie</w:t>
            </w:r>
          </w:p>
        </w:tc>
        <w:tc>
          <w:tcPr>
            <w:tcW w:w="1394" w:type="pct"/>
            <w:shd w:val="clear" w:color="auto" w:fill="E6E6E6"/>
            <w:vAlign w:val="center"/>
          </w:tcPr>
          <w:p w:rsidR="00604101" w:rsidRPr="00D62247" w:rsidRDefault="00604101" w:rsidP="00FB2278">
            <w:pPr>
              <w:spacing w:before="40" w:after="20"/>
              <w:ind w:right="98"/>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2</w:t>
            </w:r>
          </w:p>
        </w:tc>
        <w:tc>
          <w:tcPr>
            <w:tcW w:w="1205" w:type="pct"/>
            <w:vAlign w:val="center"/>
          </w:tcPr>
          <w:p w:rsidR="00604101" w:rsidRPr="00D62247" w:rsidRDefault="00604101" w:rsidP="00FB2278">
            <w:pPr>
              <w:spacing w:before="40" w:after="20"/>
              <w:ind w:right="98"/>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c>
          <w:tcPr>
            <w:tcW w:w="1142" w:type="pct"/>
            <w:shd w:val="clear" w:color="auto" w:fill="E6E6E6"/>
            <w:vAlign w:val="center"/>
          </w:tcPr>
          <w:p w:rsidR="00604101" w:rsidRPr="00D62247" w:rsidRDefault="00604101" w:rsidP="00737A56">
            <w:pPr>
              <w:spacing w:before="40" w:after="20"/>
              <w:ind w:right="98"/>
              <w:jc w:val="right"/>
              <w:rPr>
                <w:rFonts w:ascii="Arial Narrow" w:hAnsi="Arial Narrow" w:cs="Arial"/>
                <w:b/>
                <w:sz w:val="18"/>
                <w:szCs w:val="16"/>
              </w:rPr>
            </w:pPr>
            <w:r w:rsidRPr="00D62247">
              <w:rPr>
                <w:rFonts w:ascii="Arial Narrow" w:hAnsi="Arial Narrow" w:cs="Arial"/>
                <w:b/>
                <w:sz w:val="18"/>
                <w:szCs w:val="16"/>
              </w:rPr>
              <w:t>Differenza assoluta</w:t>
            </w:r>
          </w:p>
        </w:tc>
      </w:tr>
      <w:tr w:rsidR="003D02D7" w:rsidRPr="00D62247" w:rsidTr="00681F86">
        <w:tc>
          <w:tcPr>
            <w:tcW w:w="1259" w:type="pct"/>
            <w:vAlign w:val="center"/>
          </w:tcPr>
          <w:p w:rsidR="003D02D7" w:rsidRPr="00D62247" w:rsidRDefault="003D02D7" w:rsidP="00737A56">
            <w:pPr>
              <w:spacing w:before="40" w:after="20"/>
              <w:ind w:left="-57"/>
              <w:rPr>
                <w:rFonts w:ascii="Arial Narrow" w:hAnsi="Arial Narrow" w:cs="Arial"/>
                <w:sz w:val="18"/>
                <w:szCs w:val="16"/>
              </w:rPr>
            </w:pPr>
            <w:r w:rsidRPr="00D62247">
              <w:rPr>
                <w:rFonts w:ascii="Arial Narrow" w:hAnsi="Arial Narrow" w:cs="Arial"/>
                <w:sz w:val="18"/>
                <w:szCs w:val="16"/>
              </w:rPr>
              <w:t>Beni di consumo</w:t>
            </w:r>
          </w:p>
        </w:tc>
        <w:tc>
          <w:tcPr>
            <w:tcW w:w="1394" w:type="pct"/>
            <w:shd w:val="clear" w:color="auto" w:fill="E6E6E6"/>
            <w:vAlign w:val="bottom"/>
          </w:tcPr>
          <w:p w:rsidR="003D02D7" w:rsidRPr="00FB2278" w:rsidRDefault="003D02D7" w:rsidP="00FB2278">
            <w:pPr>
              <w:spacing w:before="40" w:after="20"/>
              <w:ind w:right="98"/>
              <w:jc w:val="right"/>
              <w:rPr>
                <w:rFonts w:ascii="Arial Narrow" w:hAnsi="Arial Narrow" w:cs="Arial"/>
                <w:sz w:val="18"/>
                <w:szCs w:val="16"/>
              </w:rPr>
            </w:pPr>
            <w:r w:rsidRPr="00FB2278">
              <w:rPr>
                <w:rFonts w:ascii="Arial Narrow" w:hAnsi="Arial Narrow" w:cs="Arial"/>
                <w:sz w:val="18"/>
                <w:szCs w:val="16"/>
              </w:rPr>
              <w:t>23,0913</w:t>
            </w:r>
          </w:p>
        </w:tc>
        <w:tc>
          <w:tcPr>
            <w:tcW w:w="1205" w:type="pct"/>
            <w:vAlign w:val="bottom"/>
          </w:tcPr>
          <w:p w:rsidR="003D02D7" w:rsidRPr="003D02D7" w:rsidRDefault="003D02D7" w:rsidP="003D02D7">
            <w:pPr>
              <w:spacing w:before="40" w:after="20"/>
              <w:ind w:right="98"/>
              <w:jc w:val="right"/>
              <w:rPr>
                <w:rFonts w:ascii="Arial Narrow" w:hAnsi="Arial Narrow" w:cs="Arial"/>
                <w:sz w:val="18"/>
                <w:szCs w:val="16"/>
              </w:rPr>
            </w:pPr>
            <w:r w:rsidRPr="003D02D7">
              <w:rPr>
                <w:rFonts w:ascii="Arial Narrow" w:hAnsi="Arial Narrow" w:cs="Arial"/>
                <w:sz w:val="18"/>
                <w:szCs w:val="16"/>
              </w:rPr>
              <w:t>23,4385</w:t>
            </w:r>
          </w:p>
        </w:tc>
        <w:tc>
          <w:tcPr>
            <w:tcW w:w="1142" w:type="pct"/>
            <w:shd w:val="clear" w:color="auto" w:fill="E6E6E6"/>
            <w:vAlign w:val="bottom"/>
          </w:tcPr>
          <w:p w:rsidR="003D02D7" w:rsidRPr="003D02D7" w:rsidRDefault="003D02D7" w:rsidP="003D02D7">
            <w:pPr>
              <w:spacing w:before="40" w:after="20"/>
              <w:ind w:right="98"/>
              <w:jc w:val="right"/>
              <w:rPr>
                <w:rFonts w:ascii="Arial Narrow" w:hAnsi="Arial Narrow" w:cs="Arial"/>
                <w:sz w:val="18"/>
                <w:szCs w:val="16"/>
              </w:rPr>
            </w:pPr>
            <w:r>
              <w:rPr>
                <w:rFonts w:ascii="Arial Narrow" w:hAnsi="Arial Narrow" w:cs="Arial"/>
                <w:sz w:val="18"/>
                <w:szCs w:val="16"/>
              </w:rPr>
              <w:t>+</w:t>
            </w:r>
            <w:r w:rsidRPr="003D02D7">
              <w:rPr>
                <w:rFonts w:ascii="Arial Narrow" w:hAnsi="Arial Narrow" w:cs="Arial"/>
                <w:sz w:val="18"/>
                <w:szCs w:val="16"/>
              </w:rPr>
              <w:t>0,3472</w:t>
            </w:r>
          </w:p>
        </w:tc>
      </w:tr>
      <w:tr w:rsidR="003D02D7" w:rsidRPr="00D62247" w:rsidTr="00681F86">
        <w:tc>
          <w:tcPr>
            <w:tcW w:w="1259" w:type="pct"/>
            <w:vAlign w:val="center"/>
          </w:tcPr>
          <w:p w:rsidR="003D02D7" w:rsidRPr="00D62247" w:rsidRDefault="003D02D7" w:rsidP="00737A56">
            <w:pPr>
              <w:spacing w:before="40" w:after="20"/>
              <w:rPr>
                <w:rFonts w:ascii="Arial Narrow" w:hAnsi="Arial Narrow" w:cs="Arial"/>
                <w:i/>
                <w:sz w:val="18"/>
                <w:szCs w:val="16"/>
              </w:rPr>
            </w:pPr>
            <w:r w:rsidRPr="00D62247">
              <w:rPr>
                <w:rFonts w:ascii="Arial Narrow" w:hAnsi="Arial Narrow" w:cs="Arial"/>
                <w:i/>
                <w:sz w:val="18"/>
                <w:szCs w:val="16"/>
              </w:rPr>
              <w:t xml:space="preserve">  durevoli</w:t>
            </w:r>
          </w:p>
        </w:tc>
        <w:tc>
          <w:tcPr>
            <w:tcW w:w="1394" w:type="pct"/>
            <w:shd w:val="clear" w:color="auto" w:fill="E6E6E6"/>
            <w:vAlign w:val="bottom"/>
          </w:tcPr>
          <w:p w:rsidR="003D02D7" w:rsidRPr="003D02D7" w:rsidRDefault="003D02D7" w:rsidP="00FB2278">
            <w:pPr>
              <w:spacing w:before="40" w:after="20"/>
              <w:ind w:right="98"/>
              <w:jc w:val="right"/>
              <w:rPr>
                <w:rFonts w:ascii="Arial Narrow" w:hAnsi="Arial Narrow" w:cs="Arial"/>
                <w:i/>
                <w:sz w:val="18"/>
                <w:szCs w:val="16"/>
              </w:rPr>
            </w:pPr>
            <w:r w:rsidRPr="003D02D7">
              <w:rPr>
                <w:rFonts w:ascii="Arial Narrow" w:hAnsi="Arial Narrow" w:cs="Arial"/>
                <w:i/>
                <w:sz w:val="18"/>
                <w:szCs w:val="16"/>
              </w:rPr>
              <w:t>2,9390</w:t>
            </w:r>
          </w:p>
        </w:tc>
        <w:tc>
          <w:tcPr>
            <w:tcW w:w="1205" w:type="pct"/>
            <w:vAlign w:val="bottom"/>
          </w:tcPr>
          <w:p w:rsidR="003D02D7" w:rsidRPr="003D02D7" w:rsidRDefault="003D02D7" w:rsidP="003D02D7">
            <w:pPr>
              <w:spacing w:before="40" w:after="20"/>
              <w:ind w:right="98"/>
              <w:jc w:val="right"/>
              <w:rPr>
                <w:rFonts w:ascii="Arial Narrow" w:hAnsi="Arial Narrow" w:cs="Arial"/>
                <w:i/>
                <w:sz w:val="18"/>
                <w:szCs w:val="16"/>
              </w:rPr>
            </w:pPr>
            <w:r w:rsidRPr="003D02D7">
              <w:rPr>
                <w:rFonts w:ascii="Arial Narrow" w:hAnsi="Arial Narrow" w:cs="Arial"/>
                <w:i/>
                <w:sz w:val="18"/>
                <w:szCs w:val="16"/>
              </w:rPr>
              <w:t>2,6466</w:t>
            </w:r>
          </w:p>
        </w:tc>
        <w:tc>
          <w:tcPr>
            <w:tcW w:w="1142" w:type="pct"/>
            <w:shd w:val="clear" w:color="auto" w:fill="E6E6E6"/>
            <w:vAlign w:val="bottom"/>
          </w:tcPr>
          <w:p w:rsidR="003D02D7" w:rsidRPr="003D02D7" w:rsidRDefault="003D02D7" w:rsidP="003D02D7">
            <w:pPr>
              <w:spacing w:before="40" w:after="20"/>
              <w:ind w:right="98"/>
              <w:jc w:val="right"/>
              <w:rPr>
                <w:rFonts w:ascii="Arial Narrow" w:hAnsi="Arial Narrow" w:cs="Arial"/>
                <w:i/>
                <w:sz w:val="18"/>
                <w:szCs w:val="16"/>
              </w:rPr>
            </w:pPr>
            <w:r w:rsidRPr="003D02D7">
              <w:rPr>
                <w:rFonts w:ascii="Arial Narrow" w:hAnsi="Arial Narrow" w:cs="Arial"/>
                <w:i/>
                <w:sz w:val="18"/>
                <w:szCs w:val="16"/>
              </w:rPr>
              <w:t>-0,2924</w:t>
            </w:r>
          </w:p>
        </w:tc>
      </w:tr>
      <w:tr w:rsidR="003D02D7" w:rsidRPr="00D62247" w:rsidTr="00681F86">
        <w:tc>
          <w:tcPr>
            <w:tcW w:w="1259" w:type="pct"/>
            <w:vAlign w:val="center"/>
          </w:tcPr>
          <w:p w:rsidR="003D02D7" w:rsidRPr="00D62247" w:rsidRDefault="003D02D7" w:rsidP="00737A56">
            <w:pPr>
              <w:spacing w:before="40" w:after="20"/>
              <w:rPr>
                <w:rFonts w:ascii="Arial Narrow" w:hAnsi="Arial Narrow" w:cs="Arial"/>
                <w:i/>
                <w:sz w:val="18"/>
                <w:szCs w:val="16"/>
              </w:rPr>
            </w:pPr>
            <w:r w:rsidRPr="00D62247">
              <w:rPr>
                <w:rFonts w:ascii="Arial Narrow" w:hAnsi="Arial Narrow" w:cs="Arial"/>
                <w:i/>
                <w:sz w:val="18"/>
                <w:szCs w:val="16"/>
              </w:rPr>
              <w:t xml:space="preserve">  non durevoli</w:t>
            </w:r>
          </w:p>
        </w:tc>
        <w:tc>
          <w:tcPr>
            <w:tcW w:w="1394" w:type="pct"/>
            <w:shd w:val="clear" w:color="auto" w:fill="E6E6E6"/>
            <w:vAlign w:val="bottom"/>
          </w:tcPr>
          <w:p w:rsidR="003D02D7" w:rsidRPr="003D02D7" w:rsidRDefault="003D02D7" w:rsidP="00FB2278">
            <w:pPr>
              <w:spacing w:before="40" w:after="20"/>
              <w:ind w:right="98"/>
              <w:jc w:val="right"/>
              <w:rPr>
                <w:rFonts w:ascii="Arial Narrow" w:hAnsi="Arial Narrow" w:cs="Arial"/>
                <w:i/>
                <w:sz w:val="18"/>
                <w:szCs w:val="16"/>
              </w:rPr>
            </w:pPr>
            <w:r w:rsidRPr="003D02D7">
              <w:rPr>
                <w:rFonts w:ascii="Arial Narrow" w:hAnsi="Arial Narrow" w:cs="Arial"/>
                <w:i/>
                <w:sz w:val="18"/>
                <w:szCs w:val="16"/>
              </w:rPr>
              <w:t>20,1523</w:t>
            </w:r>
          </w:p>
        </w:tc>
        <w:tc>
          <w:tcPr>
            <w:tcW w:w="1205" w:type="pct"/>
            <w:vAlign w:val="bottom"/>
          </w:tcPr>
          <w:p w:rsidR="003D02D7" w:rsidRPr="003D02D7" w:rsidRDefault="003D02D7" w:rsidP="003D02D7">
            <w:pPr>
              <w:spacing w:before="40" w:after="20"/>
              <w:ind w:right="98"/>
              <w:jc w:val="right"/>
              <w:rPr>
                <w:rFonts w:ascii="Arial Narrow" w:hAnsi="Arial Narrow" w:cs="Arial"/>
                <w:i/>
                <w:sz w:val="18"/>
                <w:szCs w:val="16"/>
              </w:rPr>
            </w:pPr>
            <w:r w:rsidRPr="003D02D7">
              <w:rPr>
                <w:rFonts w:ascii="Arial Narrow" w:hAnsi="Arial Narrow" w:cs="Arial"/>
                <w:i/>
                <w:sz w:val="18"/>
                <w:szCs w:val="16"/>
              </w:rPr>
              <w:t>20,7919</w:t>
            </w:r>
          </w:p>
        </w:tc>
        <w:tc>
          <w:tcPr>
            <w:tcW w:w="1142" w:type="pct"/>
            <w:shd w:val="clear" w:color="auto" w:fill="E6E6E6"/>
            <w:vAlign w:val="bottom"/>
          </w:tcPr>
          <w:p w:rsidR="003D02D7" w:rsidRPr="003D02D7" w:rsidRDefault="003D02D7" w:rsidP="003D02D7">
            <w:pPr>
              <w:spacing w:before="40" w:after="20"/>
              <w:ind w:right="98"/>
              <w:jc w:val="right"/>
              <w:rPr>
                <w:rFonts w:ascii="Arial Narrow" w:hAnsi="Arial Narrow" w:cs="Arial"/>
                <w:i/>
                <w:sz w:val="18"/>
                <w:szCs w:val="16"/>
              </w:rPr>
            </w:pPr>
            <w:r>
              <w:rPr>
                <w:rFonts w:ascii="Arial Narrow" w:hAnsi="Arial Narrow" w:cs="Arial"/>
                <w:i/>
                <w:sz w:val="18"/>
                <w:szCs w:val="16"/>
              </w:rPr>
              <w:t>+</w:t>
            </w:r>
            <w:r w:rsidRPr="003D02D7">
              <w:rPr>
                <w:rFonts w:ascii="Arial Narrow" w:hAnsi="Arial Narrow" w:cs="Arial"/>
                <w:i/>
                <w:sz w:val="18"/>
                <w:szCs w:val="16"/>
              </w:rPr>
              <w:t>0,6396</w:t>
            </w:r>
          </w:p>
        </w:tc>
      </w:tr>
      <w:tr w:rsidR="003D02D7" w:rsidRPr="00D62247" w:rsidTr="00681F86">
        <w:tc>
          <w:tcPr>
            <w:tcW w:w="1259" w:type="pct"/>
            <w:vAlign w:val="center"/>
          </w:tcPr>
          <w:p w:rsidR="003D02D7" w:rsidRPr="00D62247" w:rsidRDefault="003D02D7" w:rsidP="00737A56">
            <w:pPr>
              <w:spacing w:before="40" w:after="20"/>
              <w:ind w:left="-57"/>
              <w:rPr>
                <w:rFonts w:ascii="Arial Narrow" w:hAnsi="Arial Narrow" w:cs="Arial"/>
                <w:sz w:val="18"/>
                <w:szCs w:val="16"/>
              </w:rPr>
            </w:pPr>
            <w:r w:rsidRPr="00D62247">
              <w:rPr>
                <w:rFonts w:ascii="Arial Narrow" w:hAnsi="Arial Narrow" w:cs="Arial"/>
                <w:sz w:val="18"/>
                <w:szCs w:val="16"/>
              </w:rPr>
              <w:t>Beni strumentali</w:t>
            </w:r>
          </w:p>
        </w:tc>
        <w:tc>
          <w:tcPr>
            <w:tcW w:w="1394" w:type="pct"/>
            <w:shd w:val="clear" w:color="auto" w:fill="E6E6E6"/>
            <w:vAlign w:val="bottom"/>
          </w:tcPr>
          <w:p w:rsidR="003D02D7" w:rsidRPr="00FB2278" w:rsidRDefault="003D02D7" w:rsidP="00FB2278">
            <w:pPr>
              <w:spacing w:before="40" w:after="20"/>
              <w:ind w:right="98"/>
              <w:jc w:val="right"/>
              <w:rPr>
                <w:rFonts w:ascii="Arial Narrow" w:hAnsi="Arial Narrow" w:cs="Arial"/>
                <w:sz w:val="18"/>
                <w:szCs w:val="16"/>
              </w:rPr>
            </w:pPr>
            <w:r w:rsidRPr="00FB2278">
              <w:rPr>
                <w:rFonts w:ascii="Arial Narrow" w:hAnsi="Arial Narrow" w:cs="Arial"/>
                <w:sz w:val="18"/>
                <w:szCs w:val="16"/>
              </w:rPr>
              <w:t>17,1765</w:t>
            </w:r>
          </w:p>
        </w:tc>
        <w:tc>
          <w:tcPr>
            <w:tcW w:w="1205" w:type="pct"/>
            <w:vAlign w:val="bottom"/>
          </w:tcPr>
          <w:p w:rsidR="003D02D7" w:rsidRPr="003D02D7" w:rsidRDefault="003D02D7" w:rsidP="003D02D7">
            <w:pPr>
              <w:spacing w:before="40" w:after="20"/>
              <w:ind w:right="98"/>
              <w:jc w:val="right"/>
              <w:rPr>
                <w:rFonts w:ascii="Arial Narrow" w:hAnsi="Arial Narrow" w:cs="Arial"/>
                <w:sz w:val="18"/>
                <w:szCs w:val="16"/>
              </w:rPr>
            </w:pPr>
            <w:r w:rsidRPr="003D02D7">
              <w:rPr>
                <w:rFonts w:ascii="Arial Narrow" w:hAnsi="Arial Narrow" w:cs="Arial"/>
                <w:sz w:val="18"/>
                <w:szCs w:val="16"/>
              </w:rPr>
              <w:t>16,3726</w:t>
            </w:r>
          </w:p>
        </w:tc>
        <w:tc>
          <w:tcPr>
            <w:tcW w:w="1142" w:type="pct"/>
            <w:shd w:val="clear" w:color="auto" w:fill="E6E6E6"/>
            <w:vAlign w:val="bottom"/>
          </w:tcPr>
          <w:p w:rsidR="003D02D7" w:rsidRPr="003D02D7" w:rsidRDefault="003D02D7" w:rsidP="003D02D7">
            <w:pPr>
              <w:spacing w:before="40" w:after="20"/>
              <w:ind w:right="98"/>
              <w:jc w:val="right"/>
              <w:rPr>
                <w:rFonts w:ascii="Arial Narrow" w:hAnsi="Arial Narrow" w:cs="Arial"/>
                <w:sz w:val="18"/>
                <w:szCs w:val="16"/>
              </w:rPr>
            </w:pPr>
            <w:r w:rsidRPr="003D02D7">
              <w:rPr>
                <w:rFonts w:ascii="Arial Narrow" w:hAnsi="Arial Narrow" w:cs="Arial"/>
                <w:sz w:val="18"/>
                <w:szCs w:val="16"/>
              </w:rPr>
              <w:t>-0,8039</w:t>
            </w:r>
          </w:p>
        </w:tc>
      </w:tr>
      <w:tr w:rsidR="003D02D7" w:rsidRPr="00D62247" w:rsidTr="00681F86">
        <w:tc>
          <w:tcPr>
            <w:tcW w:w="1259" w:type="pct"/>
            <w:vAlign w:val="center"/>
          </w:tcPr>
          <w:p w:rsidR="003D02D7" w:rsidRPr="00D62247" w:rsidRDefault="003D02D7" w:rsidP="00737A56">
            <w:pPr>
              <w:spacing w:before="40" w:after="20"/>
              <w:ind w:left="-57"/>
              <w:rPr>
                <w:rFonts w:ascii="Arial Narrow" w:hAnsi="Arial Narrow" w:cs="Arial"/>
                <w:sz w:val="18"/>
                <w:szCs w:val="16"/>
              </w:rPr>
            </w:pPr>
            <w:r w:rsidRPr="00D62247">
              <w:rPr>
                <w:rFonts w:ascii="Arial Narrow" w:hAnsi="Arial Narrow" w:cs="Arial"/>
                <w:sz w:val="18"/>
                <w:szCs w:val="16"/>
              </w:rPr>
              <w:t>Beni intermedi</w:t>
            </w:r>
          </w:p>
        </w:tc>
        <w:tc>
          <w:tcPr>
            <w:tcW w:w="1394" w:type="pct"/>
            <w:shd w:val="clear" w:color="auto" w:fill="E6E6E6"/>
            <w:vAlign w:val="bottom"/>
          </w:tcPr>
          <w:p w:rsidR="003D02D7" w:rsidRPr="00FB2278" w:rsidRDefault="003D02D7" w:rsidP="00FB2278">
            <w:pPr>
              <w:spacing w:before="40" w:after="20"/>
              <w:ind w:right="98"/>
              <w:jc w:val="right"/>
              <w:rPr>
                <w:rFonts w:ascii="Arial Narrow" w:hAnsi="Arial Narrow" w:cs="Arial"/>
                <w:sz w:val="18"/>
                <w:szCs w:val="16"/>
              </w:rPr>
            </w:pPr>
            <w:r w:rsidRPr="00FB2278">
              <w:rPr>
                <w:rFonts w:ascii="Arial Narrow" w:hAnsi="Arial Narrow" w:cs="Arial"/>
                <w:sz w:val="18"/>
                <w:szCs w:val="16"/>
              </w:rPr>
              <w:t>27,1712</w:t>
            </w:r>
          </w:p>
        </w:tc>
        <w:tc>
          <w:tcPr>
            <w:tcW w:w="1205" w:type="pct"/>
            <w:vAlign w:val="bottom"/>
          </w:tcPr>
          <w:p w:rsidR="003D02D7" w:rsidRPr="003D02D7" w:rsidRDefault="003D02D7" w:rsidP="003D02D7">
            <w:pPr>
              <w:spacing w:before="40" w:after="20"/>
              <w:ind w:right="98"/>
              <w:jc w:val="right"/>
              <w:rPr>
                <w:rFonts w:ascii="Arial Narrow" w:hAnsi="Arial Narrow" w:cs="Arial"/>
                <w:sz w:val="18"/>
                <w:szCs w:val="16"/>
              </w:rPr>
            </w:pPr>
            <w:r w:rsidRPr="003D02D7">
              <w:rPr>
                <w:rFonts w:ascii="Arial Narrow" w:hAnsi="Arial Narrow" w:cs="Arial"/>
                <w:sz w:val="18"/>
                <w:szCs w:val="16"/>
              </w:rPr>
              <w:t>27,6453</w:t>
            </w:r>
          </w:p>
        </w:tc>
        <w:tc>
          <w:tcPr>
            <w:tcW w:w="1142" w:type="pct"/>
            <w:shd w:val="clear" w:color="auto" w:fill="E6E6E6"/>
            <w:vAlign w:val="bottom"/>
          </w:tcPr>
          <w:p w:rsidR="003D02D7" w:rsidRPr="003D02D7" w:rsidRDefault="003D02D7" w:rsidP="003D02D7">
            <w:pPr>
              <w:spacing w:before="40" w:after="20"/>
              <w:ind w:right="98"/>
              <w:jc w:val="right"/>
              <w:rPr>
                <w:rFonts w:ascii="Arial Narrow" w:hAnsi="Arial Narrow" w:cs="Arial"/>
                <w:sz w:val="18"/>
                <w:szCs w:val="16"/>
              </w:rPr>
            </w:pPr>
            <w:r>
              <w:rPr>
                <w:rFonts w:ascii="Arial Narrow" w:hAnsi="Arial Narrow" w:cs="Arial"/>
                <w:sz w:val="18"/>
                <w:szCs w:val="16"/>
              </w:rPr>
              <w:t>+</w:t>
            </w:r>
            <w:r w:rsidRPr="003D02D7">
              <w:rPr>
                <w:rFonts w:ascii="Arial Narrow" w:hAnsi="Arial Narrow" w:cs="Arial"/>
                <w:sz w:val="18"/>
                <w:szCs w:val="16"/>
              </w:rPr>
              <w:t>0,4741</w:t>
            </w:r>
          </w:p>
        </w:tc>
      </w:tr>
      <w:tr w:rsidR="003D02D7" w:rsidRPr="00D62247" w:rsidTr="00681F86">
        <w:tc>
          <w:tcPr>
            <w:tcW w:w="1259" w:type="pct"/>
            <w:tcBorders>
              <w:bottom w:val="single" w:sz="4" w:space="0" w:color="333333"/>
            </w:tcBorders>
            <w:vAlign w:val="center"/>
          </w:tcPr>
          <w:p w:rsidR="003D02D7" w:rsidRPr="00D62247" w:rsidRDefault="003D02D7" w:rsidP="00737A56">
            <w:pPr>
              <w:spacing w:before="40" w:after="20"/>
              <w:ind w:left="-57"/>
              <w:rPr>
                <w:rFonts w:ascii="Arial Narrow" w:hAnsi="Arial Narrow" w:cs="Arial"/>
                <w:sz w:val="18"/>
                <w:szCs w:val="16"/>
              </w:rPr>
            </w:pPr>
            <w:r w:rsidRPr="00D62247">
              <w:rPr>
                <w:rFonts w:ascii="Arial Narrow" w:hAnsi="Arial Narrow" w:cs="Arial"/>
                <w:sz w:val="18"/>
                <w:szCs w:val="16"/>
              </w:rPr>
              <w:t>Energia</w:t>
            </w:r>
          </w:p>
        </w:tc>
        <w:tc>
          <w:tcPr>
            <w:tcW w:w="1394" w:type="pct"/>
            <w:tcBorders>
              <w:bottom w:val="single" w:sz="4" w:space="0" w:color="333333"/>
            </w:tcBorders>
            <w:shd w:val="clear" w:color="auto" w:fill="E6E6E6"/>
            <w:vAlign w:val="bottom"/>
          </w:tcPr>
          <w:p w:rsidR="003D02D7" w:rsidRPr="00FB2278" w:rsidRDefault="003D02D7" w:rsidP="00FB2278">
            <w:pPr>
              <w:spacing w:before="40" w:after="20"/>
              <w:ind w:right="98"/>
              <w:jc w:val="right"/>
              <w:rPr>
                <w:rFonts w:ascii="Arial Narrow" w:hAnsi="Arial Narrow" w:cs="Arial"/>
                <w:sz w:val="18"/>
                <w:szCs w:val="16"/>
              </w:rPr>
            </w:pPr>
            <w:r w:rsidRPr="00FB2278">
              <w:rPr>
                <w:rFonts w:ascii="Arial Narrow" w:hAnsi="Arial Narrow" w:cs="Arial"/>
                <w:sz w:val="18"/>
                <w:szCs w:val="16"/>
              </w:rPr>
              <w:t>32,5610</w:t>
            </w:r>
          </w:p>
        </w:tc>
        <w:tc>
          <w:tcPr>
            <w:tcW w:w="1205" w:type="pct"/>
            <w:tcBorders>
              <w:bottom w:val="single" w:sz="4" w:space="0" w:color="333333"/>
            </w:tcBorders>
            <w:vAlign w:val="bottom"/>
          </w:tcPr>
          <w:p w:rsidR="003D02D7" w:rsidRPr="003D02D7" w:rsidRDefault="003D02D7" w:rsidP="003D02D7">
            <w:pPr>
              <w:spacing w:before="40" w:after="20"/>
              <w:ind w:right="98"/>
              <w:jc w:val="right"/>
              <w:rPr>
                <w:rFonts w:ascii="Arial Narrow" w:hAnsi="Arial Narrow" w:cs="Arial"/>
                <w:sz w:val="18"/>
                <w:szCs w:val="16"/>
              </w:rPr>
            </w:pPr>
            <w:r w:rsidRPr="003D02D7">
              <w:rPr>
                <w:rFonts w:ascii="Arial Narrow" w:hAnsi="Arial Narrow" w:cs="Arial"/>
                <w:sz w:val="18"/>
                <w:szCs w:val="16"/>
              </w:rPr>
              <w:t>32,5436</w:t>
            </w:r>
          </w:p>
        </w:tc>
        <w:tc>
          <w:tcPr>
            <w:tcW w:w="1142" w:type="pct"/>
            <w:tcBorders>
              <w:bottom w:val="single" w:sz="4" w:space="0" w:color="333333"/>
            </w:tcBorders>
            <w:shd w:val="clear" w:color="auto" w:fill="E6E6E6"/>
            <w:vAlign w:val="bottom"/>
          </w:tcPr>
          <w:p w:rsidR="003D02D7" w:rsidRPr="003D02D7" w:rsidRDefault="003D02D7" w:rsidP="003D02D7">
            <w:pPr>
              <w:spacing w:before="40" w:after="20"/>
              <w:ind w:right="98"/>
              <w:jc w:val="right"/>
              <w:rPr>
                <w:rFonts w:ascii="Arial Narrow" w:hAnsi="Arial Narrow" w:cs="Arial"/>
                <w:sz w:val="18"/>
                <w:szCs w:val="16"/>
              </w:rPr>
            </w:pPr>
            <w:r w:rsidRPr="003D02D7">
              <w:rPr>
                <w:rFonts w:ascii="Arial Narrow" w:hAnsi="Arial Narrow" w:cs="Arial"/>
                <w:sz w:val="18"/>
                <w:szCs w:val="16"/>
              </w:rPr>
              <w:t>-0,0174</w:t>
            </w:r>
          </w:p>
        </w:tc>
      </w:tr>
      <w:tr w:rsidR="00604101" w:rsidRPr="00D62247" w:rsidTr="00681F86">
        <w:tc>
          <w:tcPr>
            <w:tcW w:w="1259" w:type="pct"/>
            <w:shd w:val="clear" w:color="auto" w:fill="99CC00"/>
            <w:vAlign w:val="center"/>
          </w:tcPr>
          <w:p w:rsidR="00604101" w:rsidRPr="00D62247" w:rsidRDefault="00604101" w:rsidP="00737A56">
            <w:pPr>
              <w:spacing w:before="40" w:after="20"/>
              <w:ind w:left="-57"/>
              <w:rPr>
                <w:rFonts w:ascii="Arial Narrow" w:hAnsi="Arial Narrow" w:cs="Arial"/>
                <w:b/>
                <w:color w:val="FFFFFF"/>
                <w:sz w:val="18"/>
                <w:szCs w:val="16"/>
              </w:rPr>
            </w:pPr>
            <w:r w:rsidRPr="00D62247">
              <w:rPr>
                <w:rFonts w:ascii="Arial Narrow" w:hAnsi="Arial Narrow" w:cs="Arial"/>
                <w:b/>
                <w:color w:val="FFFFFF"/>
                <w:sz w:val="18"/>
                <w:szCs w:val="16"/>
              </w:rPr>
              <w:t>Totale</w:t>
            </w:r>
          </w:p>
        </w:tc>
        <w:tc>
          <w:tcPr>
            <w:tcW w:w="1394" w:type="pct"/>
            <w:shd w:val="clear" w:color="auto" w:fill="99CC00"/>
            <w:vAlign w:val="center"/>
          </w:tcPr>
          <w:p w:rsidR="00604101" w:rsidRPr="00BC54E2" w:rsidRDefault="00604101" w:rsidP="00FB2278">
            <w:pPr>
              <w:spacing w:before="40" w:after="20"/>
              <w:ind w:right="98"/>
              <w:jc w:val="right"/>
              <w:rPr>
                <w:rFonts w:ascii="Arial Narrow" w:hAnsi="Arial Narrow" w:cs="Arial"/>
                <w:b/>
                <w:color w:val="FFFFFF"/>
                <w:sz w:val="18"/>
                <w:szCs w:val="16"/>
              </w:rPr>
            </w:pPr>
            <w:r w:rsidRPr="00BC54E2">
              <w:rPr>
                <w:rFonts w:ascii="Arial Narrow" w:hAnsi="Arial Narrow" w:cs="Arial"/>
                <w:b/>
                <w:color w:val="FFFFFF"/>
                <w:sz w:val="18"/>
                <w:szCs w:val="16"/>
              </w:rPr>
              <w:t>100,0000</w:t>
            </w:r>
          </w:p>
        </w:tc>
        <w:tc>
          <w:tcPr>
            <w:tcW w:w="1205" w:type="pct"/>
            <w:shd w:val="clear" w:color="auto" w:fill="99CC00"/>
            <w:vAlign w:val="center"/>
          </w:tcPr>
          <w:p w:rsidR="00604101" w:rsidRPr="00BC54E2" w:rsidRDefault="00604101" w:rsidP="00FB2278">
            <w:pPr>
              <w:spacing w:before="40" w:after="20"/>
              <w:ind w:right="98"/>
              <w:jc w:val="right"/>
              <w:rPr>
                <w:rFonts w:ascii="Arial Narrow" w:hAnsi="Arial Narrow" w:cs="Arial"/>
                <w:b/>
                <w:color w:val="FFFFFF"/>
                <w:sz w:val="18"/>
                <w:szCs w:val="16"/>
              </w:rPr>
            </w:pPr>
            <w:r w:rsidRPr="00BC54E2">
              <w:rPr>
                <w:rFonts w:ascii="Arial Narrow" w:hAnsi="Arial Narrow" w:cs="Arial"/>
                <w:b/>
                <w:color w:val="FFFFFF"/>
                <w:sz w:val="18"/>
                <w:szCs w:val="16"/>
              </w:rPr>
              <w:t>100,0000</w:t>
            </w:r>
          </w:p>
        </w:tc>
        <w:tc>
          <w:tcPr>
            <w:tcW w:w="1142" w:type="pct"/>
            <w:shd w:val="clear" w:color="auto" w:fill="99CC00"/>
            <w:vAlign w:val="center"/>
          </w:tcPr>
          <w:p w:rsidR="00604101" w:rsidRPr="00FB2278" w:rsidRDefault="00604101" w:rsidP="00FB2278">
            <w:pPr>
              <w:spacing w:before="40" w:after="20"/>
              <w:ind w:right="98"/>
              <w:jc w:val="right"/>
              <w:rPr>
                <w:rFonts w:ascii="Arial Narrow" w:hAnsi="Arial Narrow" w:cs="Arial"/>
                <w:b/>
                <w:sz w:val="18"/>
                <w:szCs w:val="16"/>
              </w:rPr>
            </w:pPr>
          </w:p>
        </w:tc>
      </w:tr>
    </w:tbl>
    <w:p w:rsidR="00604101" w:rsidRPr="00D62247" w:rsidRDefault="00604101" w:rsidP="00604101">
      <w:pPr>
        <w:spacing w:after="120"/>
        <w:ind w:left="1814"/>
        <w:jc w:val="both"/>
        <w:rPr>
          <w:rFonts w:ascii="Arial" w:hAnsi="Arial" w:cs="Arial"/>
          <w:noProof/>
          <w:sz w:val="20"/>
          <w:szCs w:val="20"/>
        </w:rPr>
      </w:pPr>
    </w:p>
    <w:p w:rsidR="00192B0D" w:rsidRDefault="00604101" w:rsidP="007D5D22">
      <w:pPr>
        <w:spacing w:after="120"/>
        <w:ind w:left="1814"/>
        <w:jc w:val="both"/>
        <w:rPr>
          <w:rFonts w:ascii="Arial" w:hAnsi="Arial" w:cs="Arial"/>
          <w:sz w:val="20"/>
          <w:szCs w:val="20"/>
        </w:rPr>
      </w:pPr>
      <w:r w:rsidRPr="004B1723">
        <w:rPr>
          <w:rFonts w:ascii="Arial" w:hAnsi="Arial" w:cs="Arial"/>
          <w:sz w:val="20"/>
          <w:szCs w:val="20"/>
        </w:rPr>
        <w:t>Per il mercato estero (Prospetto 8) cresce il peso dei Beni strumentali (circa +0,</w:t>
      </w:r>
      <w:r w:rsidR="00703911">
        <w:rPr>
          <w:rFonts w:ascii="Arial" w:hAnsi="Arial" w:cs="Arial"/>
          <w:sz w:val="20"/>
          <w:szCs w:val="20"/>
        </w:rPr>
        <w:t>8</w:t>
      </w:r>
      <w:r w:rsidRPr="004B1723">
        <w:rPr>
          <w:rFonts w:ascii="Arial" w:hAnsi="Arial" w:cs="Arial"/>
          <w:sz w:val="20"/>
          <w:szCs w:val="20"/>
        </w:rPr>
        <w:t xml:space="preserve"> punti percentuali), con un aumento di circa 0,</w:t>
      </w:r>
      <w:r w:rsidR="00703911">
        <w:rPr>
          <w:rFonts w:ascii="Arial" w:hAnsi="Arial" w:cs="Arial"/>
          <w:sz w:val="20"/>
          <w:szCs w:val="20"/>
        </w:rPr>
        <w:t>9</w:t>
      </w:r>
      <w:r w:rsidRPr="004B1723">
        <w:rPr>
          <w:rFonts w:ascii="Arial" w:hAnsi="Arial" w:cs="Arial"/>
          <w:sz w:val="20"/>
          <w:szCs w:val="20"/>
        </w:rPr>
        <w:t xml:space="preserve"> punti nell’area non euro e di circa 0,</w:t>
      </w:r>
      <w:r w:rsidR="00703911">
        <w:rPr>
          <w:rFonts w:ascii="Arial" w:hAnsi="Arial" w:cs="Arial"/>
          <w:sz w:val="20"/>
          <w:szCs w:val="20"/>
        </w:rPr>
        <w:t>3</w:t>
      </w:r>
      <w:r w:rsidRPr="004B1723">
        <w:rPr>
          <w:rFonts w:ascii="Arial" w:hAnsi="Arial" w:cs="Arial"/>
          <w:sz w:val="20"/>
          <w:szCs w:val="20"/>
        </w:rPr>
        <w:t xml:space="preserve"> punti nell’area euro. </w:t>
      </w:r>
      <w:r w:rsidRPr="00995D9F">
        <w:rPr>
          <w:rFonts w:ascii="Arial" w:hAnsi="Arial" w:cs="Arial"/>
          <w:sz w:val="20"/>
          <w:szCs w:val="20"/>
        </w:rPr>
        <w:t>Il peso dell’Energia</w:t>
      </w:r>
      <w:r w:rsidRPr="00995D9F">
        <w:rPr>
          <w:rFonts w:ascii="Arial" w:hAnsi="Arial" w:cs="Arial"/>
          <w:sz w:val="20"/>
          <w:szCs w:val="20"/>
          <w:vertAlign w:val="superscript"/>
        </w:rPr>
        <w:footnoteReference w:id="8"/>
      </w:r>
      <w:r w:rsidRPr="00995D9F">
        <w:rPr>
          <w:rFonts w:ascii="Arial" w:hAnsi="Arial" w:cs="Arial"/>
          <w:sz w:val="20"/>
          <w:szCs w:val="20"/>
        </w:rPr>
        <w:t xml:space="preserve"> scende di circa 0,</w:t>
      </w:r>
      <w:r w:rsidR="00703911">
        <w:rPr>
          <w:rFonts w:ascii="Arial" w:hAnsi="Arial" w:cs="Arial"/>
          <w:sz w:val="20"/>
          <w:szCs w:val="20"/>
        </w:rPr>
        <w:t>7</w:t>
      </w:r>
      <w:r w:rsidRPr="00995D9F">
        <w:rPr>
          <w:rFonts w:ascii="Arial" w:hAnsi="Arial" w:cs="Arial"/>
          <w:sz w:val="20"/>
          <w:szCs w:val="20"/>
        </w:rPr>
        <w:t xml:space="preserve"> punti percentuali, con una diminuzione di circa 0,9 punti nell’area euro e di circa 0,</w:t>
      </w:r>
      <w:r w:rsidR="00703911">
        <w:rPr>
          <w:rFonts w:ascii="Arial" w:hAnsi="Arial" w:cs="Arial"/>
          <w:sz w:val="20"/>
          <w:szCs w:val="20"/>
        </w:rPr>
        <w:t>6</w:t>
      </w:r>
      <w:r w:rsidRPr="00995D9F">
        <w:rPr>
          <w:rFonts w:ascii="Arial" w:hAnsi="Arial" w:cs="Arial"/>
          <w:sz w:val="20"/>
          <w:szCs w:val="20"/>
        </w:rPr>
        <w:t xml:space="preserve"> nell’area non euro. </w:t>
      </w:r>
      <w:r w:rsidR="00703911">
        <w:rPr>
          <w:rFonts w:ascii="Arial" w:hAnsi="Arial" w:cs="Arial"/>
          <w:sz w:val="20"/>
          <w:szCs w:val="20"/>
        </w:rPr>
        <w:t xml:space="preserve">Invariata </w:t>
      </w:r>
      <w:r w:rsidR="002223D4">
        <w:rPr>
          <w:rFonts w:ascii="Arial" w:hAnsi="Arial" w:cs="Arial"/>
          <w:sz w:val="20"/>
          <w:szCs w:val="20"/>
        </w:rPr>
        <w:t xml:space="preserve">complessivamente </w:t>
      </w:r>
      <w:r w:rsidR="00703911">
        <w:rPr>
          <w:rFonts w:ascii="Arial" w:hAnsi="Arial" w:cs="Arial"/>
          <w:sz w:val="20"/>
          <w:szCs w:val="20"/>
        </w:rPr>
        <w:t xml:space="preserve">l’incidenza </w:t>
      </w:r>
      <w:r w:rsidR="002223D4">
        <w:rPr>
          <w:rFonts w:ascii="Arial" w:hAnsi="Arial" w:cs="Arial"/>
          <w:sz w:val="20"/>
          <w:szCs w:val="20"/>
        </w:rPr>
        <w:t xml:space="preserve">sia </w:t>
      </w:r>
      <w:r w:rsidR="00703911">
        <w:rPr>
          <w:rFonts w:ascii="Arial" w:hAnsi="Arial" w:cs="Arial"/>
          <w:sz w:val="20"/>
          <w:szCs w:val="20"/>
        </w:rPr>
        <w:t>dei Beni intermedi</w:t>
      </w:r>
      <w:r w:rsidR="002223D4">
        <w:rPr>
          <w:rFonts w:ascii="Arial" w:hAnsi="Arial" w:cs="Arial"/>
          <w:sz w:val="20"/>
          <w:szCs w:val="20"/>
        </w:rPr>
        <w:t xml:space="preserve"> (</w:t>
      </w:r>
      <w:r w:rsidR="00703911">
        <w:rPr>
          <w:rFonts w:ascii="Arial" w:hAnsi="Arial" w:cs="Arial"/>
          <w:sz w:val="20"/>
          <w:szCs w:val="20"/>
        </w:rPr>
        <w:t xml:space="preserve">con un </w:t>
      </w:r>
      <w:r w:rsidR="00703911" w:rsidRPr="004B1723">
        <w:rPr>
          <w:rFonts w:ascii="Arial" w:hAnsi="Arial" w:cs="Arial"/>
          <w:sz w:val="20"/>
          <w:szCs w:val="20"/>
        </w:rPr>
        <w:t xml:space="preserve">aumento di circa </w:t>
      </w:r>
      <w:r w:rsidR="00703911">
        <w:rPr>
          <w:rFonts w:ascii="Arial" w:hAnsi="Arial" w:cs="Arial"/>
          <w:sz w:val="20"/>
          <w:szCs w:val="20"/>
        </w:rPr>
        <w:t>0,9</w:t>
      </w:r>
      <w:r w:rsidR="00703911" w:rsidRPr="004B1723">
        <w:rPr>
          <w:rFonts w:ascii="Arial" w:hAnsi="Arial" w:cs="Arial"/>
          <w:sz w:val="20"/>
          <w:szCs w:val="20"/>
        </w:rPr>
        <w:t xml:space="preserve"> punti nell’area euro</w:t>
      </w:r>
      <w:r w:rsidR="00703911">
        <w:rPr>
          <w:rFonts w:ascii="Arial" w:hAnsi="Arial" w:cs="Arial"/>
          <w:sz w:val="20"/>
          <w:szCs w:val="20"/>
        </w:rPr>
        <w:t xml:space="preserve"> </w:t>
      </w:r>
      <w:r w:rsidR="002223D4">
        <w:rPr>
          <w:rFonts w:ascii="Arial" w:hAnsi="Arial" w:cs="Arial"/>
          <w:sz w:val="20"/>
          <w:szCs w:val="20"/>
        </w:rPr>
        <w:t xml:space="preserve">ed una diminuzione </w:t>
      </w:r>
      <w:r w:rsidR="002223D4" w:rsidRPr="004B1723">
        <w:rPr>
          <w:rFonts w:ascii="Arial" w:hAnsi="Arial" w:cs="Arial"/>
          <w:sz w:val="20"/>
          <w:szCs w:val="20"/>
        </w:rPr>
        <w:t xml:space="preserve">di </w:t>
      </w:r>
      <w:r w:rsidR="008947F5">
        <w:rPr>
          <w:rFonts w:ascii="Arial" w:hAnsi="Arial" w:cs="Arial"/>
          <w:sz w:val="20"/>
          <w:szCs w:val="20"/>
        </w:rPr>
        <w:t xml:space="preserve">circa </w:t>
      </w:r>
      <w:r w:rsidR="002223D4" w:rsidRPr="004B1723">
        <w:rPr>
          <w:rFonts w:ascii="Arial" w:hAnsi="Arial" w:cs="Arial"/>
          <w:sz w:val="20"/>
          <w:szCs w:val="20"/>
        </w:rPr>
        <w:t>0,</w:t>
      </w:r>
      <w:r w:rsidR="002223D4">
        <w:rPr>
          <w:rFonts w:ascii="Arial" w:hAnsi="Arial" w:cs="Arial"/>
          <w:sz w:val="20"/>
          <w:szCs w:val="20"/>
        </w:rPr>
        <w:t>5</w:t>
      </w:r>
      <w:r w:rsidR="002223D4" w:rsidRPr="004B1723">
        <w:rPr>
          <w:rFonts w:ascii="Arial" w:hAnsi="Arial" w:cs="Arial"/>
          <w:sz w:val="20"/>
          <w:szCs w:val="20"/>
        </w:rPr>
        <w:t xml:space="preserve"> punti</w:t>
      </w:r>
      <w:r w:rsidR="002223D4">
        <w:rPr>
          <w:rFonts w:ascii="Arial" w:hAnsi="Arial" w:cs="Arial"/>
          <w:sz w:val="20"/>
          <w:szCs w:val="20"/>
        </w:rPr>
        <w:t xml:space="preserve"> </w:t>
      </w:r>
      <w:r w:rsidR="00703911" w:rsidRPr="004B1723">
        <w:rPr>
          <w:rFonts w:ascii="Arial" w:hAnsi="Arial" w:cs="Arial"/>
          <w:sz w:val="20"/>
          <w:szCs w:val="20"/>
        </w:rPr>
        <w:t>nell’area non euro</w:t>
      </w:r>
      <w:r w:rsidR="002223D4">
        <w:rPr>
          <w:rFonts w:ascii="Arial" w:hAnsi="Arial" w:cs="Arial"/>
          <w:sz w:val="20"/>
          <w:szCs w:val="20"/>
        </w:rPr>
        <w:t xml:space="preserve">), sia </w:t>
      </w:r>
      <w:r w:rsidRPr="00995D9F">
        <w:rPr>
          <w:rFonts w:ascii="Arial" w:hAnsi="Arial" w:cs="Arial"/>
          <w:sz w:val="20"/>
          <w:szCs w:val="20"/>
        </w:rPr>
        <w:t>dei Beni di consumo</w:t>
      </w:r>
      <w:r w:rsidR="00703911">
        <w:rPr>
          <w:rFonts w:ascii="Arial" w:hAnsi="Arial" w:cs="Arial"/>
          <w:sz w:val="20"/>
          <w:szCs w:val="20"/>
        </w:rPr>
        <w:t xml:space="preserve"> </w:t>
      </w:r>
      <w:r w:rsidRPr="00995D9F">
        <w:rPr>
          <w:rFonts w:ascii="Arial" w:hAnsi="Arial" w:cs="Arial"/>
          <w:sz w:val="20"/>
          <w:szCs w:val="20"/>
        </w:rPr>
        <w:t>(</w:t>
      </w:r>
      <w:r w:rsidR="00703911">
        <w:rPr>
          <w:rFonts w:ascii="Arial" w:hAnsi="Arial" w:cs="Arial"/>
          <w:sz w:val="20"/>
          <w:szCs w:val="20"/>
        </w:rPr>
        <w:t>area euro</w:t>
      </w:r>
      <w:r w:rsidR="002223D4">
        <w:rPr>
          <w:rFonts w:ascii="Arial" w:hAnsi="Arial" w:cs="Arial"/>
          <w:sz w:val="20"/>
          <w:szCs w:val="20"/>
        </w:rPr>
        <w:t>, circa -</w:t>
      </w:r>
      <w:r w:rsidR="00703911">
        <w:rPr>
          <w:rFonts w:ascii="Arial" w:hAnsi="Arial" w:cs="Arial"/>
          <w:sz w:val="20"/>
          <w:szCs w:val="20"/>
        </w:rPr>
        <w:t>0,3 punti</w:t>
      </w:r>
      <w:r w:rsidR="002223D4">
        <w:rPr>
          <w:rFonts w:ascii="Arial" w:hAnsi="Arial" w:cs="Arial"/>
          <w:sz w:val="20"/>
          <w:szCs w:val="20"/>
        </w:rPr>
        <w:t xml:space="preserve">; </w:t>
      </w:r>
      <w:r w:rsidR="00703911">
        <w:rPr>
          <w:rFonts w:ascii="Arial" w:hAnsi="Arial" w:cs="Arial"/>
          <w:sz w:val="20"/>
          <w:szCs w:val="20"/>
        </w:rPr>
        <w:t>area non euro</w:t>
      </w:r>
      <w:r w:rsidR="002223D4">
        <w:rPr>
          <w:rFonts w:ascii="Arial" w:hAnsi="Arial" w:cs="Arial"/>
          <w:sz w:val="20"/>
          <w:szCs w:val="20"/>
        </w:rPr>
        <w:t xml:space="preserve">, </w:t>
      </w:r>
      <w:r w:rsidR="00703911">
        <w:rPr>
          <w:rFonts w:ascii="Arial" w:hAnsi="Arial" w:cs="Arial"/>
          <w:sz w:val="20"/>
          <w:szCs w:val="20"/>
        </w:rPr>
        <w:t xml:space="preserve">circa </w:t>
      </w:r>
      <w:r w:rsidR="002223D4">
        <w:rPr>
          <w:rFonts w:ascii="Arial" w:hAnsi="Arial" w:cs="Arial"/>
          <w:sz w:val="20"/>
          <w:szCs w:val="20"/>
        </w:rPr>
        <w:t>+</w:t>
      </w:r>
      <w:r w:rsidR="00703911">
        <w:rPr>
          <w:rFonts w:ascii="Arial" w:hAnsi="Arial" w:cs="Arial"/>
          <w:sz w:val="20"/>
          <w:szCs w:val="20"/>
        </w:rPr>
        <w:t>0,2 punti percentuali</w:t>
      </w:r>
      <w:r w:rsidRPr="00995D9F">
        <w:rPr>
          <w:rFonts w:ascii="Arial" w:hAnsi="Arial" w:cs="Arial"/>
          <w:sz w:val="20"/>
          <w:szCs w:val="20"/>
        </w:rPr>
        <w:t>)</w:t>
      </w:r>
      <w:r w:rsidR="002223D4">
        <w:rPr>
          <w:rFonts w:ascii="Arial" w:hAnsi="Arial" w:cs="Arial"/>
          <w:sz w:val="20"/>
          <w:szCs w:val="20"/>
        </w:rPr>
        <w:t xml:space="preserve">. In quest’ultimo comparto, si evidenzia </w:t>
      </w:r>
      <w:r w:rsidRPr="00995D9F">
        <w:rPr>
          <w:rFonts w:ascii="Arial" w:hAnsi="Arial" w:cs="Arial"/>
          <w:sz w:val="20"/>
          <w:szCs w:val="20"/>
        </w:rPr>
        <w:t>un aumento di circa 0,</w:t>
      </w:r>
      <w:r w:rsidR="00703911">
        <w:rPr>
          <w:rFonts w:ascii="Arial" w:hAnsi="Arial" w:cs="Arial"/>
          <w:sz w:val="20"/>
          <w:szCs w:val="20"/>
        </w:rPr>
        <w:t>6</w:t>
      </w:r>
      <w:r w:rsidRPr="00995D9F">
        <w:rPr>
          <w:rFonts w:ascii="Arial" w:hAnsi="Arial" w:cs="Arial"/>
          <w:sz w:val="20"/>
          <w:szCs w:val="20"/>
        </w:rPr>
        <w:t xml:space="preserve"> punti </w:t>
      </w:r>
      <w:r w:rsidRPr="00995D9F">
        <w:rPr>
          <w:rFonts w:ascii="Arial" w:hAnsi="Arial" w:cs="Arial"/>
          <w:sz w:val="20"/>
          <w:szCs w:val="20"/>
        </w:rPr>
        <w:lastRenderedPageBreak/>
        <w:t>dei Beni di consumo non durevoli (area non euro</w:t>
      </w:r>
      <w:r w:rsidR="002223D4">
        <w:rPr>
          <w:rFonts w:ascii="Arial" w:hAnsi="Arial" w:cs="Arial"/>
          <w:sz w:val="20"/>
          <w:szCs w:val="20"/>
        </w:rPr>
        <w:t>,</w:t>
      </w:r>
      <w:r w:rsidRPr="00995D9F">
        <w:rPr>
          <w:rFonts w:ascii="Arial" w:hAnsi="Arial" w:cs="Arial"/>
          <w:sz w:val="20"/>
          <w:szCs w:val="20"/>
        </w:rPr>
        <w:t xml:space="preserve"> circa +0,</w:t>
      </w:r>
      <w:r w:rsidR="00703911">
        <w:rPr>
          <w:rFonts w:ascii="Arial" w:hAnsi="Arial" w:cs="Arial"/>
          <w:sz w:val="20"/>
          <w:szCs w:val="20"/>
        </w:rPr>
        <w:t>8</w:t>
      </w:r>
      <w:r w:rsidRPr="00995D9F">
        <w:rPr>
          <w:rFonts w:ascii="Arial" w:hAnsi="Arial" w:cs="Arial"/>
          <w:sz w:val="20"/>
          <w:szCs w:val="20"/>
        </w:rPr>
        <w:t xml:space="preserve"> punti</w:t>
      </w:r>
      <w:r w:rsidR="002223D4">
        <w:rPr>
          <w:rFonts w:ascii="Arial" w:hAnsi="Arial" w:cs="Arial"/>
          <w:sz w:val="20"/>
          <w:szCs w:val="20"/>
        </w:rPr>
        <w:t xml:space="preserve">; </w:t>
      </w:r>
      <w:r w:rsidRPr="00995D9F">
        <w:rPr>
          <w:rFonts w:ascii="Arial" w:hAnsi="Arial" w:cs="Arial"/>
          <w:sz w:val="20"/>
          <w:szCs w:val="20"/>
        </w:rPr>
        <w:t>area euro</w:t>
      </w:r>
      <w:r w:rsidR="002223D4">
        <w:rPr>
          <w:rFonts w:ascii="Arial" w:hAnsi="Arial" w:cs="Arial"/>
          <w:sz w:val="20"/>
          <w:szCs w:val="20"/>
        </w:rPr>
        <w:t>,</w:t>
      </w:r>
      <w:r w:rsidRPr="00995D9F">
        <w:rPr>
          <w:rFonts w:ascii="Arial" w:hAnsi="Arial" w:cs="Arial"/>
          <w:sz w:val="20"/>
          <w:szCs w:val="20"/>
        </w:rPr>
        <w:t xml:space="preserve"> circa +0,</w:t>
      </w:r>
      <w:r w:rsidR="00703911">
        <w:rPr>
          <w:rFonts w:ascii="Arial" w:hAnsi="Arial" w:cs="Arial"/>
          <w:sz w:val="20"/>
          <w:szCs w:val="20"/>
        </w:rPr>
        <w:t>4</w:t>
      </w:r>
      <w:r w:rsidRPr="00995D9F">
        <w:rPr>
          <w:rFonts w:ascii="Arial" w:hAnsi="Arial" w:cs="Arial"/>
          <w:sz w:val="20"/>
          <w:szCs w:val="20"/>
        </w:rPr>
        <w:t xml:space="preserve"> punti percentuali)</w:t>
      </w:r>
      <w:r w:rsidR="00703911">
        <w:rPr>
          <w:rFonts w:ascii="Arial" w:hAnsi="Arial" w:cs="Arial"/>
          <w:sz w:val="20"/>
          <w:szCs w:val="20"/>
        </w:rPr>
        <w:t xml:space="preserve"> ed una diminuzione di 0,7 punti dei Beni di consumo durevoli su tutti e tre i mercati</w:t>
      </w:r>
      <w:r w:rsidRPr="00995D9F">
        <w:rPr>
          <w:rFonts w:ascii="Arial" w:hAnsi="Arial" w:cs="Arial"/>
          <w:sz w:val="20"/>
          <w:szCs w:val="20"/>
        </w:rPr>
        <w:t>.</w:t>
      </w:r>
    </w:p>
    <w:p w:rsidR="00066759" w:rsidRPr="00D62247" w:rsidRDefault="00066759" w:rsidP="007D5D22">
      <w:pPr>
        <w:spacing w:after="120"/>
        <w:ind w:left="1814"/>
        <w:jc w:val="both"/>
        <w:rPr>
          <w:rFonts w:ascii="Arial" w:hAnsi="Arial" w:cs="Arial"/>
          <w:sz w:val="20"/>
          <w:szCs w:val="20"/>
        </w:rPr>
      </w:pPr>
    </w:p>
    <w:p w:rsidR="00604101" w:rsidRPr="00D62247" w:rsidRDefault="00604101" w:rsidP="00604101">
      <w:pPr>
        <w:spacing w:after="120"/>
        <w:jc w:val="both"/>
        <w:rPr>
          <w:rFonts w:ascii="Arial Narrow" w:hAnsi="Arial Narrow" w:cs="Arial"/>
          <w:color w:val="333333"/>
          <w:sz w:val="19"/>
          <w:szCs w:val="16"/>
        </w:rPr>
      </w:pPr>
      <w:r w:rsidRPr="00D62247">
        <w:rPr>
          <w:rFonts w:ascii="Arial Narrow" w:hAnsi="Arial Narrow" w:cs="Arial"/>
          <w:b/>
          <w:caps/>
          <w:color w:val="777777"/>
          <w:sz w:val="20"/>
          <w:szCs w:val="16"/>
        </w:rPr>
        <w:t>Prospetto 8. Prezzi alla produzione dei prodotti industriali, Mercato estero totale, area euro e area non euro.</w:t>
      </w:r>
      <w:r w:rsidRPr="00D62247">
        <w:rPr>
          <w:rFonts w:ascii="Arial" w:hAnsi="Arial" w:cs="Arial"/>
          <w:b/>
          <w:sz w:val="20"/>
          <w:szCs w:val="16"/>
        </w:rPr>
        <w:t xml:space="preserve"> </w:t>
      </w:r>
      <w:r w:rsidRPr="00D62247">
        <w:rPr>
          <w:rFonts w:ascii="Arial Narrow" w:hAnsi="Arial Narrow" w:cs="Arial"/>
          <w:color w:val="333333"/>
          <w:sz w:val="19"/>
          <w:szCs w:val="16"/>
        </w:rPr>
        <w:t>Confronto tra le strutture di ponderazione delle basi di calcolo Dicembre 201</w:t>
      </w:r>
      <w:r>
        <w:rPr>
          <w:rFonts w:ascii="Arial Narrow" w:hAnsi="Arial Narrow" w:cs="Arial"/>
          <w:color w:val="333333"/>
          <w:sz w:val="19"/>
          <w:szCs w:val="16"/>
        </w:rPr>
        <w:t>2</w:t>
      </w:r>
      <w:r w:rsidRPr="00D62247">
        <w:rPr>
          <w:rFonts w:ascii="Arial Narrow" w:hAnsi="Arial Narrow" w:cs="Arial"/>
          <w:color w:val="333333"/>
          <w:sz w:val="19"/>
          <w:szCs w:val="16"/>
        </w:rPr>
        <w:t xml:space="preserve"> e Dicembre 201</w:t>
      </w:r>
      <w:r>
        <w:rPr>
          <w:rFonts w:ascii="Arial Narrow" w:hAnsi="Arial Narrow" w:cs="Arial"/>
          <w:color w:val="333333"/>
          <w:sz w:val="19"/>
          <w:szCs w:val="16"/>
        </w:rPr>
        <w:t>3</w:t>
      </w:r>
      <w:r w:rsidR="00E77D7E">
        <w:rPr>
          <w:rFonts w:ascii="Arial Narrow" w:hAnsi="Arial Narrow" w:cs="Arial"/>
          <w:color w:val="333333"/>
          <w:sz w:val="19"/>
          <w:szCs w:val="16"/>
        </w:rPr>
        <w:t>.</w:t>
      </w:r>
    </w:p>
    <w:tbl>
      <w:tblPr>
        <w:tblW w:w="5000" w:type="pct"/>
        <w:jc w:val="center"/>
        <w:tblBorders>
          <w:top w:val="single" w:sz="4" w:space="0" w:color="333333"/>
          <w:bottom w:val="single" w:sz="4" w:space="0" w:color="333333"/>
          <w:insideH w:val="single" w:sz="4" w:space="0" w:color="333333"/>
        </w:tblBorders>
        <w:tblLook w:val="01E0" w:firstRow="1" w:lastRow="1" w:firstColumn="1" w:lastColumn="1" w:noHBand="0" w:noVBand="0"/>
      </w:tblPr>
      <w:tblGrid>
        <w:gridCol w:w="2078"/>
        <w:gridCol w:w="950"/>
        <w:gridCol w:w="938"/>
        <w:gridCol w:w="1016"/>
        <w:gridCol w:w="938"/>
        <w:gridCol w:w="938"/>
        <w:gridCol w:w="1016"/>
        <w:gridCol w:w="938"/>
        <w:gridCol w:w="938"/>
        <w:gridCol w:w="1012"/>
      </w:tblGrid>
      <w:tr w:rsidR="00604101" w:rsidRPr="00D62247" w:rsidTr="001061B7">
        <w:trPr>
          <w:cantSplit/>
          <w:jc w:val="center"/>
        </w:trPr>
        <w:tc>
          <w:tcPr>
            <w:tcW w:w="965" w:type="pct"/>
            <w:vMerge w:val="restart"/>
            <w:vAlign w:val="center"/>
          </w:tcPr>
          <w:p w:rsidR="00604101" w:rsidRPr="00D62247" w:rsidRDefault="00604101" w:rsidP="00737A56">
            <w:pPr>
              <w:spacing w:before="40" w:after="20"/>
              <w:ind w:left="-57"/>
              <w:rPr>
                <w:rFonts w:ascii="Arial Narrow" w:hAnsi="Arial Narrow" w:cs="Arial"/>
                <w:b/>
                <w:sz w:val="18"/>
                <w:szCs w:val="16"/>
              </w:rPr>
            </w:pPr>
            <w:r w:rsidRPr="00D62247">
              <w:rPr>
                <w:rFonts w:ascii="Arial Narrow" w:hAnsi="Arial Narrow" w:cs="Arial"/>
                <w:b/>
                <w:sz w:val="18"/>
                <w:szCs w:val="16"/>
              </w:rPr>
              <w:t>Raggruppamenti principali di industrie</w:t>
            </w:r>
          </w:p>
        </w:tc>
        <w:tc>
          <w:tcPr>
            <w:tcW w:w="1349" w:type="pct"/>
            <w:gridSpan w:val="3"/>
            <w:shd w:val="clear" w:color="auto" w:fill="E6E6E6"/>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Estero</w:t>
            </w:r>
          </w:p>
        </w:tc>
        <w:tc>
          <w:tcPr>
            <w:tcW w:w="1344" w:type="pct"/>
            <w:gridSpan w:val="3"/>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Estero area euro</w:t>
            </w:r>
          </w:p>
        </w:tc>
        <w:tc>
          <w:tcPr>
            <w:tcW w:w="1342" w:type="pct"/>
            <w:gridSpan w:val="3"/>
            <w:shd w:val="clear" w:color="auto" w:fill="E6E6E6"/>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Estero area non euro</w:t>
            </w:r>
          </w:p>
        </w:tc>
      </w:tr>
      <w:tr w:rsidR="00FB2278" w:rsidRPr="00D62247" w:rsidTr="001061B7">
        <w:trPr>
          <w:cantSplit/>
          <w:trHeight w:val="522"/>
          <w:jc w:val="center"/>
        </w:trPr>
        <w:tc>
          <w:tcPr>
            <w:tcW w:w="965" w:type="pct"/>
            <w:vMerge/>
            <w:vAlign w:val="center"/>
          </w:tcPr>
          <w:p w:rsidR="00FB2278" w:rsidRPr="00D62247" w:rsidRDefault="00FB2278" w:rsidP="00737A56">
            <w:pPr>
              <w:spacing w:before="40" w:after="20"/>
              <w:ind w:left="-57"/>
              <w:rPr>
                <w:rFonts w:ascii="Arial Narrow" w:hAnsi="Arial Narrow" w:cs="Arial"/>
                <w:sz w:val="18"/>
                <w:szCs w:val="16"/>
              </w:rPr>
            </w:pPr>
          </w:p>
        </w:tc>
        <w:tc>
          <w:tcPr>
            <w:tcW w:w="441" w:type="pct"/>
            <w:shd w:val="clear" w:color="auto" w:fill="E6E6E6"/>
            <w:vAlign w:val="center"/>
          </w:tcPr>
          <w:p w:rsidR="00FB2278" w:rsidRDefault="00FB2278" w:rsidP="00BC54E2">
            <w:pPr>
              <w:spacing w:before="40" w:after="20"/>
              <w:jc w:val="right"/>
              <w:rPr>
                <w:rFonts w:ascii="Arial Narrow" w:hAnsi="Arial Narrow" w:cs="Arial"/>
                <w:b/>
                <w:sz w:val="18"/>
                <w:szCs w:val="16"/>
              </w:rPr>
            </w:pPr>
            <w:r w:rsidRPr="00D62247">
              <w:rPr>
                <w:rFonts w:ascii="Arial Narrow" w:hAnsi="Arial Narrow" w:cs="Arial"/>
                <w:b/>
                <w:sz w:val="18"/>
                <w:szCs w:val="16"/>
              </w:rPr>
              <w:t xml:space="preserve">Base </w:t>
            </w:r>
          </w:p>
          <w:p w:rsidR="00FB2278" w:rsidRPr="00D62247" w:rsidRDefault="00FB2278" w:rsidP="00BC54E2">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2</w:t>
            </w:r>
          </w:p>
        </w:tc>
        <w:tc>
          <w:tcPr>
            <w:tcW w:w="436" w:type="pct"/>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c>
          <w:tcPr>
            <w:tcW w:w="472" w:type="pct"/>
            <w:shd w:val="clear" w:color="auto" w:fill="E6E6E6"/>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Differenza</w:t>
            </w:r>
            <w:r w:rsidRPr="00D62247">
              <w:rPr>
                <w:rFonts w:ascii="Arial Narrow" w:hAnsi="Arial Narrow" w:cs="Arial"/>
                <w:b/>
                <w:sz w:val="18"/>
                <w:szCs w:val="16"/>
              </w:rPr>
              <w:br/>
              <w:t>assoluta</w:t>
            </w:r>
          </w:p>
        </w:tc>
        <w:tc>
          <w:tcPr>
            <w:tcW w:w="436" w:type="pct"/>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2</w:t>
            </w:r>
          </w:p>
        </w:tc>
        <w:tc>
          <w:tcPr>
            <w:tcW w:w="436" w:type="pct"/>
            <w:shd w:val="clear" w:color="auto" w:fill="E6E6E6"/>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c>
          <w:tcPr>
            <w:tcW w:w="472" w:type="pct"/>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Differenza</w:t>
            </w:r>
            <w:r w:rsidRPr="00D62247">
              <w:rPr>
                <w:rFonts w:ascii="Arial Narrow" w:hAnsi="Arial Narrow" w:cs="Arial"/>
                <w:b/>
                <w:sz w:val="18"/>
                <w:szCs w:val="16"/>
              </w:rPr>
              <w:br/>
              <w:t>assoluta</w:t>
            </w:r>
          </w:p>
        </w:tc>
        <w:tc>
          <w:tcPr>
            <w:tcW w:w="436" w:type="pct"/>
            <w:shd w:val="clear" w:color="auto" w:fill="E6E6E6"/>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2</w:t>
            </w:r>
          </w:p>
        </w:tc>
        <w:tc>
          <w:tcPr>
            <w:tcW w:w="436" w:type="pct"/>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c>
          <w:tcPr>
            <w:tcW w:w="470" w:type="pct"/>
            <w:shd w:val="clear" w:color="auto" w:fill="E6E6E6"/>
            <w:vAlign w:val="center"/>
          </w:tcPr>
          <w:p w:rsidR="00FB2278" w:rsidRPr="00D62247" w:rsidRDefault="00FB2278" w:rsidP="00737A56">
            <w:pPr>
              <w:spacing w:before="40" w:after="20"/>
              <w:jc w:val="right"/>
              <w:rPr>
                <w:rFonts w:ascii="Arial Narrow" w:hAnsi="Arial Narrow" w:cs="Arial"/>
                <w:b/>
                <w:sz w:val="18"/>
                <w:szCs w:val="16"/>
              </w:rPr>
            </w:pPr>
            <w:r w:rsidRPr="00D62247">
              <w:rPr>
                <w:rFonts w:ascii="Arial Narrow" w:hAnsi="Arial Narrow" w:cs="Arial"/>
                <w:b/>
                <w:sz w:val="18"/>
                <w:szCs w:val="16"/>
              </w:rPr>
              <w:t>Differenza</w:t>
            </w:r>
            <w:r w:rsidRPr="00D62247">
              <w:rPr>
                <w:rFonts w:ascii="Arial Narrow" w:hAnsi="Arial Narrow" w:cs="Arial"/>
                <w:b/>
                <w:sz w:val="18"/>
                <w:szCs w:val="16"/>
              </w:rPr>
              <w:br/>
              <w:t>assoluta</w:t>
            </w:r>
          </w:p>
        </w:tc>
      </w:tr>
      <w:tr w:rsidR="001061B7" w:rsidRPr="00D62247" w:rsidTr="001061B7">
        <w:trPr>
          <w:jc w:val="center"/>
        </w:trPr>
        <w:tc>
          <w:tcPr>
            <w:tcW w:w="965" w:type="pct"/>
            <w:vAlign w:val="center"/>
          </w:tcPr>
          <w:p w:rsidR="001061B7" w:rsidRPr="00D62247" w:rsidRDefault="001061B7" w:rsidP="00737A56">
            <w:pPr>
              <w:spacing w:before="40" w:after="20"/>
              <w:ind w:left="-57"/>
              <w:rPr>
                <w:rFonts w:ascii="Arial Narrow" w:hAnsi="Arial Narrow" w:cs="Arial"/>
                <w:sz w:val="18"/>
                <w:szCs w:val="16"/>
              </w:rPr>
            </w:pPr>
            <w:r w:rsidRPr="00D62247">
              <w:rPr>
                <w:rFonts w:ascii="Arial Narrow" w:hAnsi="Arial Narrow" w:cs="Arial"/>
                <w:sz w:val="18"/>
                <w:szCs w:val="16"/>
              </w:rPr>
              <w:t>Beni di consumo</w:t>
            </w:r>
          </w:p>
        </w:tc>
        <w:tc>
          <w:tcPr>
            <w:tcW w:w="441" w:type="pct"/>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28,7569</w:t>
            </w:r>
          </w:p>
        </w:tc>
        <w:tc>
          <w:tcPr>
            <w:tcW w:w="436" w:type="pct"/>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28,7154</w:t>
            </w:r>
          </w:p>
        </w:tc>
        <w:tc>
          <w:tcPr>
            <w:tcW w:w="472" w:type="pct"/>
            <w:shd w:val="clear" w:color="auto" w:fill="E6E6E6"/>
            <w:vAlign w:val="bottom"/>
          </w:tcPr>
          <w:p w:rsidR="001061B7" w:rsidRPr="001061B7" w:rsidRDefault="001061B7">
            <w:pPr>
              <w:jc w:val="right"/>
              <w:rPr>
                <w:rFonts w:ascii="Arial Narrow" w:hAnsi="Arial Narrow" w:cs="Arial"/>
                <w:color w:val="000000"/>
                <w:sz w:val="18"/>
                <w:szCs w:val="18"/>
              </w:rPr>
            </w:pPr>
            <w:r w:rsidRPr="001061B7">
              <w:rPr>
                <w:rFonts w:ascii="Arial Narrow" w:hAnsi="Arial Narrow" w:cs="Arial"/>
                <w:color w:val="000000"/>
                <w:sz w:val="18"/>
                <w:szCs w:val="18"/>
              </w:rPr>
              <w:t>-0,0415</w:t>
            </w:r>
          </w:p>
        </w:tc>
        <w:tc>
          <w:tcPr>
            <w:tcW w:w="436" w:type="pct"/>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28,7991</w:t>
            </w:r>
          </w:p>
        </w:tc>
        <w:tc>
          <w:tcPr>
            <w:tcW w:w="436" w:type="pct"/>
            <w:shd w:val="clear" w:color="auto" w:fill="E6E6E6"/>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28,4853</w:t>
            </w:r>
          </w:p>
        </w:tc>
        <w:tc>
          <w:tcPr>
            <w:tcW w:w="472" w:type="pct"/>
            <w:vAlign w:val="bottom"/>
          </w:tcPr>
          <w:p w:rsidR="001061B7" w:rsidRPr="001061B7" w:rsidRDefault="001061B7">
            <w:pPr>
              <w:jc w:val="right"/>
              <w:rPr>
                <w:rFonts w:ascii="Arial Narrow" w:hAnsi="Arial Narrow" w:cs="Arial"/>
                <w:color w:val="000000"/>
                <w:sz w:val="18"/>
                <w:szCs w:val="18"/>
              </w:rPr>
            </w:pPr>
            <w:r w:rsidRPr="001061B7">
              <w:rPr>
                <w:rFonts w:ascii="Arial Narrow" w:hAnsi="Arial Narrow" w:cs="Arial"/>
                <w:color w:val="000000"/>
                <w:sz w:val="18"/>
                <w:szCs w:val="18"/>
              </w:rPr>
              <w:t>-0,3138</w:t>
            </w:r>
          </w:p>
        </w:tc>
        <w:tc>
          <w:tcPr>
            <w:tcW w:w="436" w:type="pct"/>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28,7223</w:t>
            </w:r>
          </w:p>
        </w:tc>
        <w:tc>
          <w:tcPr>
            <w:tcW w:w="436" w:type="pct"/>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28,8951</w:t>
            </w:r>
          </w:p>
        </w:tc>
        <w:tc>
          <w:tcPr>
            <w:tcW w:w="470" w:type="pct"/>
            <w:shd w:val="clear" w:color="auto" w:fill="E6E6E6"/>
            <w:vAlign w:val="bottom"/>
          </w:tcPr>
          <w:p w:rsidR="001061B7" w:rsidRPr="001061B7" w:rsidRDefault="001061B7">
            <w:pPr>
              <w:jc w:val="right"/>
              <w:rPr>
                <w:rFonts w:ascii="Arial Narrow" w:hAnsi="Arial Narrow" w:cs="Arial"/>
                <w:color w:val="000000"/>
                <w:sz w:val="18"/>
                <w:szCs w:val="18"/>
              </w:rPr>
            </w:pPr>
            <w:r>
              <w:rPr>
                <w:rFonts w:ascii="Arial Narrow" w:hAnsi="Arial Narrow" w:cs="Arial"/>
                <w:color w:val="000000"/>
                <w:sz w:val="18"/>
                <w:szCs w:val="18"/>
              </w:rPr>
              <w:t>+</w:t>
            </w:r>
            <w:r w:rsidRPr="001061B7">
              <w:rPr>
                <w:rFonts w:ascii="Arial Narrow" w:hAnsi="Arial Narrow" w:cs="Arial"/>
                <w:color w:val="000000"/>
                <w:sz w:val="18"/>
                <w:szCs w:val="18"/>
              </w:rPr>
              <w:t>0,1728</w:t>
            </w:r>
          </w:p>
        </w:tc>
      </w:tr>
      <w:tr w:rsidR="001061B7" w:rsidRPr="00D62247" w:rsidTr="001061B7">
        <w:trPr>
          <w:jc w:val="center"/>
        </w:trPr>
        <w:tc>
          <w:tcPr>
            <w:tcW w:w="965" w:type="pct"/>
            <w:vAlign w:val="center"/>
          </w:tcPr>
          <w:p w:rsidR="001061B7" w:rsidRPr="00D62247" w:rsidRDefault="001061B7" w:rsidP="00737A56">
            <w:pPr>
              <w:spacing w:before="40" w:after="20"/>
              <w:rPr>
                <w:rFonts w:ascii="Arial Narrow" w:hAnsi="Arial Narrow" w:cs="Arial"/>
                <w:i/>
                <w:sz w:val="18"/>
                <w:szCs w:val="16"/>
              </w:rPr>
            </w:pPr>
            <w:r w:rsidRPr="00D62247">
              <w:rPr>
                <w:rFonts w:ascii="Arial Narrow" w:hAnsi="Arial Narrow" w:cs="Arial"/>
                <w:i/>
                <w:sz w:val="18"/>
                <w:szCs w:val="16"/>
              </w:rPr>
              <w:t xml:space="preserve">  </w:t>
            </w:r>
            <w:r w:rsidR="00066759" w:rsidRPr="00D62247">
              <w:rPr>
                <w:rFonts w:ascii="Arial Narrow" w:hAnsi="Arial Narrow" w:cs="Arial"/>
                <w:i/>
                <w:sz w:val="18"/>
                <w:szCs w:val="16"/>
              </w:rPr>
              <w:t>D</w:t>
            </w:r>
            <w:r w:rsidRPr="00D62247">
              <w:rPr>
                <w:rFonts w:ascii="Arial Narrow" w:hAnsi="Arial Narrow" w:cs="Arial"/>
                <w:i/>
                <w:sz w:val="18"/>
                <w:szCs w:val="16"/>
              </w:rPr>
              <w:t>urevoli</w:t>
            </w:r>
          </w:p>
        </w:tc>
        <w:tc>
          <w:tcPr>
            <w:tcW w:w="441" w:type="pct"/>
            <w:shd w:val="clear" w:color="auto" w:fill="E6E6E6"/>
            <w:vAlign w:val="bottom"/>
          </w:tcPr>
          <w:p w:rsidR="001061B7" w:rsidRPr="001061B7" w:rsidRDefault="001061B7" w:rsidP="00737A56">
            <w:pPr>
              <w:jc w:val="right"/>
              <w:rPr>
                <w:rFonts w:ascii="Arial Narrow" w:hAnsi="Arial Narrow" w:cs="Arial"/>
                <w:i/>
                <w:iCs/>
                <w:color w:val="000000"/>
                <w:sz w:val="18"/>
                <w:szCs w:val="18"/>
              </w:rPr>
            </w:pPr>
            <w:r w:rsidRPr="001061B7">
              <w:rPr>
                <w:rFonts w:ascii="Arial Narrow" w:hAnsi="Arial Narrow" w:cs="Arial"/>
                <w:i/>
                <w:iCs/>
                <w:color w:val="000000"/>
                <w:sz w:val="18"/>
                <w:szCs w:val="18"/>
              </w:rPr>
              <w:t>7,2869</w:t>
            </w:r>
          </w:p>
        </w:tc>
        <w:tc>
          <w:tcPr>
            <w:tcW w:w="436" w:type="pct"/>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6,6057</w:t>
            </w:r>
          </w:p>
        </w:tc>
        <w:tc>
          <w:tcPr>
            <w:tcW w:w="472" w:type="pct"/>
            <w:shd w:val="clear" w:color="auto" w:fill="E6E6E6"/>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-0,6812</w:t>
            </w:r>
          </w:p>
        </w:tc>
        <w:tc>
          <w:tcPr>
            <w:tcW w:w="436" w:type="pct"/>
            <w:vAlign w:val="bottom"/>
          </w:tcPr>
          <w:p w:rsidR="001061B7" w:rsidRPr="001061B7" w:rsidRDefault="001061B7" w:rsidP="00737A56">
            <w:pPr>
              <w:jc w:val="right"/>
              <w:rPr>
                <w:rFonts w:ascii="Arial Narrow" w:hAnsi="Arial Narrow" w:cs="Arial"/>
                <w:i/>
                <w:color w:val="000000"/>
                <w:sz w:val="18"/>
                <w:szCs w:val="18"/>
              </w:rPr>
            </w:pPr>
            <w:r w:rsidRPr="001061B7">
              <w:rPr>
                <w:rFonts w:ascii="Arial Narrow" w:hAnsi="Arial Narrow" w:cs="Arial"/>
                <w:i/>
                <w:color w:val="000000"/>
                <w:sz w:val="18"/>
                <w:szCs w:val="18"/>
              </w:rPr>
              <w:t>7,1624</w:t>
            </w:r>
          </w:p>
        </w:tc>
        <w:tc>
          <w:tcPr>
            <w:tcW w:w="436" w:type="pct"/>
            <w:shd w:val="clear" w:color="auto" w:fill="E6E6E6"/>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6,4632</w:t>
            </w:r>
          </w:p>
        </w:tc>
        <w:tc>
          <w:tcPr>
            <w:tcW w:w="472" w:type="pct"/>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-0,6992</w:t>
            </w:r>
          </w:p>
        </w:tc>
        <w:tc>
          <w:tcPr>
            <w:tcW w:w="436" w:type="pct"/>
            <w:shd w:val="clear" w:color="auto" w:fill="E6E6E6"/>
            <w:vAlign w:val="bottom"/>
          </w:tcPr>
          <w:p w:rsidR="001061B7" w:rsidRPr="001061B7" w:rsidRDefault="001061B7" w:rsidP="00737A56">
            <w:pPr>
              <w:jc w:val="right"/>
              <w:rPr>
                <w:rFonts w:ascii="Arial Narrow" w:hAnsi="Arial Narrow" w:cs="Arial"/>
                <w:i/>
                <w:color w:val="000000"/>
                <w:sz w:val="18"/>
                <w:szCs w:val="18"/>
              </w:rPr>
            </w:pPr>
            <w:r w:rsidRPr="001061B7">
              <w:rPr>
                <w:rFonts w:ascii="Arial Narrow" w:hAnsi="Arial Narrow" w:cs="Arial"/>
                <w:i/>
                <w:color w:val="000000"/>
                <w:sz w:val="18"/>
                <w:szCs w:val="18"/>
              </w:rPr>
              <w:t>7,3895</w:t>
            </w:r>
          </w:p>
        </w:tc>
        <w:tc>
          <w:tcPr>
            <w:tcW w:w="436" w:type="pct"/>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6,7172</w:t>
            </w:r>
          </w:p>
        </w:tc>
        <w:tc>
          <w:tcPr>
            <w:tcW w:w="470" w:type="pct"/>
            <w:shd w:val="clear" w:color="auto" w:fill="E6E6E6"/>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-0,6723</w:t>
            </w:r>
          </w:p>
        </w:tc>
      </w:tr>
      <w:tr w:rsidR="001061B7" w:rsidRPr="00D62247" w:rsidTr="001061B7">
        <w:trPr>
          <w:jc w:val="center"/>
        </w:trPr>
        <w:tc>
          <w:tcPr>
            <w:tcW w:w="965" w:type="pct"/>
            <w:vAlign w:val="center"/>
          </w:tcPr>
          <w:p w:rsidR="001061B7" w:rsidRPr="00D62247" w:rsidRDefault="001061B7" w:rsidP="00737A56">
            <w:pPr>
              <w:spacing w:before="40" w:after="20"/>
              <w:rPr>
                <w:rFonts w:ascii="Arial Narrow" w:hAnsi="Arial Narrow" w:cs="Arial"/>
                <w:i/>
                <w:sz w:val="18"/>
                <w:szCs w:val="16"/>
              </w:rPr>
            </w:pPr>
            <w:r w:rsidRPr="00D62247">
              <w:rPr>
                <w:rFonts w:ascii="Arial Narrow" w:hAnsi="Arial Narrow" w:cs="Arial"/>
                <w:i/>
                <w:sz w:val="18"/>
                <w:szCs w:val="16"/>
              </w:rPr>
              <w:t xml:space="preserve">  non durevoli</w:t>
            </w:r>
          </w:p>
        </w:tc>
        <w:tc>
          <w:tcPr>
            <w:tcW w:w="441" w:type="pct"/>
            <w:shd w:val="clear" w:color="auto" w:fill="E6E6E6"/>
            <w:vAlign w:val="bottom"/>
          </w:tcPr>
          <w:p w:rsidR="001061B7" w:rsidRPr="001061B7" w:rsidRDefault="001061B7" w:rsidP="00737A56">
            <w:pPr>
              <w:jc w:val="right"/>
              <w:rPr>
                <w:rFonts w:ascii="Arial Narrow" w:hAnsi="Arial Narrow" w:cs="Arial"/>
                <w:i/>
                <w:iCs/>
                <w:color w:val="000000"/>
                <w:sz w:val="18"/>
                <w:szCs w:val="18"/>
              </w:rPr>
            </w:pPr>
            <w:r w:rsidRPr="001061B7">
              <w:rPr>
                <w:rFonts w:ascii="Arial Narrow" w:hAnsi="Arial Narrow" w:cs="Arial"/>
                <w:i/>
                <w:iCs/>
                <w:color w:val="000000"/>
                <w:sz w:val="18"/>
                <w:szCs w:val="18"/>
              </w:rPr>
              <w:t>21,4700</w:t>
            </w:r>
          </w:p>
        </w:tc>
        <w:tc>
          <w:tcPr>
            <w:tcW w:w="436" w:type="pct"/>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22,1097</w:t>
            </w:r>
          </w:p>
        </w:tc>
        <w:tc>
          <w:tcPr>
            <w:tcW w:w="472" w:type="pct"/>
            <w:shd w:val="clear" w:color="auto" w:fill="E6E6E6"/>
            <w:vAlign w:val="bottom"/>
          </w:tcPr>
          <w:p w:rsidR="001061B7" w:rsidRPr="001061B7" w:rsidRDefault="001061B7">
            <w:pPr>
              <w:jc w:val="right"/>
              <w:rPr>
                <w:rFonts w:ascii="Arial Narrow" w:hAnsi="Arial Narrow" w:cs="Arial"/>
                <w:i/>
                <w:color w:val="000000"/>
                <w:sz w:val="18"/>
                <w:szCs w:val="18"/>
              </w:rPr>
            </w:pPr>
            <w:r>
              <w:rPr>
                <w:rFonts w:ascii="Arial Narrow" w:hAnsi="Arial Narrow" w:cs="Arial"/>
                <w:i/>
                <w:color w:val="000000"/>
                <w:sz w:val="18"/>
                <w:szCs w:val="18"/>
              </w:rPr>
              <w:t>+</w:t>
            </w:r>
            <w:r w:rsidRPr="001061B7">
              <w:rPr>
                <w:rFonts w:ascii="Arial Narrow" w:hAnsi="Arial Narrow" w:cs="Arial"/>
                <w:i/>
                <w:color w:val="000000"/>
                <w:sz w:val="18"/>
                <w:szCs w:val="18"/>
              </w:rPr>
              <w:t>0,6397</w:t>
            </w:r>
          </w:p>
        </w:tc>
        <w:tc>
          <w:tcPr>
            <w:tcW w:w="436" w:type="pct"/>
            <w:vAlign w:val="bottom"/>
          </w:tcPr>
          <w:p w:rsidR="001061B7" w:rsidRPr="001061B7" w:rsidRDefault="001061B7" w:rsidP="00737A56">
            <w:pPr>
              <w:jc w:val="right"/>
              <w:rPr>
                <w:rFonts w:ascii="Arial Narrow" w:hAnsi="Arial Narrow" w:cs="Arial"/>
                <w:i/>
                <w:color w:val="000000"/>
                <w:sz w:val="18"/>
                <w:szCs w:val="18"/>
              </w:rPr>
            </w:pPr>
            <w:r w:rsidRPr="001061B7">
              <w:rPr>
                <w:rFonts w:ascii="Arial Narrow" w:hAnsi="Arial Narrow" w:cs="Arial"/>
                <w:i/>
                <w:color w:val="000000"/>
                <w:sz w:val="18"/>
                <w:szCs w:val="18"/>
              </w:rPr>
              <w:t>21,6367</w:t>
            </w:r>
          </w:p>
        </w:tc>
        <w:tc>
          <w:tcPr>
            <w:tcW w:w="436" w:type="pct"/>
            <w:shd w:val="clear" w:color="auto" w:fill="E6E6E6"/>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22,0221</w:t>
            </w:r>
          </w:p>
        </w:tc>
        <w:tc>
          <w:tcPr>
            <w:tcW w:w="472" w:type="pct"/>
            <w:vAlign w:val="bottom"/>
          </w:tcPr>
          <w:p w:rsidR="001061B7" w:rsidRPr="001061B7" w:rsidRDefault="001061B7">
            <w:pPr>
              <w:jc w:val="right"/>
              <w:rPr>
                <w:rFonts w:ascii="Arial Narrow" w:hAnsi="Arial Narrow" w:cs="Arial"/>
                <w:i/>
                <w:color w:val="000000"/>
                <w:sz w:val="18"/>
                <w:szCs w:val="18"/>
              </w:rPr>
            </w:pPr>
            <w:r>
              <w:rPr>
                <w:rFonts w:ascii="Arial Narrow" w:hAnsi="Arial Narrow" w:cs="Arial"/>
                <w:i/>
                <w:color w:val="000000"/>
                <w:sz w:val="18"/>
                <w:szCs w:val="18"/>
              </w:rPr>
              <w:t>+</w:t>
            </w:r>
            <w:r w:rsidRPr="001061B7">
              <w:rPr>
                <w:rFonts w:ascii="Arial Narrow" w:hAnsi="Arial Narrow" w:cs="Arial"/>
                <w:i/>
                <w:color w:val="000000"/>
                <w:sz w:val="18"/>
                <w:szCs w:val="18"/>
              </w:rPr>
              <w:t>0,3854</w:t>
            </w:r>
          </w:p>
        </w:tc>
        <w:tc>
          <w:tcPr>
            <w:tcW w:w="436" w:type="pct"/>
            <w:shd w:val="clear" w:color="auto" w:fill="E6E6E6"/>
            <w:vAlign w:val="bottom"/>
          </w:tcPr>
          <w:p w:rsidR="001061B7" w:rsidRPr="001061B7" w:rsidRDefault="001061B7" w:rsidP="00737A56">
            <w:pPr>
              <w:jc w:val="right"/>
              <w:rPr>
                <w:rFonts w:ascii="Arial Narrow" w:hAnsi="Arial Narrow" w:cs="Arial"/>
                <w:i/>
                <w:color w:val="000000"/>
                <w:sz w:val="18"/>
                <w:szCs w:val="18"/>
              </w:rPr>
            </w:pPr>
            <w:r w:rsidRPr="001061B7">
              <w:rPr>
                <w:rFonts w:ascii="Arial Narrow" w:hAnsi="Arial Narrow" w:cs="Arial"/>
                <w:i/>
                <w:color w:val="000000"/>
                <w:sz w:val="18"/>
                <w:szCs w:val="18"/>
              </w:rPr>
              <w:t>21,3328</w:t>
            </w:r>
          </w:p>
        </w:tc>
        <w:tc>
          <w:tcPr>
            <w:tcW w:w="436" w:type="pct"/>
            <w:vAlign w:val="bottom"/>
          </w:tcPr>
          <w:p w:rsidR="001061B7" w:rsidRPr="001061B7" w:rsidRDefault="001061B7">
            <w:pPr>
              <w:jc w:val="right"/>
              <w:rPr>
                <w:rFonts w:ascii="Arial Narrow" w:hAnsi="Arial Narrow" w:cs="Arial"/>
                <w:i/>
                <w:color w:val="000000"/>
                <w:sz w:val="18"/>
                <w:szCs w:val="18"/>
              </w:rPr>
            </w:pPr>
            <w:r w:rsidRPr="001061B7">
              <w:rPr>
                <w:rFonts w:ascii="Arial Narrow" w:hAnsi="Arial Narrow" w:cs="Arial"/>
                <w:i/>
                <w:color w:val="000000"/>
                <w:sz w:val="18"/>
                <w:szCs w:val="18"/>
              </w:rPr>
              <w:t>22,1779</w:t>
            </w:r>
          </w:p>
        </w:tc>
        <w:tc>
          <w:tcPr>
            <w:tcW w:w="470" w:type="pct"/>
            <w:shd w:val="clear" w:color="auto" w:fill="E6E6E6"/>
            <w:vAlign w:val="bottom"/>
          </w:tcPr>
          <w:p w:rsidR="001061B7" w:rsidRPr="001061B7" w:rsidRDefault="001061B7">
            <w:pPr>
              <w:jc w:val="right"/>
              <w:rPr>
                <w:rFonts w:ascii="Arial Narrow" w:hAnsi="Arial Narrow" w:cs="Arial"/>
                <w:i/>
                <w:color w:val="000000"/>
                <w:sz w:val="18"/>
                <w:szCs w:val="18"/>
              </w:rPr>
            </w:pPr>
            <w:r>
              <w:rPr>
                <w:rFonts w:ascii="Arial Narrow" w:hAnsi="Arial Narrow" w:cs="Arial"/>
                <w:i/>
                <w:color w:val="000000"/>
                <w:sz w:val="18"/>
                <w:szCs w:val="18"/>
              </w:rPr>
              <w:t>+</w:t>
            </w:r>
            <w:r w:rsidRPr="001061B7">
              <w:rPr>
                <w:rFonts w:ascii="Arial Narrow" w:hAnsi="Arial Narrow" w:cs="Arial"/>
                <w:i/>
                <w:color w:val="000000"/>
                <w:sz w:val="18"/>
                <w:szCs w:val="18"/>
              </w:rPr>
              <w:t>0,8451</w:t>
            </w:r>
          </w:p>
        </w:tc>
      </w:tr>
      <w:tr w:rsidR="001061B7" w:rsidRPr="00D62247" w:rsidTr="001061B7">
        <w:trPr>
          <w:jc w:val="center"/>
        </w:trPr>
        <w:tc>
          <w:tcPr>
            <w:tcW w:w="965" w:type="pct"/>
            <w:vAlign w:val="center"/>
          </w:tcPr>
          <w:p w:rsidR="001061B7" w:rsidRPr="00D62247" w:rsidRDefault="001061B7" w:rsidP="00737A56">
            <w:pPr>
              <w:spacing w:before="40" w:after="20"/>
              <w:ind w:left="-57"/>
              <w:rPr>
                <w:rFonts w:ascii="Arial Narrow" w:hAnsi="Arial Narrow" w:cs="Arial"/>
                <w:sz w:val="18"/>
                <w:szCs w:val="16"/>
              </w:rPr>
            </w:pPr>
            <w:r w:rsidRPr="00D62247">
              <w:rPr>
                <w:rFonts w:ascii="Arial Narrow" w:hAnsi="Arial Narrow" w:cs="Arial"/>
                <w:sz w:val="18"/>
                <w:szCs w:val="16"/>
              </w:rPr>
              <w:t>Beni strumentali</w:t>
            </w:r>
          </w:p>
        </w:tc>
        <w:tc>
          <w:tcPr>
            <w:tcW w:w="441" w:type="pct"/>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33,2506</w:t>
            </w:r>
          </w:p>
        </w:tc>
        <w:tc>
          <w:tcPr>
            <w:tcW w:w="436" w:type="pct"/>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34,0285</w:t>
            </w:r>
          </w:p>
        </w:tc>
        <w:tc>
          <w:tcPr>
            <w:tcW w:w="472" w:type="pct"/>
            <w:shd w:val="clear" w:color="auto" w:fill="E6E6E6"/>
            <w:vAlign w:val="bottom"/>
          </w:tcPr>
          <w:p w:rsidR="001061B7" w:rsidRPr="001061B7" w:rsidRDefault="001061B7">
            <w:pPr>
              <w:jc w:val="right"/>
              <w:rPr>
                <w:rFonts w:ascii="Arial Narrow" w:hAnsi="Arial Narrow" w:cs="Arial"/>
                <w:color w:val="000000"/>
                <w:sz w:val="18"/>
                <w:szCs w:val="18"/>
              </w:rPr>
            </w:pPr>
            <w:r>
              <w:rPr>
                <w:rFonts w:ascii="Arial Narrow" w:hAnsi="Arial Narrow" w:cs="Arial"/>
                <w:color w:val="000000"/>
                <w:sz w:val="18"/>
                <w:szCs w:val="18"/>
              </w:rPr>
              <w:t>+</w:t>
            </w:r>
            <w:r w:rsidRPr="001061B7">
              <w:rPr>
                <w:rFonts w:ascii="Arial Narrow" w:hAnsi="Arial Narrow" w:cs="Arial"/>
                <w:color w:val="000000"/>
                <w:sz w:val="18"/>
                <w:szCs w:val="18"/>
              </w:rPr>
              <w:t>0,7779</w:t>
            </w:r>
          </w:p>
        </w:tc>
        <w:tc>
          <w:tcPr>
            <w:tcW w:w="436" w:type="pct"/>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28,1859</w:t>
            </w:r>
          </w:p>
        </w:tc>
        <w:tc>
          <w:tcPr>
            <w:tcW w:w="436" w:type="pct"/>
            <w:shd w:val="clear" w:color="auto" w:fill="E6E6E6"/>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28,4921</w:t>
            </w:r>
          </w:p>
        </w:tc>
        <w:tc>
          <w:tcPr>
            <w:tcW w:w="472" w:type="pct"/>
            <w:vAlign w:val="bottom"/>
          </w:tcPr>
          <w:p w:rsidR="001061B7" w:rsidRPr="001061B7" w:rsidRDefault="001061B7">
            <w:pPr>
              <w:jc w:val="right"/>
              <w:rPr>
                <w:rFonts w:ascii="Arial Narrow" w:hAnsi="Arial Narrow" w:cs="Arial"/>
                <w:color w:val="000000"/>
                <w:sz w:val="18"/>
                <w:szCs w:val="18"/>
              </w:rPr>
            </w:pPr>
            <w:r>
              <w:rPr>
                <w:rFonts w:ascii="Arial Narrow" w:hAnsi="Arial Narrow" w:cs="Arial"/>
                <w:color w:val="000000"/>
                <w:sz w:val="18"/>
                <w:szCs w:val="18"/>
              </w:rPr>
              <w:t>+</w:t>
            </w:r>
            <w:r w:rsidRPr="001061B7">
              <w:rPr>
                <w:rFonts w:ascii="Arial Narrow" w:hAnsi="Arial Narrow" w:cs="Arial"/>
                <w:color w:val="000000"/>
                <w:sz w:val="18"/>
                <w:szCs w:val="18"/>
              </w:rPr>
              <w:t>0,3062</w:t>
            </w:r>
          </w:p>
        </w:tc>
        <w:tc>
          <w:tcPr>
            <w:tcW w:w="436" w:type="pct"/>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37,4213</w:t>
            </w:r>
          </w:p>
        </w:tc>
        <w:tc>
          <w:tcPr>
            <w:tcW w:w="436" w:type="pct"/>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38,3451</w:t>
            </w:r>
          </w:p>
        </w:tc>
        <w:tc>
          <w:tcPr>
            <w:tcW w:w="470" w:type="pct"/>
            <w:shd w:val="clear" w:color="auto" w:fill="E6E6E6"/>
            <w:vAlign w:val="bottom"/>
          </w:tcPr>
          <w:p w:rsidR="001061B7" w:rsidRPr="001061B7" w:rsidRDefault="001061B7">
            <w:pPr>
              <w:jc w:val="right"/>
              <w:rPr>
                <w:rFonts w:ascii="Arial Narrow" w:hAnsi="Arial Narrow" w:cs="Arial"/>
                <w:color w:val="000000"/>
                <w:sz w:val="18"/>
                <w:szCs w:val="18"/>
              </w:rPr>
            </w:pPr>
            <w:r>
              <w:rPr>
                <w:rFonts w:ascii="Arial Narrow" w:hAnsi="Arial Narrow" w:cs="Arial"/>
                <w:color w:val="000000"/>
                <w:sz w:val="18"/>
                <w:szCs w:val="18"/>
              </w:rPr>
              <w:t>+</w:t>
            </w:r>
            <w:r w:rsidRPr="001061B7">
              <w:rPr>
                <w:rFonts w:ascii="Arial Narrow" w:hAnsi="Arial Narrow" w:cs="Arial"/>
                <w:color w:val="000000"/>
                <w:sz w:val="18"/>
                <w:szCs w:val="18"/>
              </w:rPr>
              <w:t>0,9238</w:t>
            </w:r>
          </w:p>
        </w:tc>
      </w:tr>
      <w:tr w:rsidR="001061B7" w:rsidRPr="00D62247" w:rsidTr="001061B7">
        <w:trPr>
          <w:jc w:val="center"/>
        </w:trPr>
        <w:tc>
          <w:tcPr>
            <w:tcW w:w="965" w:type="pct"/>
            <w:vAlign w:val="center"/>
          </w:tcPr>
          <w:p w:rsidR="001061B7" w:rsidRPr="00D62247" w:rsidRDefault="001061B7" w:rsidP="00737A56">
            <w:pPr>
              <w:spacing w:before="40" w:after="20"/>
              <w:ind w:left="-57"/>
              <w:rPr>
                <w:rFonts w:ascii="Arial Narrow" w:hAnsi="Arial Narrow" w:cs="Arial"/>
                <w:sz w:val="18"/>
                <w:szCs w:val="16"/>
              </w:rPr>
            </w:pPr>
            <w:r w:rsidRPr="00D62247">
              <w:rPr>
                <w:rFonts w:ascii="Arial Narrow" w:hAnsi="Arial Narrow" w:cs="Arial"/>
                <w:sz w:val="18"/>
                <w:szCs w:val="16"/>
              </w:rPr>
              <w:t>Beni intermedi</w:t>
            </w:r>
          </w:p>
        </w:tc>
        <w:tc>
          <w:tcPr>
            <w:tcW w:w="441" w:type="pct"/>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34,0260</w:t>
            </w:r>
          </w:p>
        </w:tc>
        <w:tc>
          <w:tcPr>
            <w:tcW w:w="436" w:type="pct"/>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34,0360</w:t>
            </w:r>
          </w:p>
        </w:tc>
        <w:tc>
          <w:tcPr>
            <w:tcW w:w="472" w:type="pct"/>
            <w:shd w:val="clear" w:color="auto" w:fill="E6E6E6"/>
            <w:vAlign w:val="bottom"/>
          </w:tcPr>
          <w:p w:rsidR="001061B7" w:rsidRPr="001061B7" w:rsidRDefault="001061B7">
            <w:pPr>
              <w:jc w:val="right"/>
              <w:rPr>
                <w:rFonts w:ascii="Arial Narrow" w:hAnsi="Arial Narrow" w:cs="Arial"/>
                <w:color w:val="000000"/>
                <w:sz w:val="18"/>
                <w:szCs w:val="18"/>
              </w:rPr>
            </w:pPr>
            <w:r>
              <w:rPr>
                <w:rFonts w:ascii="Arial Narrow" w:hAnsi="Arial Narrow" w:cs="Arial"/>
                <w:color w:val="000000"/>
                <w:sz w:val="18"/>
                <w:szCs w:val="18"/>
              </w:rPr>
              <w:t>+</w:t>
            </w:r>
            <w:r w:rsidRPr="001061B7">
              <w:rPr>
                <w:rFonts w:ascii="Arial Narrow" w:hAnsi="Arial Narrow" w:cs="Arial"/>
                <w:color w:val="000000"/>
                <w:sz w:val="18"/>
                <w:szCs w:val="18"/>
              </w:rPr>
              <w:t>0,0099</w:t>
            </w:r>
          </w:p>
        </w:tc>
        <w:tc>
          <w:tcPr>
            <w:tcW w:w="436" w:type="pct"/>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39,5415</w:t>
            </w:r>
          </w:p>
        </w:tc>
        <w:tc>
          <w:tcPr>
            <w:tcW w:w="436" w:type="pct"/>
            <w:shd w:val="clear" w:color="auto" w:fill="E6E6E6"/>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40,4674</w:t>
            </w:r>
          </w:p>
        </w:tc>
        <w:tc>
          <w:tcPr>
            <w:tcW w:w="472" w:type="pct"/>
            <w:vAlign w:val="bottom"/>
          </w:tcPr>
          <w:p w:rsidR="001061B7" w:rsidRPr="001061B7" w:rsidRDefault="001061B7">
            <w:pPr>
              <w:jc w:val="right"/>
              <w:rPr>
                <w:rFonts w:ascii="Arial Narrow" w:hAnsi="Arial Narrow" w:cs="Arial"/>
                <w:color w:val="000000"/>
                <w:sz w:val="18"/>
                <w:szCs w:val="18"/>
              </w:rPr>
            </w:pPr>
            <w:r>
              <w:rPr>
                <w:rFonts w:ascii="Arial Narrow" w:hAnsi="Arial Narrow" w:cs="Arial"/>
                <w:color w:val="000000"/>
                <w:sz w:val="18"/>
                <w:szCs w:val="18"/>
              </w:rPr>
              <w:t>+</w:t>
            </w:r>
            <w:r w:rsidRPr="001061B7">
              <w:rPr>
                <w:rFonts w:ascii="Arial Narrow" w:hAnsi="Arial Narrow" w:cs="Arial"/>
                <w:color w:val="000000"/>
                <w:sz w:val="18"/>
                <w:szCs w:val="18"/>
              </w:rPr>
              <w:t>0,9259</w:t>
            </w:r>
          </w:p>
        </w:tc>
        <w:tc>
          <w:tcPr>
            <w:tcW w:w="436" w:type="pct"/>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29,4842</w:t>
            </w:r>
          </w:p>
        </w:tc>
        <w:tc>
          <w:tcPr>
            <w:tcW w:w="436" w:type="pct"/>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29,0211</w:t>
            </w:r>
          </w:p>
        </w:tc>
        <w:tc>
          <w:tcPr>
            <w:tcW w:w="470" w:type="pct"/>
            <w:shd w:val="clear" w:color="auto" w:fill="E6E6E6"/>
            <w:vAlign w:val="bottom"/>
          </w:tcPr>
          <w:p w:rsidR="001061B7" w:rsidRPr="001061B7" w:rsidRDefault="001061B7">
            <w:pPr>
              <w:jc w:val="right"/>
              <w:rPr>
                <w:rFonts w:ascii="Arial Narrow" w:hAnsi="Arial Narrow" w:cs="Arial"/>
                <w:color w:val="000000"/>
                <w:sz w:val="18"/>
                <w:szCs w:val="18"/>
              </w:rPr>
            </w:pPr>
            <w:r w:rsidRPr="001061B7">
              <w:rPr>
                <w:rFonts w:ascii="Arial Narrow" w:hAnsi="Arial Narrow" w:cs="Arial"/>
                <w:color w:val="000000"/>
                <w:sz w:val="18"/>
                <w:szCs w:val="18"/>
              </w:rPr>
              <w:t>-0,4631</w:t>
            </w:r>
          </w:p>
        </w:tc>
      </w:tr>
      <w:tr w:rsidR="001061B7" w:rsidRPr="00D62247" w:rsidTr="001061B7">
        <w:trPr>
          <w:jc w:val="center"/>
        </w:trPr>
        <w:tc>
          <w:tcPr>
            <w:tcW w:w="965" w:type="pct"/>
            <w:tcBorders>
              <w:bottom w:val="single" w:sz="4" w:space="0" w:color="333333"/>
            </w:tcBorders>
            <w:vAlign w:val="center"/>
          </w:tcPr>
          <w:p w:rsidR="001061B7" w:rsidRPr="00D62247" w:rsidRDefault="001061B7" w:rsidP="00737A56">
            <w:pPr>
              <w:spacing w:before="40" w:after="20"/>
              <w:ind w:left="-57"/>
              <w:rPr>
                <w:rFonts w:ascii="Arial Narrow" w:hAnsi="Arial Narrow" w:cs="Arial"/>
                <w:sz w:val="18"/>
                <w:szCs w:val="16"/>
              </w:rPr>
            </w:pPr>
            <w:r w:rsidRPr="00D62247">
              <w:rPr>
                <w:rFonts w:ascii="Arial Narrow" w:hAnsi="Arial Narrow" w:cs="Arial"/>
                <w:sz w:val="18"/>
                <w:szCs w:val="16"/>
              </w:rPr>
              <w:t>Energia</w:t>
            </w:r>
          </w:p>
        </w:tc>
        <w:tc>
          <w:tcPr>
            <w:tcW w:w="441" w:type="pct"/>
            <w:tcBorders>
              <w:bottom w:val="single" w:sz="4" w:space="0" w:color="333333"/>
            </w:tcBorders>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3,9664</w:t>
            </w:r>
          </w:p>
        </w:tc>
        <w:tc>
          <w:tcPr>
            <w:tcW w:w="436" w:type="pct"/>
            <w:tcBorders>
              <w:bottom w:val="single" w:sz="4" w:space="0" w:color="333333"/>
            </w:tcBorders>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3,2202</w:t>
            </w:r>
          </w:p>
        </w:tc>
        <w:tc>
          <w:tcPr>
            <w:tcW w:w="472" w:type="pct"/>
            <w:tcBorders>
              <w:bottom w:val="single" w:sz="4" w:space="0" w:color="333333"/>
            </w:tcBorders>
            <w:shd w:val="clear" w:color="auto" w:fill="E6E6E6"/>
            <w:vAlign w:val="bottom"/>
          </w:tcPr>
          <w:p w:rsidR="001061B7" w:rsidRPr="001061B7" w:rsidRDefault="001061B7">
            <w:pPr>
              <w:jc w:val="right"/>
              <w:rPr>
                <w:rFonts w:ascii="Arial Narrow" w:hAnsi="Arial Narrow" w:cs="Arial"/>
                <w:color w:val="000000"/>
                <w:sz w:val="18"/>
                <w:szCs w:val="18"/>
              </w:rPr>
            </w:pPr>
            <w:r w:rsidRPr="001061B7">
              <w:rPr>
                <w:rFonts w:ascii="Arial Narrow" w:hAnsi="Arial Narrow" w:cs="Arial"/>
                <w:color w:val="000000"/>
                <w:sz w:val="18"/>
                <w:szCs w:val="18"/>
              </w:rPr>
              <w:t>-0,7463</w:t>
            </w:r>
          </w:p>
        </w:tc>
        <w:tc>
          <w:tcPr>
            <w:tcW w:w="436" w:type="pct"/>
            <w:tcBorders>
              <w:bottom w:val="single" w:sz="4" w:space="0" w:color="333333"/>
            </w:tcBorders>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3,4735</w:t>
            </w:r>
          </w:p>
        </w:tc>
        <w:tc>
          <w:tcPr>
            <w:tcW w:w="436" w:type="pct"/>
            <w:tcBorders>
              <w:bottom w:val="single" w:sz="4" w:space="0" w:color="333333"/>
            </w:tcBorders>
            <w:shd w:val="clear" w:color="auto" w:fill="E6E6E6"/>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2,5552</w:t>
            </w:r>
          </w:p>
        </w:tc>
        <w:tc>
          <w:tcPr>
            <w:tcW w:w="472" w:type="pct"/>
            <w:tcBorders>
              <w:bottom w:val="single" w:sz="4" w:space="0" w:color="333333"/>
            </w:tcBorders>
            <w:vAlign w:val="bottom"/>
          </w:tcPr>
          <w:p w:rsidR="001061B7" w:rsidRPr="001061B7" w:rsidRDefault="001061B7">
            <w:pPr>
              <w:jc w:val="right"/>
              <w:rPr>
                <w:rFonts w:ascii="Arial Narrow" w:hAnsi="Arial Narrow" w:cs="Arial"/>
                <w:color w:val="000000"/>
                <w:sz w:val="18"/>
                <w:szCs w:val="18"/>
              </w:rPr>
            </w:pPr>
            <w:r w:rsidRPr="001061B7">
              <w:rPr>
                <w:rFonts w:ascii="Arial Narrow" w:hAnsi="Arial Narrow" w:cs="Arial"/>
                <w:color w:val="000000"/>
                <w:sz w:val="18"/>
                <w:szCs w:val="18"/>
              </w:rPr>
              <w:t>-0,9183</w:t>
            </w:r>
          </w:p>
        </w:tc>
        <w:tc>
          <w:tcPr>
            <w:tcW w:w="436" w:type="pct"/>
            <w:tcBorders>
              <w:bottom w:val="single" w:sz="4" w:space="0" w:color="333333"/>
            </w:tcBorders>
            <w:shd w:val="clear" w:color="auto" w:fill="E6E6E6"/>
            <w:vAlign w:val="bottom"/>
          </w:tcPr>
          <w:p w:rsidR="001061B7" w:rsidRDefault="001061B7" w:rsidP="00737A56">
            <w:pPr>
              <w:jc w:val="right"/>
              <w:rPr>
                <w:rFonts w:ascii="Arial Narrow" w:hAnsi="Arial Narrow" w:cs="Arial"/>
                <w:color w:val="000000"/>
                <w:sz w:val="18"/>
                <w:szCs w:val="18"/>
              </w:rPr>
            </w:pPr>
            <w:r>
              <w:rPr>
                <w:rFonts w:ascii="Arial Narrow" w:hAnsi="Arial Narrow" w:cs="Arial"/>
                <w:color w:val="000000"/>
                <w:sz w:val="18"/>
                <w:szCs w:val="18"/>
              </w:rPr>
              <w:t>4,3722</w:t>
            </w:r>
          </w:p>
        </w:tc>
        <w:tc>
          <w:tcPr>
            <w:tcW w:w="436" w:type="pct"/>
            <w:tcBorders>
              <w:bottom w:val="single" w:sz="4" w:space="0" w:color="333333"/>
            </w:tcBorders>
            <w:vAlign w:val="bottom"/>
          </w:tcPr>
          <w:p w:rsidR="001061B7" w:rsidRDefault="001061B7">
            <w:pPr>
              <w:jc w:val="right"/>
              <w:rPr>
                <w:rFonts w:ascii="Arial Narrow" w:hAnsi="Arial Narrow" w:cs="Arial"/>
                <w:color w:val="000000"/>
                <w:sz w:val="18"/>
                <w:szCs w:val="18"/>
              </w:rPr>
            </w:pPr>
            <w:r>
              <w:rPr>
                <w:rFonts w:ascii="Arial Narrow" w:hAnsi="Arial Narrow" w:cs="Arial"/>
                <w:color w:val="000000"/>
                <w:sz w:val="18"/>
                <w:szCs w:val="18"/>
              </w:rPr>
              <w:t>3,7387</w:t>
            </w:r>
          </w:p>
        </w:tc>
        <w:tc>
          <w:tcPr>
            <w:tcW w:w="470" w:type="pct"/>
            <w:tcBorders>
              <w:bottom w:val="single" w:sz="4" w:space="0" w:color="333333"/>
            </w:tcBorders>
            <w:shd w:val="clear" w:color="auto" w:fill="E6E6E6"/>
            <w:vAlign w:val="bottom"/>
          </w:tcPr>
          <w:p w:rsidR="001061B7" w:rsidRPr="001061B7" w:rsidRDefault="001061B7">
            <w:pPr>
              <w:jc w:val="right"/>
              <w:rPr>
                <w:rFonts w:ascii="Arial Narrow" w:hAnsi="Arial Narrow" w:cs="Arial"/>
                <w:color w:val="000000"/>
                <w:sz w:val="18"/>
                <w:szCs w:val="18"/>
              </w:rPr>
            </w:pPr>
            <w:r w:rsidRPr="001061B7">
              <w:rPr>
                <w:rFonts w:ascii="Arial Narrow" w:hAnsi="Arial Narrow" w:cs="Arial"/>
                <w:color w:val="000000"/>
                <w:sz w:val="18"/>
                <w:szCs w:val="18"/>
              </w:rPr>
              <w:t>-0,6335</w:t>
            </w:r>
          </w:p>
        </w:tc>
      </w:tr>
      <w:tr w:rsidR="00604101" w:rsidRPr="00D62247" w:rsidTr="001061B7">
        <w:trPr>
          <w:jc w:val="center"/>
        </w:trPr>
        <w:tc>
          <w:tcPr>
            <w:tcW w:w="965" w:type="pct"/>
            <w:shd w:val="clear" w:color="auto" w:fill="99CC00"/>
            <w:vAlign w:val="center"/>
          </w:tcPr>
          <w:p w:rsidR="00604101" w:rsidRPr="00D62247" w:rsidRDefault="00604101" w:rsidP="00737A56">
            <w:pPr>
              <w:spacing w:before="40" w:after="20"/>
              <w:ind w:left="-57"/>
              <w:rPr>
                <w:rFonts w:ascii="Arial Narrow" w:hAnsi="Arial Narrow" w:cs="Arial"/>
                <w:b/>
                <w:color w:val="FFFFFF"/>
                <w:sz w:val="18"/>
                <w:szCs w:val="16"/>
              </w:rPr>
            </w:pPr>
            <w:r w:rsidRPr="00D62247">
              <w:rPr>
                <w:rFonts w:ascii="Arial Narrow" w:hAnsi="Arial Narrow" w:cs="Arial"/>
                <w:b/>
                <w:color w:val="FFFFFF"/>
                <w:sz w:val="18"/>
                <w:szCs w:val="16"/>
              </w:rPr>
              <w:t>Totale</w:t>
            </w:r>
          </w:p>
        </w:tc>
        <w:tc>
          <w:tcPr>
            <w:tcW w:w="441"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36"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72"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p>
        </w:tc>
        <w:tc>
          <w:tcPr>
            <w:tcW w:w="436"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36"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72"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p>
        </w:tc>
        <w:tc>
          <w:tcPr>
            <w:tcW w:w="436"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36"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70" w:type="pct"/>
            <w:shd w:val="clear" w:color="auto" w:fill="99CC00"/>
            <w:vAlign w:val="center"/>
          </w:tcPr>
          <w:p w:rsidR="00604101" w:rsidRPr="00D62247" w:rsidRDefault="00604101" w:rsidP="00737A56">
            <w:pPr>
              <w:spacing w:before="40" w:after="20"/>
              <w:jc w:val="right"/>
              <w:rPr>
                <w:rFonts w:ascii="Arial Narrow" w:hAnsi="Arial Narrow" w:cs="Arial"/>
                <w:b/>
                <w:color w:val="FFFFFF"/>
                <w:sz w:val="18"/>
                <w:szCs w:val="16"/>
              </w:rPr>
            </w:pPr>
          </w:p>
        </w:tc>
      </w:tr>
    </w:tbl>
    <w:p w:rsidR="00192B0D" w:rsidRDefault="00192B0D" w:rsidP="00604101">
      <w:pPr>
        <w:spacing w:after="120"/>
        <w:ind w:left="1797"/>
        <w:jc w:val="both"/>
        <w:rPr>
          <w:rFonts w:ascii="Arial" w:hAnsi="Arial" w:cs="Arial"/>
          <w:sz w:val="20"/>
          <w:szCs w:val="20"/>
        </w:rPr>
      </w:pPr>
    </w:p>
    <w:p w:rsidR="005A19AF" w:rsidRDefault="005934CB" w:rsidP="007D5D22">
      <w:pPr>
        <w:spacing w:after="120"/>
        <w:ind w:left="1814"/>
        <w:jc w:val="both"/>
        <w:rPr>
          <w:rFonts w:ascii="Arial" w:hAnsi="Arial" w:cs="Arial"/>
          <w:sz w:val="20"/>
          <w:szCs w:val="20"/>
        </w:rPr>
      </w:pPr>
      <w:r w:rsidRPr="00F91034">
        <w:rPr>
          <w:rFonts w:ascii="Arial" w:hAnsi="Arial" w:cs="Arial"/>
          <w:sz w:val="20"/>
          <w:szCs w:val="20"/>
        </w:rPr>
        <w:t xml:space="preserve">Con riferimento all’indice totale (Prospetto 9), aumenta di circa 0,4 punti percentuali l’incidenza </w:t>
      </w:r>
      <w:r w:rsidR="003F5BF2">
        <w:rPr>
          <w:rFonts w:ascii="Arial" w:hAnsi="Arial" w:cs="Arial"/>
          <w:sz w:val="20"/>
          <w:szCs w:val="20"/>
        </w:rPr>
        <w:t>dei Beni intermedi</w:t>
      </w:r>
      <w:r w:rsidRPr="00F91034">
        <w:rPr>
          <w:rFonts w:ascii="Arial" w:hAnsi="Arial" w:cs="Arial"/>
          <w:sz w:val="20"/>
          <w:szCs w:val="20"/>
        </w:rPr>
        <w:t xml:space="preserve"> e di circa 0,3 punti </w:t>
      </w:r>
      <w:r w:rsidR="003F5BF2">
        <w:rPr>
          <w:rFonts w:ascii="Arial" w:hAnsi="Arial" w:cs="Arial"/>
          <w:sz w:val="20"/>
          <w:szCs w:val="20"/>
        </w:rPr>
        <w:t xml:space="preserve">quella </w:t>
      </w:r>
      <w:r w:rsidR="003F5BF2" w:rsidRPr="00F91034">
        <w:rPr>
          <w:rFonts w:ascii="Arial" w:hAnsi="Arial" w:cs="Arial"/>
          <w:sz w:val="20"/>
          <w:szCs w:val="20"/>
        </w:rPr>
        <w:t xml:space="preserve">dei Beni di consumo (circa </w:t>
      </w:r>
      <w:r w:rsidR="003F5BF2">
        <w:rPr>
          <w:rFonts w:ascii="Arial" w:hAnsi="Arial" w:cs="Arial"/>
          <w:sz w:val="20"/>
          <w:szCs w:val="20"/>
        </w:rPr>
        <w:t>+</w:t>
      </w:r>
      <w:r w:rsidR="003F5BF2" w:rsidRPr="00F91034">
        <w:rPr>
          <w:rFonts w:ascii="Arial" w:hAnsi="Arial" w:cs="Arial"/>
          <w:sz w:val="20"/>
          <w:szCs w:val="20"/>
        </w:rPr>
        <w:t>0,</w:t>
      </w:r>
      <w:r w:rsidR="003F5BF2">
        <w:rPr>
          <w:rFonts w:ascii="Arial" w:hAnsi="Arial" w:cs="Arial"/>
          <w:sz w:val="20"/>
          <w:szCs w:val="20"/>
        </w:rPr>
        <w:t>6</w:t>
      </w:r>
      <w:r w:rsidR="003F5BF2" w:rsidRPr="00F91034">
        <w:rPr>
          <w:rFonts w:ascii="Arial" w:hAnsi="Arial" w:cs="Arial"/>
          <w:sz w:val="20"/>
          <w:szCs w:val="20"/>
        </w:rPr>
        <w:t xml:space="preserve"> punti i </w:t>
      </w:r>
      <w:r w:rsidR="003F5BF2">
        <w:rPr>
          <w:rFonts w:ascii="Arial" w:hAnsi="Arial" w:cs="Arial"/>
          <w:sz w:val="20"/>
          <w:szCs w:val="20"/>
        </w:rPr>
        <w:t xml:space="preserve">non </w:t>
      </w:r>
      <w:r w:rsidR="003F5BF2" w:rsidRPr="00F91034">
        <w:rPr>
          <w:rFonts w:ascii="Arial" w:hAnsi="Arial" w:cs="Arial"/>
          <w:sz w:val="20"/>
          <w:szCs w:val="20"/>
        </w:rPr>
        <w:t xml:space="preserve">durevoli </w:t>
      </w:r>
      <w:r w:rsidR="003F5BF2">
        <w:rPr>
          <w:rFonts w:ascii="Arial" w:hAnsi="Arial" w:cs="Arial"/>
          <w:sz w:val="20"/>
          <w:szCs w:val="20"/>
        </w:rPr>
        <w:t xml:space="preserve">e </w:t>
      </w:r>
      <w:r w:rsidR="003F5BF2" w:rsidRPr="00F91034">
        <w:rPr>
          <w:rFonts w:ascii="Arial" w:hAnsi="Arial" w:cs="Arial"/>
          <w:sz w:val="20"/>
          <w:szCs w:val="20"/>
        </w:rPr>
        <w:t xml:space="preserve">circa </w:t>
      </w:r>
      <w:r w:rsidR="003F5BF2">
        <w:rPr>
          <w:rFonts w:ascii="Arial" w:hAnsi="Arial" w:cs="Arial"/>
          <w:sz w:val="20"/>
          <w:szCs w:val="20"/>
        </w:rPr>
        <w:t>-</w:t>
      </w:r>
      <w:r w:rsidR="003F5BF2" w:rsidRPr="00F91034">
        <w:rPr>
          <w:rFonts w:ascii="Arial" w:hAnsi="Arial" w:cs="Arial"/>
          <w:sz w:val="20"/>
          <w:szCs w:val="20"/>
        </w:rPr>
        <w:t>0,</w:t>
      </w:r>
      <w:r w:rsidR="008947F5">
        <w:rPr>
          <w:rFonts w:ascii="Arial" w:hAnsi="Arial" w:cs="Arial"/>
          <w:sz w:val="20"/>
          <w:szCs w:val="20"/>
        </w:rPr>
        <w:t>4</w:t>
      </w:r>
      <w:r w:rsidR="008947F5" w:rsidRPr="00F91034">
        <w:rPr>
          <w:rFonts w:ascii="Arial" w:hAnsi="Arial" w:cs="Arial"/>
          <w:sz w:val="20"/>
          <w:szCs w:val="20"/>
        </w:rPr>
        <w:t xml:space="preserve"> </w:t>
      </w:r>
      <w:r w:rsidR="003F5BF2" w:rsidRPr="00F91034">
        <w:rPr>
          <w:rFonts w:ascii="Arial" w:hAnsi="Arial" w:cs="Arial"/>
          <w:sz w:val="20"/>
          <w:szCs w:val="20"/>
        </w:rPr>
        <w:t xml:space="preserve">punti </w:t>
      </w:r>
      <w:r w:rsidR="0094153C">
        <w:rPr>
          <w:rFonts w:ascii="Arial" w:hAnsi="Arial" w:cs="Arial"/>
          <w:sz w:val="20"/>
          <w:szCs w:val="20"/>
        </w:rPr>
        <w:t>i</w:t>
      </w:r>
      <w:r w:rsidR="003F5BF2" w:rsidRPr="00F91034">
        <w:rPr>
          <w:rFonts w:ascii="Arial" w:hAnsi="Arial" w:cs="Arial"/>
          <w:sz w:val="20"/>
          <w:szCs w:val="20"/>
        </w:rPr>
        <w:t xml:space="preserve"> durevoli)</w:t>
      </w:r>
      <w:r w:rsidR="003F5BF2">
        <w:rPr>
          <w:rFonts w:ascii="Arial" w:hAnsi="Arial" w:cs="Arial"/>
          <w:sz w:val="20"/>
          <w:szCs w:val="20"/>
        </w:rPr>
        <w:t xml:space="preserve">. </w:t>
      </w:r>
      <w:r w:rsidRPr="00F91034">
        <w:rPr>
          <w:rFonts w:ascii="Arial" w:hAnsi="Arial" w:cs="Arial"/>
          <w:sz w:val="20"/>
          <w:szCs w:val="20"/>
        </w:rPr>
        <w:t>Diminuisce di circa 0,</w:t>
      </w:r>
      <w:r w:rsidR="003F5BF2">
        <w:rPr>
          <w:rFonts w:ascii="Arial" w:hAnsi="Arial" w:cs="Arial"/>
          <w:sz w:val="20"/>
          <w:szCs w:val="20"/>
        </w:rPr>
        <w:t>4</w:t>
      </w:r>
      <w:r w:rsidRPr="00F91034">
        <w:rPr>
          <w:rFonts w:ascii="Arial" w:hAnsi="Arial" w:cs="Arial"/>
          <w:sz w:val="20"/>
          <w:szCs w:val="20"/>
        </w:rPr>
        <w:t xml:space="preserve"> punti il peso </w:t>
      </w:r>
      <w:r w:rsidR="003F5BF2">
        <w:rPr>
          <w:rFonts w:ascii="Arial" w:hAnsi="Arial" w:cs="Arial"/>
          <w:sz w:val="20"/>
          <w:szCs w:val="20"/>
        </w:rPr>
        <w:t xml:space="preserve">dell’Energia e di circa 0,3 quello </w:t>
      </w:r>
      <w:r w:rsidRPr="00F91034">
        <w:rPr>
          <w:rFonts w:ascii="Arial" w:hAnsi="Arial" w:cs="Arial"/>
          <w:sz w:val="20"/>
          <w:szCs w:val="20"/>
        </w:rPr>
        <w:t>dei Beni strumentali.</w:t>
      </w:r>
    </w:p>
    <w:p w:rsidR="007D5D22" w:rsidRDefault="007D5D22" w:rsidP="007D5D22">
      <w:pPr>
        <w:spacing w:after="120"/>
        <w:ind w:left="1814"/>
        <w:jc w:val="both"/>
        <w:rPr>
          <w:rFonts w:ascii="Arial" w:hAnsi="Arial" w:cs="Arial"/>
          <w:sz w:val="20"/>
          <w:szCs w:val="20"/>
        </w:rPr>
      </w:pPr>
    </w:p>
    <w:p w:rsidR="00604101" w:rsidRPr="00D62247" w:rsidRDefault="00604101" w:rsidP="00604101">
      <w:pPr>
        <w:spacing w:after="120"/>
        <w:ind w:left="1814"/>
        <w:jc w:val="both"/>
        <w:rPr>
          <w:rFonts w:ascii="Arial Narrow" w:hAnsi="Arial Narrow" w:cs="Arial"/>
          <w:color w:val="333333"/>
          <w:sz w:val="19"/>
          <w:szCs w:val="16"/>
        </w:rPr>
      </w:pPr>
      <w:r w:rsidRPr="00D62247">
        <w:rPr>
          <w:rFonts w:ascii="Arial Narrow" w:hAnsi="Arial Narrow" w:cs="Arial"/>
          <w:b/>
          <w:caps/>
          <w:color w:val="777777"/>
          <w:sz w:val="20"/>
          <w:szCs w:val="16"/>
        </w:rPr>
        <w:t xml:space="preserve">Prospetto 9. Prezzi alla produzione dei prodotti industriali, Indice totale. </w:t>
      </w:r>
      <w:r w:rsidRPr="00D62247">
        <w:rPr>
          <w:rFonts w:ascii="Arial Narrow" w:hAnsi="Arial Narrow" w:cs="Arial"/>
          <w:color w:val="333333"/>
          <w:sz w:val="19"/>
          <w:szCs w:val="16"/>
        </w:rPr>
        <w:t>Confronto tra le strutture di ponderazione delle basi di calcolo Dicembre 201</w:t>
      </w:r>
      <w:r>
        <w:rPr>
          <w:rFonts w:ascii="Arial Narrow" w:hAnsi="Arial Narrow" w:cs="Arial"/>
          <w:color w:val="333333"/>
          <w:sz w:val="19"/>
          <w:szCs w:val="16"/>
        </w:rPr>
        <w:t>2</w:t>
      </w:r>
      <w:r w:rsidRPr="00D62247">
        <w:rPr>
          <w:rFonts w:ascii="Arial Narrow" w:hAnsi="Arial Narrow" w:cs="Arial"/>
          <w:color w:val="333333"/>
          <w:sz w:val="19"/>
          <w:szCs w:val="16"/>
        </w:rPr>
        <w:t xml:space="preserve"> e Dicembre 201</w:t>
      </w:r>
      <w:r>
        <w:rPr>
          <w:rFonts w:ascii="Arial Narrow" w:hAnsi="Arial Narrow" w:cs="Arial"/>
          <w:color w:val="333333"/>
          <w:sz w:val="19"/>
          <w:szCs w:val="16"/>
        </w:rPr>
        <w:t>3</w:t>
      </w:r>
      <w:r w:rsidR="00E77D7E">
        <w:rPr>
          <w:rFonts w:ascii="Arial Narrow" w:hAnsi="Arial Narrow" w:cs="Arial"/>
          <w:color w:val="333333"/>
          <w:sz w:val="19"/>
          <w:szCs w:val="16"/>
        </w:rPr>
        <w:t>.</w:t>
      </w:r>
    </w:p>
    <w:tbl>
      <w:tblPr>
        <w:tblW w:w="8783" w:type="dxa"/>
        <w:tblInd w:w="1908" w:type="dxa"/>
        <w:tblBorders>
          <w:top w:val="single" w:sz="4" w:space="0" w:color="333333"/>
          <w:bottom w:val="single" w:sz="4" w:space="0" w:color="333333"/>
          <w:insideH w:val="single" w:sz="4" w:space="0" w:color="333333"/>
        </w:tblBorders>
        <w:tblLook w:val="01E0" w:firstRow="1" w:lastRow="1" w:firstColumn="1" w:lastColumn="1" w:noHBand="0" w:noVBand="0"/>
      </w:tblPr>
      <w:tblGrid>
        <w:gridCol w:w="3684"/>
        <w:gridCol w:w="1700"/>
        <w:gridCol w:w="1700"/>
        <w:gridCol w:w="1699"/>
      </w:tblGrid>
      <w:tr w:rsidR="00192B0D" w:rsidRPr="00D62247" w:rsidTr="007D750D">
        <w:trPr>
          <w:trHeight w:val="320"/>
        </w:trPr>
        <w:tc>
          <w:tcPr>
            <w:tcW w:w="2097" w:type="pct"/>
            <w:vAlign w:val="center"/>
          </w:tcPr>
          <w:p w:rsidR="00604101" w:rsidRPr="00D62247" w:rsidRDefault="00604101" w:rsidP="00737A56">
            <w:pPr>
              <w:spacing w:before="40" w:after="20"/>
              <w:ind w:left="-57"/>
              <w:rPr>
                <w:rFonts w:ascii="Arial Narrow" w:hAnsi="Arial Narrow" w:cs="Arial"/>
                <w:sz w:val="18"/>
                <w:szCs w:val="16"/>
              </w:rPr>
            </w:pPr>
            <w:r w:rsidRPr="00D62247">
              <w:rPr>
                <w:rFonts w:ascii="Arial Narrow" w:hAnsi="Arial Narrow" w:cs="Arial"/>
                <w:b/>
                <w:sz w:val="18"/>
                <w:szCs w:val="16"/>
              </w:rPr>
              <w:t>Raggruppamenti principali di industrie</w:t>
            </w:r>
          </w:p>
        </w:tc>
        <w:tc>
          <w:tcPr>
            <w:tcW w:w="968" w:type="pct"/>
            <w:shd w:val="clear" w:color="auto" w:fill="E6E6E6"/>
            <w:vAlign w:val="center"/>
          </w:tcPr>
          <w:p w:rsidR="00604101" w:rsidRPr="00D62247" w:rsidRDefault="00604101" w:rsidP="00737A56">
            <w:pPr>
              <w:spacing w:before="40" w:after="20"/>
              <w:ind w:right="255"/>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2</w:t>
            </w:r>
          </w:p>
        </w:tc>
        <w:tc>
          <w:tcPr>
            <w:tcW w:w="968" w:type="pct"/>
            <w:vAlign w:val="center"/>
          </w:tcPr>
          <w:p w:rsidR="00604101" w:rsidRPr="00D62247" w:rsidRDefault="00604101" w:rsidP="00737A56">
            <w:pPr>
              <w:spacing w:before="40" w:after="20"/>
              <w:ind w:right="255"/>
              <w:jc w:val="right"/>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c>
          <w:tcPr>
            <w:tcW w:w="967" w:type="pct"/>
            <w:shd w:val="clear" w:color="auto" w:fill="E6E6E6"/>
            <w:vAlign w:val="center"/>
          </w:tcPr>
          <w:p w:rsidR="00604101" w:rsidRPr="00D62247" w:rsidRDefault="00604101" w:rsidP="00737A56">
            <w:pPr>
              <w:spacing w:before="40" w:after="20"/>
              <w:ind w:right="72"/>
              <w:jc w:val="right"/>
              <w:rPr>
                <w:rFonts w:ascii="Arial Narrow" w:hAnsi="Arial Narrow" w:cs="Arial"/>
                <w:b/>
                <w:sz w:val="18"/>
                <w:szCs w:val="16"/>
              </w:rPr>
            </w:pPr>
            <w:r w:rsidRPr="00D62247">
              <w:rPr>
                <w:rFonts w:ascii="Arial Narrow" w:hAnsi="Arial Narrow" w:cs="Arial"/>
                <w:b/>
                <w:sz w:val="18"/>
                <w:szCs w:val="16"/>
              </w:rPr>
              <w:t>Differenza assoluta</w:t>
            </w:r>
          </w:p>
        </w:tc>
      </w:tr>
      <w:tr w:rsidR="00B32AC7" w:rsidRPr="00D62247" w:rsidTr="007D750D">
        <w:tc>
          <w:tcPr>
            <w:tcW w:w="2097" w:type="pct"/>
            <w:vAlign w:val="bottom"/>
          </w:tcPr>
          <w:p w:rsidR="00B32AC7" w:rsidRPr="00D62247" w:rsidRDefault="00B32AC7" w:rsidP="00737A56">
            <w:pPr>
              <w:spacing w:before="40" w:after="20"/>
              <w:ind w:left="-57"/>
              <w:rPr>
                <w:rFonts w:ascii="Arial Narrow" w:hAnsi="Arial Narrow" w:cs="Arial"/>
                <w:sz w:val="18"/>
                <w:szCs w:val="16"/>
              </w:rPr>
            </w:pPr>
            <w:r w:rsidRPr="00D62247">
              <w:rPr>
                <w:rFonts w:ascii="Arial Narrow" w:hAnsi="Arial Narrow" w:cs="Arial"/>
                <w:sz w:val="18"/>
                <w:szCs w:val="16"/>
              </w:rPr>
              <w:t>Beni di consumo</w:t>
            </w:r>
          </w:p>
        </w:tc>
        <w:tc>
          <w:tcPr>
            <w:tcW w:w="968" w:type="pct"/>
            <w:shd w:val="clear" w:color="auto" w:fill="E6E6E6"/>
            <w:vAlign w:val="bottom"/>
          </w:tcPr>
          <w:p w:rsidR="00B32AC7" w:rsidRPr="00690734" w:rsidRDefault="00B32AC7" w:rsidP="00690734">
            <w:pPr>
              <w:spacing w:before="40" w:after="20"/>
              <w:ind w:right="255"/>
              <w:jc w:val="right"/>
              <w:rPr>
                <w:rFonts w:ascii="Arial Narrow" w:hAnsi="Arial Narrow" w:cs="Arial"/>
                <w:sz w:val="18"/>
                <w:szCs w:val="16"/>
              </w:rPr>
            </w:pPr>
            <w:r w:rsidRPr="00690734">
              <w:rPr>
                <w:rFonts w:ascii="Arial Narrow" w:hAnsi="Arial Narrow" w:cs="Arial"/>
                <w:sz w:val="18"/>
                <w:szCs w:val="16"/>
              </w:rPr>
              <w:t>24,3903</w:t>
            </w:r>
          </w:p>
        </w:tc>
        <w:tc>
          <w:tcPr>
            <w:tcW w:w="968" w:type="pct"/>
            <w:vAlign w:val="bottom"/>
          </w:tcPr>
          <w:p w:rsidR="00B32AC7" w:rsidRPr="00B32AC7" w:rsidRDefault="00B32AC7" w:rsidP="00B32AC7">
            <w:pPr>
              <w:spacing w:before="40" w:after="20"/>
              <w:ind w:right="255"/>
              <w:jc w:val="right"/>
              <w:rPr>
                <w:rFonts w:ascii="Arial Narrow" w:hAnsi="Arial Narrow" w:cs="Arial"/>
                <w:sz w:val="18"/>
                <w:szCs w:val="16"/>
              </w:rPr>
            </w:pPr>
            <w:r w:rsidRPr="00B32AC7">
              <w:rPr>
                <w:rFonts w:ascii="Arial Narrow" w:hAnsi="Arial Narrow" w:cs="Arial"/>
                <w:sz w:val="18"/>
                <w:szCs w:val="16"/>
              </w:rPr>
              <w:t>24,6850</w:t>
            </w:r>
          </w:p>
        </w:tc>
        <w:tc>
          <w:tcPr>
            <w:tcW w:w="967" w:type="pct"/>
            <w:shd w:val="clear" w:color="auto" w:fill="E6E6E6"/>
            <w:vAlign w:val="bottom"/>
          </w:tcPr>
          <w:p w:rsidR="00B32AC7" w:rsidRPr="00B32AC7" w:rsidRDefault="00B32AC7" w:rsidP="00B32AC7">
            <w:pPr>
              <w:spacing w:before="40" w:after="20"/>
              <w:ind w:right="255"/>
              <w:jc w:val="right"/>
              <w:rPr>
                <w:rFonts w:ascii="Arial Narrow" w:hAnsi="Arial Narrow" w:cs="Arial"/>
                <w:sz w:val="18"/>
                <w:szCs w:val="16"/>
              </w:rPr>
            </w:pPr>
            <w:r>
              <w:rPr>
                <w:rFonts w:ascii="Arial Narrow" w:hAnsi="Arial Narrow" w:cs="Arial"/>
                <w:sz w:val="18"/>
                <w:szCs w:val="16"/>
              </w:rPr>
              <w:t>+</w:t>
            </w:r>
            <w:r w:rsidRPr="00B32AC7">
              <w:rPr>
                <w:rFonts w:ascii="Arial Narrow" w:hAnsi="Arial Narrow" w:cs="Arial"/>
                <w:sz w:val="18"/>
                <w:szCs w:val="16"/>
              </w:rPr>
              <w:t>0,2947</w:t>
            </w:r>
          </w:p>
        </w:tc>
      </w:tr>
      <w:tr w:rsidR="00B32AC7" w:rsidRPr="00D62247" w:rsidTr="007D750D">
        <w:tc>
          <w:tcPr>
            <w:tcW w:w="2097" w:type="pct"/>
            <w:vAlign w:val="bottom"/>
          </w:tcPr>
          <w:p w:rsidR="00B32AC7" w:rsidRPr="00D62247" w:rsidRDefault="00B32AC7" w:rsidP="00737A56">
            <w:pPr>
              <w:spacing w:before="40" w:after="20"/>
              <w:rPr>
                <w:rFonts w:ascii="Arial Narrow" w:hAnsi="Arial Narrow" w:cs="Arial"/>
                <w:i/>
                <w:sz w:val="18"/>
                <w:szCs w:val="16"/>
              </w:rPr>
            </w:pPr>
            <w:r w:rsidRPr="00D62247">
              <w:rPr>
                <w:rFonts w:ascii="Arial Narrow" w:hAnsi="Arial Narrow" w:cs="Arial"/>
                <w:i/>
                <w:sz w:val="18"/>
                <w:szCs w:val="16"/>
              </w:rPr>
              <w:t xml:space="preserve">  durevoli</w:t>
            </w:r>
          </w:p>
        </w:tc>
        <w:tc>
          <w:tcPr>
            <w:tcW w:w="968" w:type="pct"/>
            <w:shd w:val="clear" w:color="auto" w:fill="E6E6E6"/>
            <w:vAlign w:val="bottom"/>
          </w:tcPr>
          <w:p w:rsidR="00B32AC7" w:rsidRPr="00B32AC7" w:rsidRDefault="00B32AC7" w:rsidP="00690734">
            <w:pPr>
              <w:spacing w:before="40" w:after="20"/>
              <w:ind w:right="255"/>
              <w:jc w:val="right"/>
              <w:rPr>
                <w:rFonts w:ascii="Arial Narrow" w:hAnsi="Arial Narrow" w:cs="Arial"/>
                <w:i/>
                <w:sz w:val="18"/>
                <w:szCs w:val="16"/>
              </w:rPr>
            </w:pPr>
            <w:r w:rsidRPr="00B32AC7">
              <w:rPr>
                <w:rFonts w:ascii="Arial Narrow" w:hAnsi="Arial Narrow" w:cs="Arial"/>
                <w:i/>
                <w:sz w:val="18"/>
                <w:szCs w:val="16"/>
              </w:rPr>
              <w:t>3,9349</w:t>
            </w:r>
          </w:p>
        </w:tc>
        <w:tc>
          <w:tcPr>
            <w:tcW w:w="968" w:type="pct"/>
            <w:vAlign w:val="bottom"/>
          </w:tcPr>
          <w:p w:rsidR="00B32AC7" w:rsidRPr="00B32AC7" w:rsidRDefault="00B32AC7" w:rsidP="00B32AC7">
            <w:pPr>
              <w:spacing w:before="40" w:after="20"/>
              <w:ind w:right="255"/>
              <w:jc w:val="right"/>
              <w:rPr>
                <w:rFonts w:ascii="Arial Narrow" w:hAnsi="Arial Narrow" w:cs="Arial"/>
                <w:i/>
                <w:sz w:val="18"/>
                <w:szCs w:val="16"/>
              </w:rPr>
            </w:pPr>
            <w:r w:rsidRPr="00B32AC7">
              <w:rPr>
                <w:rFonts w:ascii="Arial Narrow" w:hAnsi="Arial Narrow" w:cs="Arial"/>
                <w:i/>
                <w:sz w:val="18"/>
                <w:szCs w:val="16"/>
              </w:rPr>
              <w:t>3,5814</w:t>
            </w:r>
          </w:p>
        </w:tc>
        <w:tc>
          <w:tcPr>
            <w:tcW w:w="967" w:type="pct"/>
            <w:shd w:val="clear" w:color="auto" w:fill="E6E6E6"/>
            <w:vAlign w:val="bottom"/>
          </w:tcPr>
          <w:p w:rsidR="00B32AC7" w:rsidRPr="00B32AC7" w:rsidRDefault="00B32AC7" w:rsidP="00B32AC7">
            <w:pPr>
              <w:spacing w:before="40" w:after="20"/>
              <w:ind w:right="255"/>
              <w:jc w:val="right"/>
              <w:rPr>
                <w:rFonts w:ascii="Arial Narrow" w:hAnsi="Arial Narrow" w:cs="Arial"/>
                <w:i/>
                <w:sz w:val="18"/>
                <w:szCs w:val="16"/>
              </w:rPr>
            </w:pPr>
            <w:r w:rsidRPr="00B32AC7">
              <w:rPr>
                <w:rFonts w:ascii="Arial Narrow" w:hAnsi="Arial Narrow" w:cs="Arial"/>
                <w:i/>
                <w:sz w:val="18"/>
                <w:szCs w:val="16"/>
              </w:rPr>
              <w:t>-0,3535</w:t>
            </w:r>
          </w:p>
        </w:tc>
      </w:tr>
      <w:tr w:rsidR="00B32AC7" w:rsidRPr="00D62247" w:rsidTr="007D750D">
        <w:tc>
          <w:tcPr>
            <w:tcW w:w="2097" w:type="pct"/>
            <w:vAlign w:val="bottom"/>
          </w:tcPr>
          <w:p w:rsidR="00B32AC7" w:rsidRPr="00D62247" w:rsidRDefault="00B32AC7" w:rsidP="00737A56">
            <w:pPr>
              <w:spacing w:before="40" w:after="20"/>
              <w:rPr>
                <w:rFonts w:ascii="Arial Narrow" w:hAnsi="Arial Narrow" w:cs="Arial"/>
                <w:i/>
                <w:sz w:val="18"/>
                <w:szCs w:val="16"/>
              </w:rPr>
            </w:pPr>
            <w:r w:rsidRPr="00D62247">
              <w:rPr>
                <w:rFonts w:ascii="Arial Narrow" w:hAnsi="Arial Narrow" w:cs="Arial"/>
                <w:i/>
                <w:sz w:val="18"/>
                <w:szCs w:val="16"/>
              </w:rPr>
              <w:t xml:space="preserve">  non durevoli</w:t>
            </w:r>
          </w:p>
        </w:tc>
        <w:tc>
          <w:tcPr>
            <w:tcW w:w="968" w:type="pct"/>
            <w:shd w:val="clear" w:color="auto" w:fill="E6E6E6"/>
            <w:vAlign w:val="bottom"/>
          </w:tcPr>
          <w:p w:rsidR="00B32AC7" w:rsidRPr="00B32AC7" w:rsidRDefault="00B32AC7" w:rsidP="00690734">
            <w:pPr>
              <w:spacing w:before="40" w:after="20"/>
              <w:ind w:right="255"/>
              <w:jc w:val="right"/>
              <w:rPr>
                <w:rFonts w:ascii="Arial Narrow" w:hAnsi="Arial Narrow" w:cs="Arial"/>
                <w:i/>
                <w:sz w:val="18"/>
                <w:szCs w:val="16"/>
              </w:rPr>
            </w:pPr>
            <w:r w:rsidRPr="00B32AC7">
              <w:rPr>
                <w:rFonts w:ascii="Arial Narrow" w:hAnsi="Arial Narrow" w:cs="Arial"/>
                <w:i/>
                <w:sz w:val="18"/>
                <w:szCs w:val="16"/>
              </w:rPr>
              <w:t>20,4554</w:t>
            </w:r>
          </w:p>
        </w:tc>
        <w:tc>
          <w:tcPr>
            <w:tcW w:w="968" w:type="pct"/>
            <w:vAlign w:val="bottom"/>
          </w:tcPr>
          <w:p w:rsidR="00B32AC7" w:rsidRPr="00B32AC7" w:rsidRDefault="00B32AC7" w:rsidP="00B32AC7">
            <w:pPr>
              <w:spacing w:before="40" w:after="20"/>
              <w:ind w:right="255"/>
              <w:jc w:val="right"/>
              <w:rPr>
                <w:rFonts w:ascii="Arial Narrow" w:hAnsi="Arial Narrow" w:cs="Arial"/>
                <w:i/>
                <w:sz w:val="18"/>
                <w:szCs w:val="16"/>
              </w:rPr>
            </w:pPr>
            <w:r w:rsidRPr="00B32AC7">
              <w:rPr>
                <w:rFonts w:ascii="Arial Narrow" w:hAnsi="Arial Narrow" w:cs="Arial"/>
                <w:i/>
                <w:sz w:val="18"/>
                <w:szCs w:val="16"/>
              </w:rPr>
              <w:t>21,1036</w:t>
            </w:r>
          </w:p>
        </w:tc>
        <w:tc>
          <w:tcPr>
            <w:tcW w:w="967" w:type="pct"/>
            <w:shd w:val="clear" w:color="auto" w:fill="E6E6E6"/>
            <w:vAlign w:val="bottom"/>
          </w:tcPr>
          <w:p w:rsidR="00B32AC7" w:rsidRPr="00B32AC7" w:rsidRDefault="00B32AC7" w:rsidP="00B32AC7">
            <w:pPr>
              <w:spacing w:before="40" w:after="20"/>
              <w:ind w:right="255"/>
              <w:jc w:val="right"/>
              <w:rPr>
                <w:rFonts w:ascii="Arial Narrow" w:hAnsi="Arial Narrow" w:cs="Arial"/>
                <w:i/>
                <w:sz w:val="18"/>
                <w:szCs w:val="16"/>
              </w:rPr>
            </w:pPr>
            <w:r>
              <w:rPr>
                <w:rFonts w:ascii="Arial Narrow" w:hAnsi="Arial Narrow" w:cs="Arial"/>
                <w:i/>
                <w:sz w:val="18"/>
                <w:szCs w:val="16"/>
              </w:rPr>
              <w:t>+</w:t>
            </w:r>
            <w:r w:rsidRPr="00B32AC7">
              <w:rPr>
                <w:rFonts w:ascii="Arial Narrow" w:hAnsi="Arial Narrow" w:cs="Arial"/>
                <w:i/>
                <w:sz w:val="18"/>
                <w:szCs w:val="16"/>
              </w:rPr>
              <w:t>0,6482</w:t>
            </w:r>
          </w:p>
        </w:tc>
      </w:tr>
      <w:tr w:rsidR="00B32AC7" w:rsidRPr="00D62247" w:rsidTr="007D750D">
        <w:tc>
          <w:tcPr>
            <w:tcW w:w="2097" w:type="pct"/>
            <w:vAlign w:val="bottom"/>
          </w:tcPr>
          <w:p w:rsidR="00B32AC7" w:rsidRPr="00D62247" w:rsidRDefault="00B32AC7" w:rsidP="00737A56">
            <w:pPr>
              <w:spacing w:before="40" w:after="20"/>
              <w:ind w:left="-57"/>
              <w:rPr>
                <w:rFonts w:ascii="Arial Narrow" w:hAnsi="Arial Narrow" w:cs="Arial"/>
                <w:sz w:val="18"/>
                <w:szCs w:val="16"/>
              </w:rPr>
            </w:pPr>
            <w:r w:rsidRPr="00D62247">
              <w:rPr>
                <w:rFonts w:ascii="Arial Narrow" w:hAnsi="Arial Narrow" w:cs="Arial"/>
                <w:sz w:val="18"/>
                <w:szCs w:val="16"/>
              </w:rPr>
              <w:t>Beni strumentali</w:t>
            </w:r>
          </w:p>
        </w:tc>
        <w:tc>
          <w:tcPr>
            <w:tcW w:w="968" w:type="pct"/>
            <w:shd w:val="clear" w:color="auto" w:fill="E6E6E6"/>
            <w:vAlign w:val="bottom"/>
          </w:tcPr>
          <w:p w:rsidR="00B32AC7" w:rsidRPr="00690734" w:rsidRDefault="00B32AC7" w:rsidP="00690734">
            <w:pPr>
              <w:spacing w:before="40" w:after="20"/>
              <w:ind w:right="255"/>
              <w:jc w:val="right"/>
              <w:rPr>
                <w:rFonts w:ascii="Arial Narrow" w:hAnsi="Arial Narrow" w:cs="Arial"/>
                <w:sz w:val="18"/>
                <w:szCs w:val="16"/>
              </w:rPr>
            </w:pPr>
            <w:r w:rsidRPr="00690734">
              <w:rPr>
                <w:rFonts w:ascii="Arial Narrow" w:hAnsi="Arial Narrow" w:cs="Arial"/>
                <w:sz w:val="18"/>
                <w:szCs w:val="16"/>
              </w:rPr>
              <w:t>20,8574</w:t>
            </w:r>
          </w:p>
        </w:tc>
        <w:tc>
          <w:tcPr>
            <w:tcW w:w="968" w:type="pct"/>
            <w:vAlign w:val="bottom"/>
          </w:tcPr>
          <w:p w:rsidR="00B32AC7" w:rsidRPr="00B32AC7" w:rsidRDefault="00B32AC7" w:rsidP="00B32AC7">
            <w:pPr>
              <w:spacing w:before="40" w:after="20"/>
              <w:ind w:right="255"/>
              <w:jc w:val="right"/>
              <w:rPr>
                <w:rFonts w:ascii="Arial Narrow" w:hAnsi="Arial Narrow" w:cs="Arial"/>
                <w:sz w:val="18"/>
                <w:szCs w:val="16"/>
              </w:rPr>
            </w:pPr>
            <w:r w:rsidRPr="00B32AC7">
              <w:rPr>
                <w:rFonts w:ascii="Arial Narrow" w:hAnsi="Arial Narrow" w:cs="Arial"/>
                <w:sz w:val="18"/>
                <w:szCs w:val="16"/>
              </w:rPr>
              <w:t>20,5405</w:t>
            </w:r>
          </w:p>
        </w:tc>
        <w:tc>
          <w:tcPr>
            <w:tcW w:w="967" w:type="pct"/>
            <w:shd w:val="clear" w:color="auto" w:fill="E6E6E6"/>
            <w:vAlign w:val="bottom"/>
          </w:tcPr>
          <w:p w:rsidR="00B32AC7" w:rsidRPr="00B32AC7" w:rsidRDefault="00B32AC7" w:rsidP="00B32AC7">
            <w:pPr>
              <w:spacing w:before="40" w:after="20"/>
              <w:ind w:right="255"/>
              <w:jc w:val="right"/>
              <w:rPr>
                <w:rFonts w:ascii="Arial Narrow" w:hAnsi="Arial Narrow" w:cs="Arial"/>
                <w:sz w:val="18"/>
                <w:szCs w:val="16"/>
              </w:rPr>
            </w:pPr>
            <w:r w:rsidRPr="00B32AC7">
              <w:rPr>
                <w:rFonts w:ascii="Arial Narrow" w:hAnsi="Arial Narrow" w:cs="Arial"/>
                <w:sz w:val="18"/>
                <w:szCs w:val="16"/>
              </w:rPr>
              <w:t>-0,3169</w:t>
            </w:r>
          </w:p>
        </w:tc>
      </w:tr>
      <w:tr w:rsidR="00B32AC7" w:rsidRPr="00D62247" w:rsidTr="007D750D">
        <w:tc>
          <w:tcPr>
            <w:tcW w:w="2097" w:type="pct"/>
            <w:vAlign w:val="bottom"/>
          </w:tcPr>
          <w:p w:rsidR="00B32AC7" w:rsidRPr="00D62247" w:rsidRDefault="00B32AC7" w:rsidP="00737A56">
            <w:pPr>
              <w:spacing w:before="40" w:after="20"/>
              <w:ind w:left="-57"/>
              <w:rPr>
                <w:rFonts w:ascii="Arial Narrow" w:hAnsi="Arial Narrow" w:cs="Arial"/>
                <w:sz w:val="18"/>
                <w:szCs w:val="16"/>
              </w:rPr>
            </w:pPr>
            <w:r w:rsidRPr="00D62247">
              <w:rPr>
                <w:rFonts w:ascii="Arial Narrow" w:hAnsi="Arial Narrow" w:cs="Arial"/>
                <w:sz w:val="18"/>
                <w:szCs w:val="16"/>
              </w:rPr>
              <w:t>Beni intermedi</w:t>
            </w:r>
          </w:p>
        </w:tc>
        <w:tc>
          <w:tcPr>
            <w:tcW w:w="968" w:type="pct"/>
            <w:shd w:val="clear" w:color="auto" w:fill="E6E6E6"/>
            <w:vAlign w:val="bottom"/>
          </w:tcPr>
          <w:p w:rsidR="00B32AC7" w:rsidRPr="00690734" w:rsidRDefault="00B32AC7" w:rsidP="00690734">
            <w:pPr>
              <w:spacing w:before="40" w:after="20"/>
              <w:ind w:right="255"/>
              <w:jc w:val="right"/>
              <w:rPr>
                <w:rFonts w:ascii="Arial Narrow" w:hAnsi="Arial Narrow" w:cs="Arial"/>
                <w:sz w:val="18"/>
                <w:szCs w:val="16"/>
              </w:rPr>
            </w:pPr>
            <w:r w:rsidRPr="00690734">
              <w:rPr>
                <w:rFonts w:ascii="Arial Narrow" w:hAnsi="Arial Narrow" w:cs="Arial"/>
                <w:sz w:val="18"/>
                <w:szCs w:val="16"/>
              </w:rPr>
              <w:t>28,7407</w:t>
            </w:r>
          </w:p>
        </w:tc>
        <w:tc>
          <w:tcPr>
            <w:tcW w:w="968" w:type="pct"/>
            <w:vAlign w:val="bottom"/>
          </w:tcPr>
          <w:p w:rsidR="00B32AC7" w:rsidRPr="00B32AC7" w:rsidRDefault="00B32AC7" w:rsidP="00B32AC7">
            <w:pPr>
              <w:spacing w:before="40" w:after="20"/>
              <w:ind w:right="255"/>
              <w:jc w:val="right"/>
              <w:rPr>
                <w:rFonts w:ascii="Arial Narrow" w:hAnsi="Arial Narrow" w:cs="Arial"/>
                <w:sz w:val="18"/>
                <w:szCs w:val="16"/>
              </w:rPr>
            </w:pPr>
            <w:r w:rsidRPr="00B32AC7">
              <w:rPr>
                <w:rFonts w:ascii="Arial Narrow" w:hAnsi="Arial Narrow" w:cs="Arial"/>
                <w:sz w:val="18"/>
                <w:szCs w:val="16"/>
              </w:rPr>
              <w:t>29,1539</w:t>
            </w:r>
          </w:p>
        </w:tc>
        <w:tc>
          <w:tcPr>
            <w:tcW w:w="967" w:type="pct"/>
            <w:shd w:val="clear" w:color="auto" w:fill="E6E6E6"/>
            <w:vAlign w:val="bottom"/>
          </w:tcPr>
          <w:p w:rsidR="00B32AC7" w:rsidRPr="00B32AC7" w:rsidRDefault="00B32AC7" w:rsidP="00B32AC7">
            <w:pPr>
              <w:spacing w:before="40" w:after="20"/>
              <w:ind w:right="255"/>
              <w:jc w:val="right"/>
              <w:rPr>
                <w:rFonts w:ascii="Arial Narrow" w:hAnsi="Arial Narrow" w:cs="Arial"/>
                <w:sz w:val="18"/>
                <w:szCs w:val="16"/>
              </w:rPr>
            </w:pPr>
            <w:r>
              <w:rPr>
                <w:rFonts w:ascii="Arial Narrow" w:hAnsi="Arial Narrow" w:cs="Arial"/>
                <w:sz w:val="18"/>
                <w:szCs w:val="16"/>
              </w:rPr>
              <w:t>+</w:t>
            </w:r>
            <w:r w:rsidRPr="00B32AC7">
              <w:rPr>
                <w:rFonts w:ascii="Arial Narrow" w:hAnsi="Arial Narrow" w:cs="Arial"/>
                <w:sz w:val="18"/>
                <w:szCs w:val="16"/>
              </w:rPr>
              <w:t>0,4132</w:t>
            </w:r>
          </w:p>
        </w:tc>
      </w:tr>
      <w:tr w:rsidR="00B32AC7" w:rsidRPr="00D62247" w:rsidTr="007D750D">
        <w:tc>
          <w:tcPr>
            <w:tcW w:w="2097" w:type="pct"/>
            <w:tcBorders>
              <w:bottom w:val="single" w:sz="4" w:space="0" w:color="333333"/>
            </w:tcBorders>
            <w:vAlign w:val="bottom"/>
          </w:tcPr>
          <w:p w:rsidR="00B32AC7" w:rsidRPr="00D62247" w:rsidRDefault="00B32AC7" w:rsidP="00737A56">
            <w:pPr>
              <w:spacing w:before="40" w:after="20"/>
              <w:ind w:left="-57"/>
              <w:rPr>
                <w:rFonts w:ascii="Arial Narrow" w:hAnsi="Arial Narrow" w:cs="Arial"/>
                <w:sz w:val="18"/>
                <w:szCs w:val="16"/>
              </w:rPr>
            </w:pPr>
            <w:r w:rsidRPr="00D62247">
              <w:rPr>
                <w:rFonts w:ascii="Arial Narrow" w:hAnsi="Arial Narrow" w:cs="Arial"/>
                <w:sz w:val="18"/>
                <w:szCs w:val="16"/>
              </w:rPr>
              <w:t>Energia</w:t>
            </w:r>
          </w:p>
        </w:tc>
        <w:tc>
          <w:tcPr>
            <w:tcW w:w="968" w:type="pct"/>
            <w:tcBorders>
              <w:bottom w:val="single" w:sz="4" w:space="0" w:color="333333"/>
            </w:tcBorders>
            <w:shd w:val="clear" w:color="auto" w:fill="E6E6E6"/>
            <w:vAlign w:val="bottom"/>
          </w:tcPr>
          <w:p w:rsidR="00B32AC7" w:rsidRPr="00690734" w:rsidRDefault="00B32AC7" w:rsidP="00690734">
            <w:pPr>
              <w:spacing w:before="40" w:after="20"/>
              <w:ind w:right="255"/>
              <w:jc w:val="right"/>
              <w:rPr>
                <w:rFonts w:ascii="Arial Narrow" w:hAnsi="Arial Narrow" w:cs="Arial"/>
                <w:sz w:val="18"/>
                <w:szCs w:val="16"/>
              </w:rPr>
            </w:pPr>
            <w:r w:rsidRPr="00690734">
              <w:rPr>
                <w:rFonts w:ascii="Arial Narrow" w:hAnsi="Arial Narrow" w:cs="Arial"/>
                <w:sz w:val="18"/>
                <w:szCs w:val="16"/>
              </w:rPr>
              <w:t>26,0115</w:t>
            </w:r>
          </w:p>
        </w:tc>
        <w:tc>
          <w:tcPr>
            <w:tcW w:w="968" w:type="pct"/>
            <w:tcBorders>
              <w:bottom w:val="single" w:sz="4" w:space="0" w:color="333333"/>
            </w:tcBorders>
            <w:vAlign w:val="bottom"/>
          </w:tcPr>
          <w:p w:rsidR="00B32AC7" w:rsidRPr="00B32AC7" w:rsidRDefault="00B32AC7" w:rsidP="00B32AC7">
            <w:pPr>
              <w:spacing w:before="40" w:after="20"/>
              <w:ind w:right="255"/>
              <w:jc w:val="right"/>
              <w:rPr>
                <w:rFonts w:ascii="Arial Narrow" w:hAnsi="Arial Narrow" w:cs="Arial"/>
                <w:sz w:val="18"/>
                <w:szCs w:val="16"/>
              </w:rPr>
            </w:pPr>
            <w:r w:rsidRPr="00B32AC7">
              <w:rPr>
                <w:rFonts w:ascii="Arial Narrow" w:hAnsi="Arial Narrow" w:cs="Arial"/>
                <w:sz w:val="18"/>
                <w:szCs w:val="16"/>
              </w:rPr>
              <w:t>25,6205</w:t>
            </w:r>
          </w:p>
        </w:tc>
        <w:tc>
          <w:tcPr>
            <w:tcW w:w="967" w:type="pct"/>
            <w:tcBorders>
              <w:bottom w:val="single" w:sz="4" w:space="0" w:color="333333"/>
            </w:tcBorders>
            <w:shd w:val="clear" w:color="auto" w:fill="E6E6E6"/>
            <w:vAlign w:val="bottom"/>
          </w:tcPr>
          <w:p w:rsidR="00B32AC7" w:rsidRPr="00B32AC7" w:rsidRDefault="00B32AC7" w:rsidP="00B32AC7">
            <w:pPr>
              <w:spacing w:before="40" w:after="20"/>
              <w:ind w:right="255"/>
              <w:jc w:val="right"/>
              <w:rPr>
                <w:rFonts w:ascii="Arial Narrow" w:hAnsi="Arial Narrow" w:cs="Arial"/>
                <w:sz w:val="18"/>
                <w:szCs w:val="16"/>
              </w:rPr>
            </w:pPr>
            <w:r w:rsidRPr="00B32AC7">
              <w:rPr>
                <w:rFonts w:ascii="Arial Narrow" w:hAnsi="Arial Narrow" w:cs="Arial"/>
                <w:sz w:val="18"/>
                <w:szCs w:val="16"/>
              </w:rPr>
              <w:t>-0,3910</w:t>
            </w:r>
          </w:p>
        </w:tc>
      </w:tr>
      <w:tr w:rsidR="00192B0D" w:rsidRPr="00D62247" w:rsidTr="007D750D">
        <w:tc>
          <w:tcPr>
            <w:tcW w:w="2097" w:type="pct"/>
            <w:shd w:val="clear" w:color="auto" w:fill="99CC00"/>
            <w:vAlign w:val="bottom"/>
          </w:tcPr>
          <w:p w:rsidR="00604101" w:rsidRPr="00D62247" w:rsidRDefault="00604101" w:rsidP="00737A56">
            <w:pPr>
              <w:spacing w:before="40" w:after="20"/>
              <w:ind w:left="-57"/>
              <w:rPr>
                <w:rFonts w:ascii="Arial Narrow" w:hAnsi="Arial Narrow" w:cs="Arial"/>
                <w:b/>
                <w:color w:val="FFFFFF"/>
                <w:sz w:val="18"/>
                <w:szCs w:val="16"/>
              </w:rPr>
            </w:pPr>
            <w:r w:rsidRPr="00D62247">
              <w:rPr>
                <w:rFonts w:ascii="Arial Narrow" w:hAnsi="Arial Narrow" w:cs="Arial"/>
                <w:b/>
                <w:color w:val="FFFFFF"/>
                <w:sz w:val="18"/>
                <w:szCs w:val="16"/>
              </w:rPr>
              <w:t>Totale</w:t>
            </w:r>
          </w:p>
        </w:tc>
        <w:tc>
          <w:tcPr>
            <w:tcW w:w="968" w:type="pct"/>
            <w:shd w:val="clear" w:color="auto" w:fill="99CC00"/>
          </w:tcPr>
          <w:p w:rsidR="00604101" w:rsidRPr="000D10E0" w:rsidRDefault="00604101" w:rsidP="00690734">
            <w:pPr>
              <w:spacing w:before="40" w:after="20"/>
              <w:ind w:right="255"/>
              <w:jc w:val="right"/>
              <w:rPr>
                <w:rFonts w:ascii="Arial Narrow" w:hAnsi="Arial Narrow" w:cs="Arial"/>
                <w:b/>
                <w:color w:val="FFFFFF"/>
                <w:sz w:val="18"/>
                <w:szCs w:val="16"/>
              </w:rPr>
            </w:pPr>
            <w:r w:rsidRPr="000D10E0">
              <w:rPr>
                <w:rFonts w:ascii="Arial Narrow" w:hAnsi="Arial Narrow" w:cs="Arial"/>
                <w:b/>
                <w:color w:val="FFFFFF"/>
                <w:sz w:val="18"/>
                <w:szCs w:val="16"/>
              </w:rPr>
              <w:t>100,0000</w:t>
            </w:r>
          </w:p>
        </w:tc>
        <w:tc>
          <w:tcPr>
            <w:tcW w:w="968" w:type="pct"/>
            <w:shd w:val="clear" w:color="auto" w:fill="99CC00"/>
          </w:tcPr>
          <w:p w:rsidR="00604101" w:rsidRPr="000D10E0" w:rsidRDefault="00604101" w:rsidP="00690734">
            <w:pPr>
              <w:spacing w:before="40" w:after="20"/>
              <w:ind w:right="255"/>
              <w:jc w:val="right"/>
              <w:rPr>
                <w:rFonts w:ascii="Arial Narrow" w:hAnsi="Arial Narrow" w:cs="Arial"/>
                <w:b/>
                <w:color w:val="FFFFFF"/>
                <w:sz w:val="18"/>
                <w:szCs w:val="16"/>
              </w:rPr>
            </w:pPr>
            <w:r w:rsidRPr="000D10E0">
              <w:rPr>
                <w:rFonts w:ascii="Arial Narrow" w:hAnsi="Arial Narrow" w:cs="Arial"/>
                <w:b/>
                <w:color w:val="FFFFFF"/>
                <w:sz w:val="18"/>
                <w:szCs w:val="16"/>
              </w:rPr>
              <w:t>100,0000</w:t>
            </w:r>
          </w:p>
        </w:tc>
        <w:tc>
          <w:tcPr>
            <w:tcW w:w="967" w:type="pct"/>
            <w:shd w:val="clear" w:color="auto" w:fill="99CC00"/>
          </w:tcPr>
          <w:p w:rsidR="00604101" w:rsidRPr="00690734" w:rsidRDefault="00604101" w:rsidP="00690734">
            <w:pPr>
              <w:spacing w:before="40" w:after="20"/>
              <w:ind w:left="-57" w:right="255"/>
              <w:jc w:val="right"/>
              <w:rPr>
                <w:rFonts w:ascii="Arial Narrow" w:hAnsi="Arial Narrow" w:cs="Arial"/>
                <w:sz w:val="18"/>
                <w:szCs w:val="16"/>
              </w:rPr>
            </w:pPr>
          </w:p>
        </w:tc>
      </w:tr>
    </w:tbl>
    <w:p w:rsidR="00604101" w:rsidRDefault="00604101" w:rsidP="00604101">
      <w:pPr>
        <w:spacing w:after="120"/>
        <w:ind w:left="1797"/>
        <w:jc w:val="both"/>
        <w:rPr>
          <w:rFonts w:ascii="Arial" w:hAnsi="Arial" w:cs="Arial"/>
          <w:sz w:val="20"/>
          <w:szCs w:val="20"/>
        </w:rPr>
      </w:pPr>
    </w:p>
    <w:p w:rsidR="00B429FA" w:rsidRDefault="00B429FA" w:rsidP="007D5D22">
      <w:pPr>
        <w:spacing w:after="120"/>
        <w:ind w:left="1797"/>
        <w:jc w:val="both"/>
        <w:rPr>
          <w:rFonts w:ascii="Arial" w:hAnsi="Arial" w:cs="Arial"/>
          <w:sz w:val="20"/>
          <w:szCs w:val="20"/>
        </w:rPr>
      </w:pPr>
      <w:r w:rsidRPr="007B6829">
        <w:rPr>
          <w:rFonts w:ascii="Arial" w:hAnsi="Arial" w:cs="Arial"/>
          <w:sz w:val="20"/>
          <w:szCs w:val="20"/>
        </w:rPr>
        <w:t>Le modifiche delle strutture di ponderazione degli indici possono essere esaminate considerando le quote interne, per ciascun aggregato settoriale, delle diverse componenti: area euro e area non euro, da un lato, mercato interno e mercato estero, dall’altro (Prospetto 10).</w:t>
      </w:r>
    </w:p>
    <w:p w:rsidR="007D5D22" w:rsidRPr="00D62247" w:rsidRDefault="007D5D22" w:rsidP="007D5D22">
      <w:pPr>
        <w:spacing w:after="120"/>
        <w:ind w:left="1797"/>
        <w:jc w:val="both"/>
        <w:rPr>
          <w:rFonts w:ascii="Arial" w:hAnsi="Arial" w:cs="Arial"/>
          <w:sz w:val="20"/>
          <w:szCs w:val="20"/>
        </w:rPr>
      </w:pPr>
    </w:p>
    <w:p w:rsidR="00604101" w:rsidRPr="00D62247" w:rsidRDefault="00604101" w:rsidP="00604101">
      <w:pPr>
        <w:spacing w:after="120"/>
        <w:ind w:left="1814"/>
        <w:jc w:val="both"/>
        <w:rPr>
          <w:rFonts w:ascii="Arial Narrow" w:hAnsi="Arial Narrow" w:cs="Arial"/>
          <w:color w:val="333333"/>
          <w:sz w:val="19"/>
          <w:szCs w:val="16"/>
        </w:rPr>
      </w:pPr>
      <w:r w:rsidRPr="00D62247">
        <w:rPr>
          <w:rFonts w:ascii="Arial Narrow" w:hAnsi="Arial Narrow" w:cs="Arial"/>
          <w:b/>
          <w:caps/>
          <w:color w:val="777777"/>
          <w:sz w:val="20"/>
          <w:szCs w:val="16"/>
        </w:rPr>
        <w:t xml:space="preserve">Prospetto 10. Prezzi alla produzione dei prodotti industriali. Indice estero e indice totale. </w:t>
      </w:r>
      <w:r w:rsidRPr="00D62247">
        <w:rPr>
          <w:rFonts w:ascii="Arial Narrow" w:hAnsi="Arial Narrow" w:cs="Arial"/>
          <w:color w:val="333333"/>
          <w:sz w:val="19"/>
          <w:szCs w:val="16"/>
        </w:rPr>
        <w:t>Confronto tra i rapporti di composizione delle basi di calcolo Dicembre 201</w:t>
      </w:r>
      <w:r>
        <w:rPr>
          <w:rFonts w:ascii="Arial Narrow" w:hAnsi="Arial Narrow" w:cs="Arial"/>
          <w:color w:val="333333"/>
          <w:sz w:val="19"/>
          <w:szCs w:val="16"/>
        </w:rPr>
        <w:t>2</w:t>
      </w:r>
      <w:r w:rsidRPr="00D62247">
        <w:rPr>
          <w:rFonts w:ascii="Arial Narrow" w:hAnsi="Arial Narrow" w:cs="Arial"/>
          <w:color w:val="333333"/>
          <w:sz w:val="19"/>
          <w:szCs w:val="16"/>
        </w:rPr>
        <w:t xml:space="preserve"> e Dicembre 201</w:t>
      </w:r>
      <w:r>
        <w:rPr>
          <w:rFonts w:ascii="Arial Narrow" w:hAnsi="Arial Narrow" w:cs="Arial"/>
          <w:color w:val="333333"/>
          <w:sz w:val="19"/>
          <w:szCs w:val="16"/>
        </w:rPr>
        <w:t>3</w:t>
      </w:r>
      <w:r w:rsidRPr="00D62247">
        <w:rPr>
          <w:rFonts w:ascii="Arial Narrow" w:hAnsi="Arial Narrow" w:cs="Arial"/>
          <w:color w:val="333333"/>
          <w:sz w:val="19"/>
          <w:szCs w:val="16"/>
        </w:rPr>
        <w:t>.</w:t>
      </w:r>
    </w:p>
    <w:tbl>
      <w:tblPr>
        <w:tblW w:w="8703" w:type="dxa"/>
        <w:tblInd w:w="1908" w:type="dxa"/>
        <w:tblBorders>
          <w:top w:val="single" w:sz="4" w:space="0" w:color="333333"/>
          <w:bottom w:val="single" w:sz="4" w:space="0" w:color="333333"/>
          <w:insideH w:val="single" w:sz="4" w:space="0" w:color="333333"/>
        </w:tblBorders>
        <w:tblLayout w:type="fixed"/>
        <w:tblLook w:val="01E0" w:firstRow="1" w:lastRow="1" w:firstColumn="1" w:lastColumn="1" w:noHBand="0" w:noVBand="0"/>
      </w:tblPr>
      <w:tblGrid>
        <w:gridCol w:w="1928"/>
        <w:gridCol w:w="821"/>
        <w:gridCol w:w="851"/>
        <w:gridCol w:w="850"/>
        <w:gridCol w:w="992"/>
        <w:gridCol w:w="750"/>
        <w:gridCol w:w="810"/>
        <w:gridCol w:w="891"/>
        <w:gridCol w:w="810"/>
      </w:tblGrid>
      <w:tr w:rsidR="00604101" w:rsidRPr="00D62247" w:rsidTr="007D750D">
        <w:trPr>
          <w:cantSplit/>
          <w:trHeight w:val="255"/>
        </w:trPr>
        <w:tc>
          <w:tcPr>
            <w:tcW w:w="1928" w:type="dxa"/>
            <w:vMerge w:val="restart"/>
            <w:vAlign w:val="center"/>
          </w:tcPr>
          <w:p w:rsidR="00604101" w:rsidRPr="00D62247" w:rsidRDefault="00604101" w:rsidP="00737A56">
            <w:pPr>
              <w:spacing w:before="40" w:after="20"/>
              <w:ind w:left="-57"/>
              <w:rPr>
                <w:rFonts w:ascii="Arial Narrow" w:hAnsi="Arial Narrow" w:cs="Arial"/>
                <w:b/>
                <w:bCs/>
                <w:sz w:val="18"/>
                <w:szCs w:val="16"/>
              </w:rPr>
            </w:pPr>
            <w:r w:rsidRPr="00D62247">
              <w:rPr>
                <w:rFonts w:ascii="Arial Narrow" w:hAnsi="Arial Narrow" w:cs="Arial"/>
                <w:b/>
                <w:sz w:val="18"/>
                <w:szCs w:val="16"/>
              </w:rPr>
              <w:t xml:space="preserve">Raggruppamenti principali </w:t>
            </w:r>
            <w:r w:rsidRPr="00D62247">
              <w:rPr>
                <w:rFonts w:ascii="Arial Narrow" w:hAnsi="Arial Narrow" w:cs="Arial"/>
                <w:b/>
                <w:sz w:val="18"/>
                <w:szCs w:val="16"/>
              </w:rPr>
              <w:br/>
              <w:t>di industrie</w:t>
            </w:r>
          </w:p>
        </w:tc>
        <w:tc>
          <w:tcPr>
            <w:tcW w:w="1672" w:type="dxa"/>
            <w:gridSpan w:val="2"/>
            <w:shd w:val="clear" w:color="auto" w:fill="E6E6E6"/>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2</w:t>
            </w:r>
          </w:p>
        </w:tc>
        <w:tc>
          <w:tcPr>
            <w:tcW w:w="1842" w:type="dxa"/>
            <w:gridSpan w:val="2"/>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c>
          <w:tcPr>
            <w:tcW w:w="1560" w:type="dxa"/>
            <w:gridSpan w:val="2"/>
            <w:shd w:val="clear" w:color="auto" w:fill="E6E6E6"/>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2</w:t>
            </w:r>
          </w:p>
        </w:tc>
        <w:tc>
          <w:tcPr>
            <w:tcW w:w="1701" w:type="dxa"/>
            <w:gridSpan w:val="2"/>
            <w:vAlign w:val="center"/>
          </w:tcPr>
          <w:p w:rsidR="00604101" w:rsidRPr="00D62247" w:rsidRDefault="00604101" w:rsidP="00737A56">
            <w:pPr>
              <w:spacing w:before="40" w:after="20"/>
              <w:jc w:val="center"/>
              <w:rPr>
                <w:rFonts w:ascii="Arial Narrow" w:hAnsi="Arial Narrow" w:cs="Arial"/>
                <w:b/>
                <w:sz w:val="18"/>
                <w:szCs w:val="16"/>
              </w:rPr>
            </w:pPr>
            <w:r w:rsidRPr="00D62247">
              <w:rPr>
                <w:rFonts w:ascii="Arial Narrow" w:hAnsi="Arial Narrow" w:cs="Arial"/>
                <w:b/>
                <w:sz w:val="18"/>
                <w:szCs w:val="16"/>
              </w:rPr>
              <w:t>Base 201</w:t>
            </w:r>
            <w:r>
              <w:rPr>
                <w:rFonts w:ascii="Arial Narrow" w:hAnsi="Arial Narrow" w:cs="Arial"/>
                <w:b/>
                <w:sz w:val="18"/>
                <w:szCs w:val="16"/>
              </w:rPr>
              <w:t>3</w:t>
            </w:r>
          </w:p>
        </w:tc>
      </w:tr>
      <w:tr w:rsidR="00604101" w:rsidRPr="00D62247" w:rsidTr="007D750D">
        <w:trPr>
          <w:cantSplit/>
          <w:trHeight w:val="357"/>
        </w:trPr>
        <w:tc>
          <w:tcPr>
            <w:tcW w:w="1928" w:type="dxa"/>
            <w:vMerge/>
            <w:vAlign w:val="center"/>
          </w:tcPr>
          <w:p w:rsidR="00604101" w:rsidRPr="00D62247" w:rsidRDefault="00604101" w:rsidP="00737A56">
            <w:pPr>
              <w:spacing w:before="40" w:after="20"/>
              <w:ind w:left="-57"/>
              <w:jc w:val="both"/>
              <w:rPr>
                <w:rFonts w:ascii="Arial Narrow" w:hAnsi="Arial Narrow" w:cs="Arial"/>
                <w:b/>
                <w:bCs/>
                <w:sz w:val="18"/>
                <w:szCs w:val="16"/>
              </w:rPr>
            </w:pPr>
          </w:p>
        </w:tc>
        <w:tc>
          <w:tcPr>
            <w:tcW w:w="821" w:type="dxa"/>
            <w:shd w:val="clear" w:color="auto" w:fill="E6E6E6"/>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Area</w:t>
            </w:r>
            <w:r w:rsidRPr="00D62247">
              <w:rPr>
                <w:rFonts w:ascii="Arial Narrow" w:hAnsi="Arial Narrow" w:cs="Arial"/>
                <w:b/>
                <w:sz w:val="18"/>
                <w:szCs w:val="16"/>
              </w:rPr>
              <w:br/>
              <w:t>euro</w:t>
            </w:r>
          </w:p>
        </w:tc>
        <w:tc>
          <w:tcPr>
            <w:tcW w:w="851" w:type="dxa"/>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Area</w:t>
            </w:r>
            <w:r w:rsidRPr="00D62247">
              <w:rPr>
                <w:rFonts w:ascii="Arial Narrow" w:hAnsi="Arial Narrow" w:cs="Arial"/>
                <w:b/>
                <w:sz w:val="18"/>
                <w:szCs w:val="16"/>
              </w:rPr>
              <w:br/>
              <w:t>non euro</w:t>
            </w:r>
          </w:p>
        </w:tc>
        <w:tc>
          <w:tcPr>
            <w:tcW w:w="850" w:type="dxa"/>
            <w:shd w:val="clear" w:color="auto" w:fill="E6E6E6"/>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Area</w:t>
            </w:r>
            <w:r w:rsidRPr="00D62247">
              <w:rPr>
                <w:rFonts w:ascii="Arial Narrow" w:hAnsi="Arial Narrow" w:cs="Arial"/>
                <w:b/>
                <w:sz w:val="18"/>
                <w:szCs w:val="16"/>
              </w:rPr>
              <w:br/>
              <w:t>euro</w:t>
            </w:r>
          </w:p>
        </w:tc>
        <w:tc>
          <w:tcPr>
            <w:tcW w:w="992" w:type="dxa"/>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Area</w:t>
            </w:r>
            <w:r w:rsidRPr="00D62247">
              <w:rPr>
                <w:rFonts w:ascii="Arial Narrow" w:hAnsi="Arial Narrow" w:cs="Arial"/>
                <w:b/>
                <w:sz w:val="18"/>
                <w:szCs w:val="16"/>
              </w:rPr>
              <w:br/>
              <w:t>non euro</w:t>
            </w:r>
          </w:p>
        </w:tc>
        <w:tc>
          <w:tcPr>
            <w:tcW w:w="750" w:type="dxa"/>
            <w:shd w:val="clear" w:color="auto" w:fill="E6E6E6"/>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Interno</w:t>
            </w:r>
          </w:p>
        </w:tc>
        <w:tc>
          <w:tcPr>
            <w:tcW w:w="810" w:type="dxa"/>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Estero</w:t>
            </w:r>
          </w:p>
        </w:tc>
        <w:tc>
          <w:tcPr>
            <w:tcW w:w="891" w:type="dxa"/>
            <w:shd w:val="clear" w:color="auto" w:fill="E6E6E6"/>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Interno</w:t>
            </w:r>
          </w:p>
        </w:tc>
        <w:tc>
          <w:tcPr>
            <w:tcW w:w="810" w:type="dxa"/>
            <w:vAlign w:val="center"/>
          </w:tcPr>
          <w:p w:rsidR="00604101" w:rsidRPr="00D62247" w:rsidRDefault="00604101" w:rsidP="00737A56">
            <w:pPr>
              <w:spacing w:before="40" w:after="20"/>
              <w:jc w:val="right"/>
              <w:rPr>
                <w:rFonts w:ascii="Arial Narrow" w:hAnsi="Arial Narrow" w:cs="Arial"/>
                <w:b/>
                <w:sz w:val="18"/>
                <w:szCs w:val="16"/>
              </w:rPr>
            </w:pPr>
            <w:r w:rsidRPr="00D62247">
              <w:rPr>
                <w:rFonts w:ascii="Arial Narrow" w:hAnsi="Arial Narrow" w:cs="Arial"/>
                <w:b/>
                <w:sz w:val="18"/>
                <w:szCs w:val="16"/>
              </w:rPr>
              <w:t>Estero</w:t>
            </w:r>
          </w:p>
        </w:tc>
      </w:tr>
      <w:tr w:rsidR="00197370" w:rsidRPr="00D62247" w:rsidTr="007D750D">
        <w:tc>
          <w:tcPr>
            <w:tcW w:w="1928" w:type="dxa"/>
            <w:vAlign w:val="center"/>
          </w:tcPr>
          <w:p w:rsidR="00197370" w:rsidRPr="00D62247" w:rsidRDefault="00197370" w:rsidP="00737A56">
            <w:pPr>
              <w:spacing w:before="40" w:after="20"/>
              <w:ind w:left="-57"/>
              <w:rPr>
                <w:rFonts w:ascii="Arial Narrow" w:hAnsi="Arial Narrow" w:cs="Arial"/>
                <w:sz w:val="18"/>
                <w:szCs w:val="16"/>
              </w:rPr>
            </w:pPr>
            <w:r w:rsidRPr="00D62247">
              <w:rPr>
                <w:rFonts w:ascii="Arial Narrow" w:hAnsi="Arial Narrow" w:cs="Arial"/>
                <w:sz w:val="18"/>
                <w:szCs w:val="16"/>
              </w:rPr>
              <w:t>Beni di consumo</w:t>
            </w:r>
          </w:p>
        </w:tc>
        <w:tc>
          <w:tcPr>
            <w:tcW w:w="821" w:type="dxa"/>
            <w:shd w:val="clear" w:color="auto" w:fill="E6E6E6"/>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45,2236</w:t>
            </w:r>
          </w:p>
        </w:tc>
        <w:tc>
          <w:tcPr>
            <w:tcW w:w="851" w:type="dxa"/>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54,7764</w:t>
            </w:r>
          </w:p>
        </w:tc>
        <w:tc>
          <w:tcPr>
            <w:tcW w:w="850" w:type="dxa"/>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43,4652</w:t>
            </w:r>
          </w:p>
        </w:tc>
        <w:tc>
          <w:tcPr>
            <w:tcW w:w="992" w:type="dxa"/>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56,5348</w:t>
            </w:r>
          </w:p>
        </w:tc>
        <w:tc>
          <w:tcPr>
            <w:tcW w:w="750" w:type="dxa"/>
            <w:shd w:val="clear" w:color="auto" w:fill="E6E6E6"/>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72,9889</w:t>
            </w:r>
          </w:p>
        </w:tc>
        <w:tc>
          <w:tcPr>
            <w:tcW w:w="810" w:type="dxa"/>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27,0111</w:t>
            </w:r>
          </w:p>
        </w:tc>
        <w:tc>
          <w:tcPr>
            <w:tcW w:w="891" w:type="dxa"/>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72,3176</w:t>
            </w:r>
          </w:p>
        </w:tc>
        <w:tc>
          <w:tcPr>
            <w:tcW w:w="810" w:type="dxa"/>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27,6824</w:t>
            </w:r>
          </w:p>
        </w:tc>
      </w:tr>
      <w:tr w:rsidR="00197370" w:rsidRPr="00D62247" w:rsidTr="007D750D">
        <w:tc>
          <w:tcPr>
            <w:tcW w:w="1928" w:type="dxa"/>
            <w:vAlign w:val="center"/>
          </w:tcPr>
          <w:p w:rsidR="00197370" w:rsidRPr="00D62247" w:rsidRDefault="00197370" w:rsidP="00737A56">
            <w:pPr>
              <w:spacing w:before="40" w:after="20"/>
              <w:rPr>
                <w:rFonts w:ascii="Arial Narrow" w:hAnsi="Arial Narrow" w:cs="Arial"/>
                <w:i/>
                <w:sz w:val="18"/>
                <w:szCs w:val="16"/>
              </w:rPr>
            </w:pPr>
            <w:r w:rsidRPr="00D62247">
              <w:rPr>
                <w:rFonts w:ascii="Arial Narrow" w:hAnsi="Arial Narrow" w:cs="Arial"/>
                <w:i/>
                <w:sz w:val="18"/>
                <w:szCs w:val="16"/>
              </w:rPr>
              <w:t xml:space="preserve">  durevoli</w:t>
            </w:r>
          </w:p>
        </w:tc>
        <w:tc>
          <w:tcPr>
            <w:tcW w:w="821" w:type="dxa"/>
            <w:shd w:val="clear" w:color="auto" w:fill="E6E6E6"/>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44,3867</w:t>
            </w:r>
          </w:p>
        </w:tc>
        <w:tc>
          <w:tcPr>
            <w:tcW w:w="851" w:type="dxa"/>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55,6133</w:t>
            </w:r>
          </w:p>
        </w:tc>
        <w:tc>
          <w:tcPr>
            <w:tcW w:w="850" w:type="dxa"/>
            <w:shd w:val="clear" w:color="auto" w:fill="E6E6E6"/>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42,8685</w:t>
            </w:r>
          </w:p>
        </w:tc>
        <w:tc>
          <w:tcPr>
            <w:tcW w:w="992" w:type="dxa"/>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57,1315</w:t>
            </w:r>
          </w:p>
        </w:tc>
        <w:tc>
          <w:tcPr>
            <w:tcW w:w="750" w:type="dxa"/>
            <w:shd w:val="clear" w:color="auto" w:fill="E6E6E6"/>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57,5745</w:t>
            </w:r>
          </w:p>
        </w:tc>
        <w:tc>
          <w:tcPr>
            <w:tcW w:w="810" w:type="dxa"/>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42,4255</w:t>
            </w:r>
          </w:p>
        </w:tc>
        <w:tc>
          <w:tcPr>
            <w:tcW w:w="891" w:type="dxa"/>
            <w:shd w:val="clear" w:color="auto" w:fill="E6E6E6"/>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56,2414</w:t>
            </w:r>
          </w:p>
        </w:tc>
        <w:tc>
          <w:tcPr>
            <w:tcW w:w="810" w:type="dxa"/>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43,7586</w:t>
            </w:r>
          </w:p>
        </w:tc>
      </w:tr>
      <w:tr w:rsidR="00197370" w:rsidRPr="00D62247" w:rsidTr="007D750D">
        <w:tc>
          <w:tcPr>
            <w:tcW w:w="1928" w:type="dxa"/>
            <w:vAlign w:val="center"/>
          </w:tcPr>
          <w:p w:rsidR="00197370" w:rsidRPr="00D62247" w:rsidRDefault="00197370" w:rsidP="00737A56">
            <w:pPr>
              <w:spacing w:before="40" w:after="20"/>
              <w:rPr>
                <w:rFonts w:ascii="Arial Narrow" w:hAnsi="Arial Narrow" w:cs="Arial"/>
                <w:i/>
                <w:sz w:val="18"/>
                <w:szCs w:val="16"/>
              </w:rPr>
            </w:pPr>
            <w:r w:rsidRPr="00D62247">
              <w:rPr>
                <w:rFonts w:ascii="Arial Narrow" w:hAnsi="Arial Narrow" w:cs="Arial"/>
                <w:i/>
                <w:sz w:val="18"/>
                <w:szCs w:val="16"/>
              </w:rPr>
              <w:t xml:space="preserve">  non durevoli</w:t>
            </w:r>
          </w:p>
        </w:tc>
        <w:tc>
          <w:tcPr>
            <w:tcW w:w="821" w:type="dxa"/>
            <w:shd w:val="clear" w:color="auto" w:fill="E6E6E6"/>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45,5077</w:t>
            </w:r>
          </w:p>
        </w:tc>
        <w:tc>
          <w:tcPr>
            <w:tcW w:w="851" w:type="dxa"/>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54,4923</w:t>
            </w:r>
          </w:p>
        </w:tc>
        <w:tc>
          <w:tcPr>
            <w:tcW w:w="850" w:type="dxa"/>
            <w:shd w:val="clear" w:color="auto" w:fill="E6E6E6"/>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43,6434</w:t>
            </w:r>
          </w:p>
        </w:tc>
        <w:tc>
          <w:tcPr>
            <w:tcW w:w="992" w:type="dxa"/>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56,3566</w:t>
            </w:r>
          </w:p>
        </w:tc>
        <w:tc>
          <w:tcPr>
            <w:tcW w:w="750" w:type="dxa"/>
            <w:shd w:val="clear" w:color="auto" w:fill="E6E6E6"/>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75,9541</w:t>
            </w:r>
          </w:p>
        </w:tc>
        <w:tc>
          <w:tcPr>
            <w:tcW w:w="810" w:type="dxa"/>
            <w:vAlign w:val="bottom"/>
          </w:tcPr>
          <w:p w:rsidR="00197370" w:rsidRPr="00197370" w:rsidRDefault="00197370" w:rsidP="00737A56">
            <w:pPr>
              <w:jc w:val="right"/>
              <w:rPr>
                <w:rFonts w:ascii="Arial Narrow" w:hAnsi="Arial Narrow" w:cs="Arial"/>
                <w:i/>
                <w:color w:val="000000"/>
                <w:sz w:val="18"/>
                <w:szCs w:val="18"/>
              </w:rPr>
            </w:pPr>
            <w:r w:rsidRPr="00197370">
              <w:rPr>
                <w:rFonts w:ascii="Arial Narrow" w:hAnsi="Arial Narrow" w:cs="Arial"/>
                <w:i/>
                <w:color w:val="000000"/>
                <w:sz w:val="18"/>
                <w:szCs w:val="18"/>
              </w:rPr>
              <w:t>24,0459</w:t>
            </w:r>
          </w:p>
        </w:tc>
        <w:tc>
          <w:tcPr>
            <w:tcW w:w="891" w:type="dxa"/>
            <w:shd w:val="clear" w:color="auto" w:fill="E6E6E6"/>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75,0842</w:t>
            </w:r>
          </w:p>
        </w:tc>
        <w:tc>
          <w:tcPr>
            <w:tcW w:w="810" w:type="dxa"/>
            <w:vAlign w:val="bottom"/>
          </w:tcPr>
          <w:p w:rsidR="00197370" w:rsidRPr="00197370" w:rsidRDefault="00197370">
            <w:pPr>
              <w:jc w:val="right"/>
              <w:rPr>
                <w:rFonts w:ascii="Arial Narrow" w:hAnsi="Arial Narrow" w:cs="Arial"/>
                <w:i/>
                <w:color w:val="000000"/>
                <w:sz w:val="18"/>
                <w:szCs w:val="18"/>
              </w:rPr>
            </w:pPr>
            <w:r w:rsidRPr="00197370">
              <w:rPr>
                <w:rFonts w:ascii="Arial Narrow" w:hAnsi="Arial Narrow" w:cs="Arial"/>
                <w:i/>
                <w:color w:val="000000"/>
                <w:sz w:val="18"/>
                <w:szCs w:val="18"/>
              </w:rPr>
              <w:t>24,9158</w:t>
            </w:r>
          </w:p>
        </w:tc>
      </w:tr>
      <w:tr w:rsidR="00197370" w:rsidRPr="00D62247" w:rsidTr="007D750D">
        <w:tc>
          <w:tcPr>
            <w:tcW w:w="1928" w:type="dxa"/>
            <w:vAlign w:val="center"/>
          </w:tcPr>
          <w:p w:rsidR="00197370" w:rsidRPr="00D62247" w:rsidRDefault="00197370" w:rsidP="00737A56">
            <w:pPr>
              <w:spacing w:before="40" w:after="20"/>
              <w:ind w:left="-57"/>
              <w:rPr>
                <w:rFonts w:ascii="Arial Narrow" w:hAnsi="Arial Narrow" w:cs="Arial"/>
                <w:sz w:val="18"/>
                <w:szCs w:val="16"/>
              </w:rPr>
            </w:pPr>
            <w:r w:rsidRPr="00D62247">
              <w:rPr>
                <w:rFonts w:ascii="Arial Narrow" w:hAnsi="Arial Narrow" w:cs="Arial"/>
                <w:sz w:val="18"/>
                <w:szCs w:val="16"/>
              </w:rPr>
              <w:t>Beni strumentali</w:t>
            </w:r>
          </w:p>
        </w:tc>
        <w:tc>
          <w:tcPr>
            <w:tcW w:w="821" w:type="dxa"/>
            <w:shd w:val="clear" w:color="auto" w:fill="E6E6E6"/>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38,2794</w:t>
            </w:r>
          </w:p>
        </w:tc>
        <w:tc>
          <w:tcPr>
            <w:tcW w:w="851" w:type="dxa"/>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61,7206</w:t>
            </w:r>
          </w:p>
        </w:tc>
        <w:tc>
          <w:tcPr>
            <w:tcW w:w="850" w:type="dxa"/>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36,6884</w:t>
            </w:r>
          </w:p>
        </w:tc>
        <w:tc>
          <w:tcPr>
            <w:tcW w:w="992" w:type="dxa"/>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63,3116</w:t>
            </w:r>
          </w:p>
        </w:tc>
        <w:tc>
          <w:tcPr>
            <w:tcW w:w="750" w:type="dxa"/>
            <w:shd w:val="clear" w:color="auto" w:fill="E6E6E6"/>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63,4778</w:t>
            </w:r>
          </w:p>
        </w:tc>
        <w:tc>
          <w:tcPr>
            <w:tcW w:w="810" w:type="dxa"/>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36,5222</w:t>
            </w:r>
          </w:p>
        </w:tc>
        <w:tc>
          <w:tcPr>
            <w:tcW w:w="891" w:type="dxa"/>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60,8227</w:t>
            </w:r>
          </w:p>
        </w:tc>
        <w:tc>
          <w:tcPr>
            <w:tcW w:w="810" w:type="dxa"/>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39,1773</w:t>
            </w:r>
          </w:p>
        </w:tc>
      </w:tr>
      <w:tr w:rsidR="00197370" w:rsidRPr="00D62247" w:rsidTr="007D750D">
        <w:tc>
          <w:tcPr>
            <w:tcW w:w="1928" w:type="dxa"/>
            <w:vAlign w:val="center"/>
          </w:tcPr>
          <w:p w:rsidR="00197370" w:rsidRPr="00D62247" w:rsidRDefault="00197370" w:rsidP="00737A56">
            <w:pPr>
              <w:spacing w:before="40" w:after="20"/>
              <w:ind w:left="-57"/>
              <w:rPr>
                <w:rFonts w:ascii="Arial Narrow" w:hAnsi="Arial Narrow" w:cs="Arial"/>
                <w:sz w:val="18"/>
                <w:szCs w:val="16"/>
              </w:rPr>
            </w:pPr>
            <w:r w:rsidRPr="00D62247">
              <w:rPr>
                <w:rFonts w:ascii="Arial Narrow" w:hAnsi="Arial Narrow" w:cs="Arial"/>
                <w:sz w:val="18"/>
                <w:szCs w:val="16"/>
              </w:rPr>
              <w:t>Beni intermedi</w:t>
            </w:r>
          </w:p>
        </w:tc>
        <w:tc>
          <w:tcPr>
            <w:tcW w:w="821" w:type="dxa"/>
            <w:shd w:val="clear" w:color="auto" w:fill="E6E6E6"/>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52,4768</w:t>
            </w:r>
          </w:p>
        </w:tc>
        <w:tc>
          <w:tcPr>
            <w:tcW w:w="851" w:type="dxa"/>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47,5232</w:t>
            </w:r>
          </w:p>
        </w:tc>
        <w:tc>
          <w:tcPr>
            <w:tcW w:w="850" w:type="dxa"/>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52,0949</w:t>
            </w:r>
          </w:p>
        </w:tc>
        <w:tc>
          <w:tcPr>
            <w:tcW w:w="992" w:type="dxa"/>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47,9051</w:t>
            </w:r>
          </w:p>
        </w:tc>
        <w:tc>
          <w:tcPr>
            <w:tcW w:w="750" w:type="dxa"/>
            <w:shd w:val="clear" w:color="auto" w:fill="E6E6E6"/>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72,8774</w:t>
            </w:r>
          </w:p>
        </w:tc>
        <w:tc>
          <w:tcPr>
            <w:tcW w:w="810" w:type="dxa"/>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27,1226</w:t>
            </w:r>
          </w:p>
        </w:tc>
        <w:tc>
          <w:tcPr>
            <w:tcW w:w="891" w:type="dxa"/>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72,2756</w:t>
            </w:r>
          </w:p>
        </w:tc>
        <w:tc>
          <w:tcPr>
            <w:tcW w:w="810" w:type="dxa"/>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27,7244</w:t>
            </w:r>
          </w:p>
        </w:tc>
      </w:tr>
      <w:tr w:rsidR="00197370" w:rsidRPr="00D62247" w:rsidTr="007D750D">
        <w:tc>
          <w:tcPr>
            <w:tcW w:w="1928" w:type="dxa"/>
            <w:tcBorders>
              <w:bottom w:val="single" w:sz="4" w:space="0" w:color="333333"/>
            </w:tcBorders>
            <w:vAlign w:val="center"/>
          </w:tcPr>
          <w:p w:rsidR="00197370" w:rsidRPr="00D62247" w:rsidRDefault="00197370" w:rsidP="00737A56">
            <w:pPr>
              <w:spacing w:before="40" w:after="20"/>
              <w:ind w:left="-57"/>
              <w:rPr>
                <w:rFonts w:ascii="Arial Narrow" w:hAnsi="Arial Narrow" w:cs="Arial"/>
                <w:sz w:val="18"/>
                <w:szCs w:val="16"/>
              </w:rPr>
            </w:pPr>
            <w:r w:rsidRPr="00D62247">
              <w:rPr>
                <w:rFonts w:ascii="Arial Narrow" w:hAnsi="Arial Narrow" w:cs="Arial"/>
                <w:sz w:val="18"/>
                <w:szCs w:val="16"/>
              </w:rPr>
              <w:t>Energia</w:t>
            </w:r>
          </w:p>
        </w:tc>
        <w:tc>
          <w:tcPr>
            <w:tcW w:w="821" w:type="dxa"/>
            <w:tcBorders>
              <w:bottom w:val="single" w:sz="4" w:space="0" w:color="333333"/>
            </w:tcBorders>
            <w:shd w:val="clear" w:color="auto" w:fill="E6E6E6"/>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39,5471</w:t>
            </w:r>
          </w:p>
        </w:tc>
        <w:tc>
          <w:tcPr>
            <w:tcW w:w="851" w:type="dxa"/>
            <w:tcBorders>
              <w:bottom w:val="single" w:sz="4" w:space="0" w:color="333333"/>
            </w:tcBorders>
            <w:vAlign w:val="bottom"/>
          </w:tcPr>
          <w:p w:rsidR="00197370" w:rsidRPr="00B66632" w:rsidRDefault="00197370" w:rsidP="00737A56">
            <w:pPr>
              <w:jc w:val="right"/>
              <w:rPr>
                <w:rFonts w:ascii="Arial Narrow" w:hAnsi="Arial Narrow" w:cs="Arial"/>
                <w:color w:val="000000"/>
                <w:sz w:val="18"/>
                <w:szCs w:val="18"/>
              </w:rPr>
            </w:pPr>
            <w:r w:rsidRPr="00B66632">
              <w:rPr>
                <w:rFonts w:ascii="Arial Narrow" w:hAnsi="Arial Narrow" w:cs="Arial"/>
                <w:color w:val="000000"/>
                <w:sz w:val="18"/>
                <w:szCs w:val="18"/>
              </w:rPr>
              <w:t>60,4529</w:t>
            </w:r>
          </w:p>
        </w:tc>
        <w:tc>
          <w:tcPr>
            <w:tcW w:w="850" w:type="dxa"/>
            <w:tcBorders>
              <w:bottom w:val="single" w:sz="4" w:space="0" w:color="333333"/>
            </w:tcBorders>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34,7686</w:t>
            </w:r>
          </w:p>
        </w:tc>
        <w:tc>
          <w:tcPr>
            <w:tcW w:w="992" w:type="dxa"/>
            <w:tcBorders>
              <w:bottom w:val="single" w:sz="4" w:space="0" w:color="333333"/>
            </w:tcBorders>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65,2314</w:t>
            </w:r>
          </w:p>
        </w:tc>
        <w:tc>
          <w:tcPr>
            <w:tcW w:w="750" w:type="dxa"/>
            <w:tcBorders>
              <w:bottom w:val="single" w:sz="4" w:space="0" w:color="333333"/>
            </w:tcBorders>
            <w:shd w:val="clear" w:color="auto" w:fill="E6E6E6"/>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96,5066</w:t>
            </w:r>
          </w:p>
        </w:tc>
        <w:tc>
          <w:tcPr>
            <w:tcW w:w="810" w:type="dxa"/>
            <w:tcBorders>
              <w:bottom w:val="single" w:sz="4" w:space="0" w:color="333333"/>
            </w:tcBorders>
            <w:vAlign w:val="bottom"/>
          </w:tcPr>
          <w:p w:rsidR="00197370" w:rsidRPr="006D7D5F" w:rsidRDefault="00197370" w:rsidP="00737A56">
            <w:pPr>
              <w:jc w:val="right"/>
              <w:rPr>
                <w:rFonts w:ascii="Arial Narrow" w:hAnsi="Arial Narrow" w:cs="Arial"/>
                <w:color w:val="000000"/>
                <w:sz w:val="18"/>
                <w:szCs w:val="18"/>
              </w:rPr>
            </w:pPr>
            <w:r w:rsidRPr="006D7D5F">
              <w:rPr>
                <w:rFonts w:ascii="Arial Narrow" w:hAnsi="Arial Narrow" w:cs="Arial"/>
                <w:color w:val="000000"/>
                <w:sz w:val="18"/>
                <w:szCs w:val="18"/>
              </w:rPr>
              <w:t>3,4934</w:t>
            </w:r>
          </w:p>
        </w:tc>
        <w:tc>
          <w:tcPr>
            <w:tcW w:w="891" w:type="dxa"/>
            <w:tcBorders>
              <w:bottom w:val="single" w:sz="4" w:space="0" w:color="333333"/>
            </w:tcBorders>
            <w:shd w:val="clear" w:color="auto" w:fill="E6E6E6"/>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96,8525</w:t>
            </w:r>
          </w:p>
        </w:tc>
        <w:tc>
          <w:tcPr>
            <w:tcW w:w="810" w:type="dxa"/>
            <w:tcBorders>
              <w:bottom w:val="single" w:sz="4" w:space="0" w:color="333333"/>
            </w:tcBorders>
            <w:vAlign w:val="bottom"/>
          </w:tcPr>
          <w:p w:rsidR="00197370" w:rsidRPr="00197370" w:rsidRDefault="00197370">
            <w:pPr>
              <w:jc w:val="right"/>
              <w:rPr>
                <w:rFonts w:ascii="Arial Narrow" w:hAnsi="Arial Narrow" w:cs="Arial"/>
                <w:color w:val="000000"/>
                <w:sz w:val="18"/>
                <w:szCs w:val="18"/>
              </w:rPr>
            </w:pPr>
            <w:r w:rsidRPr="00197370">
              <w:rPr>
                <w:rFonts w:ascii="Arial Narrow" w:hAnsi="Arial Narrow" w:cs="Arial"/>
                <w:color w:val="000000"/>
                <w:sz w:val="18"/>
                <w:szCs w:val="18"/>
              </w:rPr>
              <w:t>3,1475</w:t>
            </w:r>
          </w:p>
        </w:tc>
      </w:tr>
      <w:tr w:rsidR="00197370" w:rsidRPr="00D62247" w:rsidTr="00B429FA">
        <w:tc>
          <w:tcPr>
            <w:tcW w:w="1928" w:type="dxa"/>
            <w:shd w:val="clear" w:color="auto" w:fill="99CC00"/>
            <w:vAlign w:val="center"/>
          </w:tcPr>
          <w:p w:rsidR="00197370" w:rsidRPr="00D62247" w:rsidRDefault="00197370" w:rsidP="00737A56">
            <w:pPr>
              <w:spacing w:before="40" w:after="20"/>
              <w:ind w:left="-57"/>
              <w:rPr>
                <w:rFonts w:ascii="Arial Narrow" w:hAnsi="Arial Narrow" w:cs="Arial"/>
                <w:b/>
                <w:color w:val="FFFFFF"/>
                <w:sz w:val="18"/>
                <w:szCs w:val="16"/>
              </w:rPr>
            </w:pPr>
            <w:r w:rsidRPr="00D62247">
              <w:rPr>
                <w:rFonts w:ascii="Arial Narrow" w:hAnsi="Arial Narrow" w:cs="Arial"/>
                <w:b/>
                <w:color w:val="FFFFFF"/>
                <w:sz w:val="18"/>
                <w:szCs w:val="16"/>
              </w:rPr>
              <w:t>Totale</w:t>
            </w:r>
          </w:p>
        </w:tc>
        <w:tc>
          <w:tcPr>
            <w:tcW w:w="821" w:type="dxa"/>
            <w:shd w:val="clear" w:color="auto" w:fill="99CC00"/>
            <w:vAlign w:val="bottom"/>
          </w:tcPr>
          <w:p w:rsidR="00197370" w:rsidRPr="006D7D5F" w:rsidRDefault="00197370" w:rsidP="00737A56">
            <w:pPr>
              <w:spacing w:before="60" w:after="40"/>
              <w:jc w:val="right"/>
              <w:rPr>
                <w:rFonts w:ascii="Arial Narrow" w:hAnsi="Arial Narrow" w:cs="Arial"/>
                <w:b/>
                <w:color w:val="FFFFFF"/>
                <w:sz w:val="18"/>
                <w:szCs w:val="16"/>
              </w:rPr>
            </w:pPr>
            <w:r w:rsidRPr="006D7D5F">
              <w:rPr>
                <w:rFonts w:ascii="Arial Narrow" w:hAnsi="Arial Narrow" w:cs="Arial"/>
                <w:b/>
                <w:color w:val="FFFFFF"/>
                <w:sz w:val="18"/>
                <w:szCs w:val="16"/>
              </w:rPr>
              <w:t>45,1574</w:t>
            </w:r>
          </w:p>
        </w:tc>
        <w:tc>
          <w:tcPr>
            <w:tcW w:w="851" w:type="dxa"/>
            <w:shd w:val="clear" w:color="auto" w:fill="99CC00"/>
            <w:vAlign w:val="bottom"/>
          </w:tcPr>
          <w:p w:rsidR="00197370" w:rsidRPr="006D7D5F" w:rsidRDefault="00197370" w:rsidP="00737A56">
            <w:pPr>
              <w:spacing w:before="60" w:after="40"/>
              <w:jc w:val="right"/>
              <w:rPr>
                <w:rFonts w:ascii="Arial Narrow" w:hAnsi="Arial Narrow" w:cs="Arial"/>
                <w:b/>
                <w:color w:val="FFFFFF"/>
                <w:sz w:val="18"/>
                <w:szCs w:val="16"/>
              </w:rPr>
            </w:pPr>
            <w:r w:rsidRPr="006D7D5F">
              <w:rPr>
                <w:rFonts w:ascii="Arial Narrow" w:hAnsi="Arial Narrow" w:cs="Arial"/>
                <w:b/>
                <w:color w:val="FFFFFF"/>
                <w:sz w:val="18"/>
                <w:szCs w:val="16"/>
              </w:rPr>
              <w:t>54,8426</w:t>
            </w:r>
          </w:p>
        </w:tc>
        <w:tc>
          <w:tcPr>
            <w:tcW w:w="850" w:type="dxa"/>
            <w:shd w:val="clear" w:color="auto" w:fill="99CC00"/>
            <w:vAlign w:val="center"/>
          </w:tcPr>
          <w:p w:rsidR="00197370" w:rsidRPr="00B429FA" w:rsidRDefault="00197370" w:rsidP="00B429FA">
            <w:pPr>
              <w:spacing w:before="60" w:after="40"/>
              <w:jc w:val="right"/>
              <w:rPr>
                <w:rFonts w:ascii="Arial Narrow" w:hAnsi="Arial Narrow" w:cs="Arial"/>
                <w:b/>
                <w:color w:val="FFFFFF"/>
                <w:sz w:val="18"/>
                <w:szCs w:val="16"/>
              </w:rPr>
            </w:pPr>
            <w:r w:rsidRPr="00B429FA">
              <w:rPr>
                <w:rFonts w:ascii="Arial Narrow" w:hAnsi="Arial Narrow" w:cs="Arial"/>
                <w:b/>
                <w:color w:val="FFFFFF"/>
                <w:sz w:val="18"/>
                <w:szCs w:val="16"/>
              </w:rPr>
              <w:t>43,8163</w:t>
            </w:r>
          </w:p>
        </w:tc>
        <w:tc>
          <w:tcPr>
            <w:tcW w:w="992" w:type="dxa"/>
            <w:shd w:val="clear" w:color="auto" w:fill="99CC00"/>
            <w:vAlign w:val="center"/>
          </w:tcPr>
          <w:p w:rsidR="00197370" w:rsidRPr="00B429FA" w:rsidRDefault="00197370" w:rsidP="00B429FA">
            <w:pPr>
              <w:spacing w:before="60" w:after="40"/>
              <w:jc w:val="right"/>
              <w:rPr>
                <w:rFonts w:ascii="Arial Narrow" w:hAnsi="Arial Narrow" w:cs="Arial"/>
                <w:b/>
                <w:color w:val="FFFFFF"/>
                <w:sz w:val="18"/>
                <w:szCs w:val="16"/>
              </w:rPr>
            </w:pPr>
            <w:r w:rsidRPr="00B429FA">
              <w:rPr>
                <w:rFonts w:ascii="Arial Narrow" w:hAnsi="Arial Narrow" w:cs="Arial"/>
                <w:b/>
                <w:color w:val="FFFFFF"/>
                <w:sz w:val="18"/>
                <w:szCs w:val="16"/>
              </w:rPr>
              <w:t>56,1837</w:t>
            </w:r>
          </w:p>
        </w:tc>
        <w:tc>
          <w:tcPr>
            <w:tcW w:w="750" w:type="dxa"/>
            <w:shd w:val="clear" w:color="auto" w:fill="99CC00"/>
            <w:vAlign w:val="bottom"/>
          </w:tcPr>
          <w:p w:rsidR="00197370" w:rsidRPr="006D7D5F" w:rsidRDefault="00197370" w:rsidP="00737A56">
            <w:pPr>
              <w:spacing w:before="60" w:after="40"/>
              <w:jc w:val="right"/>
              <w:rPr>
                <w:rFonts w:ascii="Arial Narrow" w:hAnsi="Arial Narrow" w:cs="Arial"/>
                <w:b/>
                <w:color w:val="FFFFFF"/>
                <w:sz w:val="18"/>
                <w:szCs w:val="16"/>
              </w:rPr>
            </w:pPr>
            <w:r w:rsidRPr="006D7D5F">
              <w:rPr>
                <w:rFonts w:ascii="Arial Narrow" w:hAnsi="Arial Narrow" w:cs="Arial"/>
                <w:b/>
                <w:color w:val="FFFFFF"/>
                <w:sz w:val="18"/>
                <w:szCs w:val="16"/>
              </w:rPr>
              <w:t>77,0904</w:t>
            </w:r>
          </w:p>
        </w:tc>
        <w:tc>
          <w:tcPr>
            <w:tcW w:w="810" w:type="dxa"/>
            <w:shd w:val="clear" w:color="auto" w:fill="99CC00"/>
            <w:vAlign w:val="bottom"/>
          </w:tcPr>
          <w:p w:rsidR="00197370" w:rsidRPr="006D7D5F" w:rsidRDefault="00197370" w:rsidP="00737A56">
            <w:pPr>
              <w:spacing w:before="60" w:after="40"/>
              <w:jc w:val="right"/>
              <w:rPr>
                <w:rFonts w:ascii="Arial Narrow" w:hAnsi="Arial Narrow" w:cs="Arial"/>
                <w:b/>
                <w:color w:val="FFFFFF"/>
                <w:sz w:val="18"/>
                <w:szCs w:val="16"/>
              </w:rPr>
            </w:pPr>
            <w:r w:rsidRPr="006D7D5F">
              <w:rPr>
                <w:rFonts w:ascii="Arial Narrow" w:hAnsi="Arial Narrow" w:cs="Arial"/>
                <w:b/>
                <w:color w:val="FFFFFF"/>
                <w:sz w:val="18"/>
                <w:szCs w:val="16"/>
              </w:rPr>
              <w:t>22,9096</w:t>
            </w:r>
          </w:p>
        </w:tc>
        <w:tc>
          <w:tcPr>
            <w:tcW w:w="891" w:type="dxa"/>
            <w:shd w:val="clear" w:color="auto" w:fill="99CC00"/>
            <w:vAlign w:val="bottom"/>
          </w:tcPr>
          <w:p w:rsidR="00197370" w:rsidRPr="00B429FA" w:rsidRDefault="00197370" w:rsidP="00B429FA">
            <w:pPr>
              <w:spacing w:before="60" w:after="40"/>
              <w:jc w:val="right"/>
              <w:rPr>
                <w:rFonts w:ascii="Arial Narrow" w:hAnsi="Arial Narrow" w:cs="Arial"/>
                <w:b/>
                <w:color w:val="FFFFFF"/>
                <w:sz w:val="18"/>
                <w:szCs w:val="16"/>
              </w:rPr>
            </w:pPr>
            <w:r w:rsidRPr="00B429FA">
              <w:rPr>
                <w:rFonts w:ascii="Arial Narrow" w:hAnsi="Arial Narrow" w:cs="Arial"/>
                <w:b/>
                <w:color w:val="FFFFFF"/>
                <w:sz w:val="18"/>
                <w:szCs w:val="16"/>
              </w:rPr>
              <w:t>76,4521</w:t>
            </w:r>
          </w:p>
        </w:tc>
        <w:tc>
          <w:tcPr>
            <w:tcW w:w="810" w:type="dxa"/>
            <w:shd w:val="clear" w:color="auto" w:fill="99CC00"/>
            <w:vAlign w:val="bottom"/>
          </w:tcPr>
          <w:p w:rsidR="00197370" w:rsidRPr="00B429FA" w:rsidRDefault="00197370" w:rsidP="00B429FA">
            <w:pPr>
              <w:spacing w:before="60" w:after="40"/>
              <w:jc w:val="right"/>
              <w:rPr>
                <w:rFonts w:ascii="Arial Narrow" w:hAnsi="Arial Narrow" w:cs="Arial"/>
                <w:b/>
                <w:color w:val="FFFFFF"/>
                <w:sz w:val="18"/>
                <w:szCs w:val="16"/>
              </w:rPr>
            </w:pPr>
            <w:r w:rsidRPr="00B429FA">
              <w:rPr>
                <w:rFonts w:ascii="Arial Narrow" w:hAnsi="Arial Narrow" w:cs="Arial"/>
                <w:b/>
                <w:color w:val="FFFFFF"/>
                <w:sz w:val="18"/>
                <w:szCs w:val="16"/>
              </w:rPr>
              <w:t>23,5479</w:t>
            </w:r>
          </w:p>
        </w:tc>
      </w:tr>
    </w:tbl>
    <w:p w:rsidR="005934CB" w:rsidRDefault="005934CB" w:rsidP="005934CB">
      <w:pPr>
        <w:spacing w:after="120"/>
        <w:ind w:left="1797"/>
        <w:jc w:val="both"/>
        <w:rPr>
          <w:rFonts w:ascii="Arial" w:hAnsi="Arial" w:cs="Arial"/>
          <w:sz w:val="20"/>
          <w:szCs w:val="20"/>
        </w:rPr>
      </w:pPr>
    </w:p>
    <w:p w:rsidR="005934CB" w:rsidRPr="007B6829" w:rsidRDefault="005C7D77" w:rsidP="005934CB">
      <w:pPr>
        <w:spacing w:after="120"/>
        <w:ind w:left="1797"/>
        <w:jc w:val="both"/>
        <w:rPr>
          <w:rFonts w:ascii="Arial" w:hAnsi="Arial" w:cs="Arial"/>
          <w:sz w:val="20"/>
          <w:szCs w:val="20"/>
        </w:rPr>
      </w:pPr>
      <w:r>
        <w:rPr>
          <w:rFonts w:ascii="Arial" w:hAnsi="Arial" w:cs="Arial"/>
          <w:sz w:val="20"/>
          <w:szCs w:val="20"/>
        </w:rPr>
        <w:lastRenderedPageBreak/>
        <w:t>Nell’ambito</w:t>
      </w:r>
      <w:r w:rsidR="005934CB" w:rsidRPr="007B6829">
        <w:rPr>
          <w:rFonts w:ascii="Arial" w:hAnsi="Arial" w:cs="Arial"/>
          <w:sz w:val="20"/>
          <w:szCs w:val="20"/>
        </w:rPr>
        <w:t xml:space="preserve"> del mercato estero si osserva un significativo spostamento complessivo verso l’area non euro (il cui peso nel totale aumenta di 1,</w:t>
      </w:r>
      <w:r w:rsidR="00C03E4F">
        <w:rPr>
          <w:rFonts w:ascii="Arial" w:hAnsi="Arial" w:cs="Arial"/>
          <w:sz w:val="20"/>
          <w:szCs w:val="20"/>
        </w:rPr>
        <w:t>3</w:t>
      </w:r>
      <w:r w:rsidR="005934CB" w:rsidRPr="007B6829">
        <w:rPr>
          <w:rFonts w:ascii="Arial" w:hAnsi="Arial" w:cs="Arial"/>
          <w:sz w:val="20"/>
          <w:szCs w:val="20"/>
        </w:rPr>
        <w:t xml:space="preserve"> punti percentuali), attribuibile soprattutto alla componente energetica (+</w:t>
      </w:r>
      <w:r w:rsidR="00C03E4F">
        <w:rPr>
          <w:rFonts w:ascii="Arial" w:hAnsi="Arial" w:cs="Arial"/>
          <w:sz w:val="20"/>
          <w:szCs w:val="20"/>
        </w:rPr>
        <w:t>4,8</w:t>
      </w:r>
      <w:r w:rsidR="005934CB" w:rsidRPr="007B6829">
        <w:rPr>
          <w:rFonts w:ascii="Arial" w:hAnsi="Arial" w:cs="Arial"/>
          <w:sz w:val="20"/>
          <w:szCs w:val="20"/>
        </w:rPr>
        <w:t xml:space="preserve"> punti). Aumenta l’incidenza nell’area non euro anche per tutti gli altri Raggruppamenti (Beni di consumo +1,</w:t>
      </w:r>
      <w:r w:rsidR="00C03E4F">
        <w:rPr>
          <w:rFonts w:ascii="Arial" w:hAnsi="Arial" w:cs="Arial"/>
          <w:sz w:val="20"/>
          <w:szCs w:val="20"/>
        </w:rPr>
        <w:t>8</w:t>
      </w:r>
      <w:r w:rsidR="005934CB" w:rsidRPr="007B6829">
        <w:rPr>
          <w:rFonts w:ascii="Arial" w:hAnsi="Arial" w:cs="Arial"/>
          <w:sz w:val="20"/>
          <w:szCs w:val="20"/>
        </w:rPr>
        <w:t xml:space="preserve"> punti, Beni strumentali +1,</w:t>
      </w:r>
      <w:r w:rsidR="00C03E4F">
        <w:rPr>
          <w:rFonts w:ascii="Arial" w:hAnsi="Arial" w:cs="Arial"/>
          <w:sz w:val="20"/>
          <w:szCs w:val="20"/>
        </w:rPr>
        <w:t>6 punti e Beni intermedi +0,4</w:t>
      </w:r>
      <w:r w:rsidR="005934CB" w:rsidRPr="007B6829">
        <w:rPr>
          <w:rFonts w:ascii="Arial" w:hAnsi="Arial" w:cs="Arial"/>
          <w:sz w:val="20"/>
          <w:szCs w:val="20"/>
        </w:rPr>
        <w:t>).</w:t>
      </w:r>
    </w:p>
    <w:p w:rsidR="005934CB" w:rsidRDefault="00192B0D" w:rsidP="00080B51">
      <w:pPr>
        <w:spacing w:after="120"/>
        <w:ind w:left="1797"/>
        <w:jc w:val="both"/>
        <w:rPr>
          <w:rFonts w:ascii="Arial" w:hAnsi="Arial" w:cs="Arial"/>
          <w:sz w:val="20"/>
          <w:szCs w:val="20"/>
        </w:rPr>
      </w:pPr>
      <w:r w:rsidRPr="00A17F22">
        <w:rPr>
          <w:rFonts w:ascii="Arial" w:hAnsi="Arial" w:cs="Arial"/>
          <w:sz w:val="20"/>
          <w:szCs w:val="20"/>
        </w:rPr>
        <w:t>Nel rapporto tra mercato interno ed estero si osserva un aumento dell’incidenza relativa del mercato estero per</w:t>
      </w:r>
      <w:r>
        <w:rPr>
          <w:rFonts w:ascii="Arial" w:hAnsi="Arial" w:cs="Arial"/>
          <w:sz w:val="20"/>
          <w:szCs w:val="20"/>
        </w:rPr>
        <w:t xml:space="preserve"> gli </w:t>
      </w:r>
      <w:r w:rsidRPr="00A17F22">
        <w:rPr>
          <w:rFonts w:ascii="Arial" w:hAnsi="Arial" w:cs="Arial"/>
          <w:sz w:val="20"/>
          <w:szCs w:val="20"/>
        </w:rPr>
        <w:t>aggregat</w:t>
      </w:r>
      <w:r>
        <w:rPr>
          <w:rFonts w:ascii="Arial" w:hAnsi="Arial" w:cs="Arial"/>
          <w:sz w:val="20"/>
          <w:szCs w:val="20"/>
        </w:rPr>
        <w:t>i</w:t>
      </w:r>
      <w:r w:rsidRPr="00A17F22">
        <w:rPr>
          <w:rFonts w:ascii="Arial" w:hAnsi="Arial" w:cs="Arial"/>
          <w:sz w:val="20"/>
          <w:szCs w:val="20"/>
        </w:rPr>
        <w:t xml:space="preserve"> dei Beni strumentali (+2,</w:t>
      </w:r>
      <w:r w:rsidR="00C03E4F">
        <w:rPr>
          <w:rFonts w:ascii="Arial" w:hAnsi="Arial" w:cs="Arial"/>
          <w:sz w:val="20"/>
          <w:szCs w:val="20"/>
        </w:rPr>
        <w:t>6</w:t>
      </w:r>
      <w:r w:rsidRPr="00A17F22">
        <w:rPr>
          <w:rFonts w:ascii="Arial" w:hAnsi="Arial" w:cs="Arial"/>
          <w:sz w:val="20"/>
          <w:szCs w:val="20"/>
        </w:rPr>
        <w:t xml:space="preserve"> punti percentuali), dei Beni di consumo (+0,7 punti) e dei Beni intermedi (+0,6 punti) e, all’opposto, un incremento di quella del mercato interno </w:t>
      </w:r>
      <w:r>
        <w:rPr>
          <w:rFonts w:ascii="Arial" w:hAnsi="Arial" w:cs="Arial"/>
          <w:sz w:val="20"/>
          <w:szCs w:val="20"/>
        </w:rPr>
        <w:t>per la componente energetica</w:t>
      </w:r>
      <w:r w:rsidRPr="00A17F22">
        <w:rPr>
          <w:rFonts w:ascii="Arial" w:hAnsi="Arial" w:cs="Arial"/>
          <w:sz w:val="20"/>
          <w:szCs w:val="20"/>
        </w:rPr>
        <w:t xml:space="preserve"> (+0,3 punti). A livello aggregato,</w:t>
      </w:r>
      <w:r>
        <w:rPr>
          <w:rFonts w:ascii="Arial" w:hAnsi="Arial" w:cs="Arial"/>
          <w:sz w:val="20"/>
          <w:szCs w:val="20"/>
        </w:rPr>
        <w:t xml:space="preserve"> con il 76,4</w:t>
      </w:r>
      <w:r w:rsidR="00903245">
        <w:rPr>
          <w:rFonts w:ascii="Arial" w:hAnsi="Arial" w:cs="Arial"/>
          <w:sz w:val="20"/>
          <w:szCs w:val="20"/>
        </w:rPr>
        <w:t>%</w:t>
      </w:r>
      <w:r>
        <w:rPr>
          <w:rFonts w:ascii="Arial" w:hAnsi="Arial" w:cs="Arial"/>
          <w:sz w:val="20"/>
          <w:szCs w:val="20"/>
        </w:rPr>
        <w:t xml:space="preserve"> di incidenza il mercato interno si conferma prevalente rispetto a quello estero ma</w:t>
      </w:r>
      <w:r w:rsidRPr="00A17F22">
        <w:rPr>
          <w:rFonts w:ascii="Arial" w:hAnsi="Arial" w:cs="Arial"/>
          <w:sz w:val="20"/>
          <w:szCs w:val="20"/>
        </w:rPr>
        <w:t xml:space="preserve"> aumenta il peso relativo del</w:t>
      </w:r>
      <w:r>
        <w:rPr>
          <w:rFonts w:ascii="Arial" w:hAnsi="Arial" w:cs="Arial"/>
          <w:sz w:val="20"/>
          <w:szCs w:val="20"/>
        </w:rPr>
        <w:t>la componente estera</w:t>
      </w:r>
      <w:r w:rsidRPr="00A17F22">
        <w:rPr>
          <w:rFonts w:ascii="Arial" w:hAnsi="Arial" w:cs="Arial"/>
          <w:sz w:val="20"/>
          <w:szCs w:val="20"/>
        </w:rPr>
        <w:t xml:space="preserve"> (+0,6 punti) </w:t>
      </w:r>
      <w:r>
        <w:rPr>
          <w:rFonts w:ascii="Arial" w:hAnsi="Arial" w:cs="Arial"/>
          <w:sz w:val="20"/>
          <w:szCs w:val="20"/>
        </w:rPr>
        <w:t xml:space="preserve">- </w:t>
      </w:r>
      <w:r w:rsidRPr="00A17F22">
        <w:rPr>
          <w:rFonts w:ascii="Arial" w:hAnsi="Arial" w:cs="Arial"/>
          <w:sz w:val="20"/>
          <w:szCs w:val="20"/>
        </w:rPr>
        <w:t>passando da 22,9</w:t>
      </w:r>
      <w:r w:rsidR="00903245">
        <w:rPr>
          <w:rFonts w:ascii="Arial" w:hAnsi="Arial" w:cs="Arial"/>
          <w:sz w:val="20"/>
          <w:szCs w:val="20"/>
        </w:rPr>
        <w:t>%</w:t>
      </w:r>
      <w:r w:rsidR="00C03E4F">
        <w:rPr>
          <w:rFonts w:ascii="Arial" w:hAnsi="Arial" w:cs="Arial"/>
          <w:sz w:val="20"/>
          <w:szCs w:val="20"/>
        </w:rPr>
        <w:t xml:space="preserve"> a 23,5</w:t>
      </w:r>
      <w:r w:rsidR="00903245">
        <w:rPr>
          <w:rFonts w:ascii="Arial" w:hAnsi="Arial" w:cs="Arial"/>
          <w:sz w:val="20"/>
          <w:szCs w:val="20"/>
        </w:rPr>
        <w:t>%</w:t>
      </w:r>
      <w:r w:rsidRPr="00A17F22">
        <w:rPr>
          <w:rFonts w:ascii="Arial" w:hAnsi="Arial" w:cs="Arial"/>
          <w:sz w:val="20"/>
          <w:szCs w:val="20"/>
        </w:rPr>
        <w:t xml:space="preserve"> </w:t>
      </w:r>
      <w:r>
        <w:rPr>
          <w:rFonts w:ascii="Arial" w:hAnsi="Arial" w:cs="Arial"/>
          <w:sz w:val="20"/>
          <w:szCs w:val="20"/>
        </w:rPr>
        <w:t xml:space="preserve">- </w:t>
      </w:r>
      <w:r w:rsidR="008947F5">
        <w:rPr>
          <w:rFonts w:ascii="Arial" w:hAnsi="Arial" w:cs="Arial"/>
          <w:sz w:val="20"/>
          <w:szCs w:val="20"/>
        </w:rPr>
        <w:t>e</w:t>
      </w:r>
      <w:r w:rsidR="008947F5" w:rsidRPr="00A17F22">
        <w:rPr>
          <w:rFonts w:ascii="Arial" w:hAnsi="Arial" w:cs="Arial"/>
          <w:sz w:val="20"/>
          <w:szCs w:val="20"/>
        </w:rPr>
        <w:t xml:space="preserve"> </w:t>
      </w:r>
      <w:r w:rsidRPr="00A17F22">
        <w:rPr>
          <w:rFonts w:ascii="Arial" w:hAnsi="Arial" w:cs="Arial"/>
          <w:sz w:val="20"/>
          <w:szCs w:val="20"/>
        </w:rPr>
        <w:t xml:space="preserve">diminuisce </w:t>
      </w:r>
      <w:r w:rsidR="008947F5">
        <w:rPr>
          <w:rFonts w:ascii="Arial" w:hAnsi="Arial" w:cs="Arial"/>
          <w:sz w:val="20"/>
          <w:szCs w:val="20"/>
        </w:rPr>
        <w:t xml:space="preserve">simmetricamente </w:t>
      </w:r>
      <w:r w:rsidRPr="00A17F22">
        <w:rPr>
          <w:rFonts w:ascii="Arial" w:hAnsi="Arial" w:cs="Arial"/>
          <w:sz w:val="20"/>
          <w:szCs w:val="20"/>
        </w:rPr>
        <w:t>l’incidenza del mercato interno</w:t>
      </w:r>
      <w:r>
        <w:rPr>
          <w:rFonts w:ascii="Arial" w:hAnsi="Arial" w:cs="Arial"/>
          <w:sz w:val="20"/>
          <w:szCs w:val="20"/>
        </w:rPr>
        <w:t>,</w:t>
      </w:r>
      <w:r w:rsidR="00903245">
        <w:rPr>
          <w:rFonts w:ascii="Arial" w:hAnsi="Arial" w:cs="Arial"/>
          <w:sz w:val="20"/>
          <w:szCs w:val="20"/>
        </w:rPr>
        <w:t xml:space="preserve"> che scende da 77,1%</w:t>
      </w:r>
      <w:r w:rsidRPr="00A17F22">
        <w:rPr>
          <w:rFonts w:ascii="Arial" w:hAnsi="Arial" w:cs="Arial"/>
          <w:sz w:val="20"/>
          <w:szCs w:val="20"/>
        </w:rPr>
        <w:t xml:space="preserve"> a 76,</w:t>
      </w:r>
      <w:r w:rsidR="008947F5">
        <w:rPr>
          <w:rFonts w:ascii="Arial" w:hAnsi="Arial" w:cs="Arial"/>
          <w:sz w:val="20"/>
          <w:szCs w:val="20"/>
        </w:rPr>
        <w:t>5</w:t>
      </w:r>
      <w:r w:rsidR="00903245">
        <w:rPr>
          <w:rFonts w:ascii="Arial" w:hAnsi="Arial" w:cs="Arial"/>
          <w:sz w:val="20"/>
          <w:szCs w:val="20"/>
        </w:rPr>
        <w:t>%</w:t>
      </w:r>
      <w:r w:rsidRPr="00A17F22">
        <w:rPr>
          <w:rFonts w:ascii="Arial" w:hAnsi="Arial" w:cs="Arial"/>
          <w:sz w:val="20"/>
          <w:szCs w:val="20"/>
        </w:rPr>
        <w:t>.</w:t>
      </w:r>
    </w:p>
    <w:p w:rsidR="00080B51" w:rsidRPr="0075234B" w:rsidRDefault="00080B51" w:rsidP="00080B51">
      <w:pPr>
        <w:spacing w:after="120"/>
        <w:ind w:left="1814"/>
        <w:jc w:val="both"/>
        <w:rPr>
          <w:rFonts w:ascii="Arial" w:hAnsi="Arial" w:cs="Arial"/>
          <w:sz w:val="20"/>
          <w:szCs w:val="20"/>
        </w:rPr>
      </w:pPr>
      <w:r w:rsidRPr="0075234B">
        <w:rPr>
          <w:rFonts w:ascii="Arial" w:hAnsi="Arial" w:cs="Arial"/>
          <w:sz w:val="20"/>
          <w:szCs w:val="20"/>
        </w:rPr>
        <w:t>Per cogliere ulteriori elementi relativi al mutamento delle strutture di ponderazione tra le due basi in esame, è utile il confronto a livello di settori di attività economica riferito ai differenti mercati (Prospetto 11).</w:t>
      </w:r>
    </w:p>
    <w:p w:rsidR="00080B51" w:rsidRDefault="00080B51" w:rsidP="00604101">
      <w:pPr>
        <w:spacing w:after="120"/>
        <w:ind w:left="1814"/>
        <w:jc w:val="both"/>
        <w:rPr>
          <w:rFonts w:ascii="Arial" w:hAnsi="Arial" w:cs="Arial"/>
          <w:sz w:val="20"/>
          <w:szCs w:val="20"/>
        </w:rPr>
      </w:pPr>
    </w:p>
    <w:p w:rsidR="008A2484" w:rsidRPr="00D62247" w:rsidRDefault="008A2484" w:rsidP="00821718">
      <w:pPr>
        <w:spacing w:after="120"/>
        <w:jc w:val="both"/>
        <w:rPr>
          <w:rFonts w:ascii="Arial Narrow" w:hAnsi="Arial Narrow" w:cs="Arial"/>
          <w:color w:val="333333"/>
          <w:sz w:val="19"/>
          <w:szCs w:val="16"/>
        </w:rPr>
      </w:pPr>
      <w:r w:rsidRPr="00D62247">
        <w:rPr>
          <w:rFonts w:ascii="Arial Narrow" w:hAnsi="Arial Narrow" w:cs="Arial"/>
          <w:b/>
          <w:caps/>
          <w:color w:val="777777"/>
          <w:sz w:val="20"/>
          <w:szCs w:val="16"/>
        </w:rPr>
        <w:t xml:space="preserve">Prospetto 11. Prezzi alla produzione dei prodotti industriali, Mercato interno, mercato estero area euro e mercato estero area non euro. </w:t>
      </w:r>
      <w:r w:rsidRPr="00D62247">
        <w:rPr>
          <w:rFonts w:ascii="Arial Narrow" w:hAnsi="Arial Narrow" w:cs="Arial"/>
          <w:color w:val="333333"/>
          <w:sz w:val="19"/>
          <w:szCs w:val="16"/>
        </w:rPr>
        <w:t xml:space="preserve">Confronto tra le strutture di ponderazione </w:t>
      </w:r>
      <w:r w:rsidRPr="00D62247">
        <w:rPr>
          <w:rFonts w:ascii="Arial Narrow" w:hAnsi="Arial Narrow" w:cs="Arial"/>
          <w:bCs/>
          <w:color w:val="333333"/>
          <w:sz w:val="19"/>
          <w:szCs w:val="16"/>
        </w:rPr>
        <w:t>delle basi di calcolo Dicembre 201</w:t>
      </w:r>
      <w:r>
        <w:rPr>
          <w:rFonts w:ascii="Arial Narrow" w:hAnsi="Arial Narrow" w:cs="Arial"/>
          <w:bCs/>
          <w:color w:val="333333"/>
          <w:sz w:val="19"/>
          <w:szCs w:val="16"/>
        </w:rPr>
        <w:t>2</w:t>
      </w:r>
      <w:r w:rsidRPr="00D62247">
        <w:rPr>
          <w:rFonts w:ascii="Arial Narrow" w:hAnsi="Arial Narrow" w:cs="Arial"/>
          <w:bCs/>
          <w:color w:val="333333"/>
          <w:sz w:val="19"/>
          <w:szCs w:val="16"/>
        </w:rPr>
        <w:t xml:space="preserve"> e Dicem</w:t>
      </w:r>
      <w:r>
        <w:rPr>
          <w:rFonts w:ascii="Arial Narrow" w:hAnsi="Arial Narrow" w:cs="Arial"/>
          <w:bCs/>
          <w:color w:val="333333"/>
          <w:sz w:val="19"/>
          <w:szCs w:val="16"/>
        </w:rPr>
        <w:t>bre 2013</w:t>
      </w:r>
      <w:r w:rsidR="00E77D7E">
        <w:rPr>
          <w:rFonts w:ascii="Arial Narrow" w:hAnsi="Arial Narrow" w:cs="Arial"/>
          <w:bCs/>
          <w:color w:val="333333"/>
          <w:sz w:val="19"/>
          <w:szCs w:val="16"/>
        </w:rPr>
        <w:t>.</w:t>
      </w:r>
    </w:p>
    <w:tbl>
      <w:tblPr>
        <w:tblW w:w="5000" w:type="pct"/>
        <w:tblBorders>
          <w:top w:val="single" w:sz="4" w:space="0" w:color="333333"/>
          <w:bottom w:val="single" w:sz="4" w:space="0" w:color="333333"/>
          <w:insideH w:val="single" w:sz="4" w:space="0" w:color="333333"/>
        </w:tblBorders>
        <w:tblLook w:val="01E0" w:firstRow="1" w:lastRow="1" w:firstColumn="1" w:lastColumn="1" w:noHBand="0" w:noVBand="0"/>
      </w:tblPr>
      <w:tblGrid>
        <w:gridCol w:w="577"/>
        <w:gridCol w:w="3719"/>
        <w:gridCol w:w="1050"/>
        <w:gridCol w:w="1169"/>
        <w:gridCol w:w="1005"/>
        <w:gridCol w:w="1096"/>
        <w:gridCol w:w="1044"/>
        <w:gridCol w:w="1102"/>
      </w:tblGrid>
      <w:tr w:rsidR="008A2484" w:rsidRPr="00D62247" w:rsidTr="00821718">
        <w:trPr>
          <w:cantSplit/>
          <w:trHeight w:hRule="exact" w:val="503"/>
        </w:trPr>
        <w:tc>
          <w:tcPr>
            <w:tcW w:w="1996" w:type="pct"/>
            <w:gridSpan w:val="2"/>
            <w:vMerge w:val="restart"/>
            <w:vAlign w:val="center"/>
          </w:tcPr>
          <w:p w:rsidR="008A2484" w:rsidRPr="00D62247" w:rsidRDefault="008A2484" w:rsidP="00B52A21">
            <w:pPr>
              <w:spacing w:before="40" w:after="20"/>
              <w:rPr>
                <w:rFonts w:ascii="Arial Narrow" w:hAnsi="Arial Narrow" w:cs="Arial"/>
                <w:b/>
                <w:sz w:val="18"/>
                <w:szCs w:val="16"/>
              </w:rPr>
            </w:pPr>
            <w:r w:rsidRPr="00D62247">
              <w:rPr>
                <w:rFonts w:ascii="Arial Narrow" w:hAnsi="Arial Narrow" w:cs="Arial"/>
                <w:b/>
                <w:sz w:val="18"/>
                <w:szCs w:val="16"/>
              </w:rPr>
              <w:t>Settori di attività economica</w:t>
            </w:r>
          </w:p>
        </w:tc>
        <w:tc>
          <w:tcPr>
            <w:tcW w:w="1031" w:type="pct"/>
            <w:gridSpan w:val="2"/>
            <w:shd w:val="clear" w:color="auto" w:fill="E6E6E6"/>
            <w:vAlign w:val="center"/>
          </w:tcPr>
          <w:p w:rsidR="008A2484" w:rsidRPr="00D62247" w:rsidRDefault="008A2484" w:rsidP="00B52A21">
            <w:pPr>
              <w:spacing w:before="40" w:after="20"/>
              <w:jc w:val="center"/>
              <w:rPr>
                <w:rFonts w:ascii="Arial Narrow" w:hAnsi="Arial Narrow" w:cs="Arial"/>
                <w:b/>
                <w:sz w:val="18"/>
                <w:szCs w:val="16"/>
              </w:rPr>
            </w:pPr>
            <w:r w:rsidRPr="00D62247">
              <w:rPr>
                <w:rFonts w:ascii="Arial Narrow" w:hAnsi="Arial Narrow" w:cs="Arial"/>
                <w:b/>
                <w:sz w:val="18"/>
                <w:szCs w:val="16"/>
              </w:rPr>
              <w:t>Interno</w:t>
            </w:r>
          </w:p>
        </w:tc>
        <w:tc>
          <w:tcPr>
            <w:tcW w:w="976" w:type="pct"/>
            <w:gridSpan w:val="2"/>
            <w:vAlign w:val="center"/>
          </w:tcPr>
          <w:p w:rsidR="008A2484" w:rsidRPr="00D62247" w:rsidRDefault="008A2484" w:rsidP="00B52A21">
            <w:pPr>
              <w:spacing w:before="40" w:after="20"/>
              <w:jc w:val="center"/>
              <w:rPr>
                <w:rFonts w:ascii="Arial Narrow" w:hAnsi="Arial Narrow" w:cs="Arial"/>
                <w:b/>
                <w:sz w:val="18"/>
                <w:szCs w:val="16"/>
              </w:rPr>
            </w:pPr>
            <w:r w:rsidRPr="00D62247">
              <w:rPr>
                <w:rFonts w:ascii="Arial Narrow" w:hAnsi="Arial Narrow" w:cs="Arial"/>
                <w:b/>
                <w:sz w:val="18"/>
                <w:szCs w:val="16"/>
              </w:rPr>
              <w:t>Estero area euro</w:t>
            </w:r>
          </w:p>
        </w:tc>
        <w:tc>
          <w:tcPr>
            <w:tcW w:w="997" w:type="pct"/>
            <w:gridSpan w:val="2"/>
            <w:shd w:val="clear" w:color="auto" w:fill="E6E6E6"/>
            <w:vAlign w:val="center"/>
          </w:tcPr>
          <w:p w:rsidR="008A2484" w:rsidRPr="00D62247" w:rsidRDefault="008A2484" w:rsidP="00B52A21">
            <w:pPr>
              <w:spacing w:before="40" w:after="20"/>
              <w:jc w:val="center"/>
              <w:rPr>
                <w:rFonts w:ascii="Arial Narrow" w:hAnsi="Arial Narrow" w:cs="Arial"/>
                <w:b/>
                <w:sz w:val="18"/>
                <w:szCs w:val="16"/>
              </w:rPr>
            </w:pPr>
            <w:r w:rsidRPr="00D62247">
              <w:rPr>
                <w:rFonts w:ascii="Arial Narrow" w:hAnsi="Arial Narrow" w:cs="Arial"/>
                <w:b/>
                <w:sz w:val="18"/>
                <w:szCs w:val="16"/>
              </w:rPr>
              <w:t>Estero area non euro</w:t>
            </w:r>
          </w:p>
        </w:tc>
      </w:tr>
      <w:tr w:rsidR="008A2484" w:rsidRPr="00D62247" w:rsidTr="00821718">
        <w:trPr>
          <w:cantSplit/>
          <w:trHeight w:hRule="exact" w:val="527"/>
        </w:trPr>
        <w:tc>
          <w:tcPr>
            <w:tcW w:w="1996" w:type="pct"/>
            <w:gridSpan w:val="2"/>
            <w:vMerge/>
            <w:vAlign w:val="center"/>
          </w:tcPr>
          <w:p w:rsidR="008A2484" w:rsidRPr="00D62247" w:rsidRDefault="008A2484" w:rsidP="00B52A21">
            <w:pPr>
              <w:spacing w:before="40" w:after="20"/>
              <w:rPr>
                <w:rFonts w:ascii="Arial Narrow" w:hAnsi="Arial Narrow" w:cs="Arial"/>
                <w:sz w:val="18"/>
                <w:szCs w:val="16"/>
              </w:rPr>
            </w:pPr>
          </w:p>
        </w:tc>
        <w:tc>
          <w:tcPr>
            <w:tcW w:w="488" w:type="pct"/>
            <w:shd w:val="clear" w:color="auto" w:fill="E6E6E6"/>
            <w:vAlign w:val="center"/>
          </w:tcPr>
          <w:p w:rsidR="00C10D03"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Base</w:t>
            </w:r>
          </w:p>
          <w:p w:rsidR="008A2484" w:rsidRPr="00D62247"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2</w:t>
            </w:r>
          </w:p>
        </w:tc>
        <w:tc>
          <w:tcPr>
            <w:tcW w:w="543" w:type="pct"/>
            <w:vAlign w:val="center"/>
          </w:tcPr>
          <w:p w:rsidR="00C10D03"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Base</w:t>
            </w:r>
          </w:p>
          <w:p w:rsidR="008A2484" w:rsidRPr="00D62247"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3</w:t>
            </w:r>
          </w:p>
        </w:tc>
        <w:tc>
          <w:tcPr>
            <w:tcW w:w="467" w:type="pct"/>
            <w:shd w:val="clear" w:color="auto" w:fill="E6E6E6"/>
            <w:vAlign w:val="center"/>
          </w:tcPr>
          <w:p w:rsidR="00C10D03"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Base</w:t>
            </w:r>
          </w:p>
          <w:p w:rsidR="008A2484" w:rsidRPr="00D62247"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2</w:t>
            </w:r>
          </w:p>
        </w:tc>
        <w:tc>
          <w:tcPr>
            <w:tcW w:w="509" w:type="pct"/>
            <w:vAlign w:val="center"/>
          </w:tcPr>
          <w:p w:rsidR="00C10D03"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Base</w:t>
            </w:r>
          </w:p>
          <w:p w:rsidR="008A2484" w:rsidRPr="00D62247"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3</w:t>
            </w:r>
          </w:p>
        </w:tc>
        <w:tc>
          <w:tcPr>
            <w:tcW w:w="485" w:type="pct"/>
            <w:shd w:val="clear" w:color="auto" w:fill="E6E6E6"/>
            <w:vAlign w:val="center"/>
          </w:tcPr>
          <w:p w:rsidR="00C10D03"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Base</w:t>
            </w:r>
          </w:p>
          <w:p w:rsidR="008A2484" w:rsidRPr="00D62247"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2</w:t>
            </w:r>
          </w:p>
        </w:tc>
        <w:tc>
          <w:tcPr>
            <w:tcW w:w="512" w:type="pct"/>
            <w:vAlign w:val="center"/>
          </w:tcPr>
          <w:p w:rsidR="00C10D03" w:rsidRDefault="00C10D03" w:rsidP="00B52A21">
            <w:pPr>
              <w:spacing w:before="40" w:after="20"/>
              <w:jc w:val="right"/>
              <w:rPr>
                <w:rFonts w:ascii="Arial Narrow" w:hAnsi="Arial Narrow" w:cs="Arial"/>
                <w:b/>
                <w:sz w:val="18"/>
                <w:szCs w:val="16"/>
              </w:rPr>
            </w:pPr>
            <w:r>
              <w:rPr>
                <w:rFonts w:ascii="Arial Narrow" w:hAnsi="Arial Narrow" w:cs="Arial"/>
                <w:b/>
                <w:sz w:val="18"/>
                <w:szCs w:val="16"/>
              </w:rPr>
              <w:t>Base</w:t>
            </w:r>
          </w:p>
          <w:p w:rsidR="008A2484" w:rsidRPr="00D62247" w:rsidRDefault="008A2484" w:rsidP="00B52A21">
            <w:pPr>
              <w:spacing w:before="40" w:after="20"/>
              <w:jc w:val="right"/>
              <w:rPr>
                <w:rFonts w:ascii="Arial Narrow" w:hAnsi="Arial Narrow" w:cs="Arial"/>
                <w:b/>
                <w:sz w:val="18"/>
                <w:szCs w:val="16"/>
              </w:rPr>
            </w:pPr>
            <w:r w:rsidRPr="00D62247">
              <w:rPr>
                <w:rFonts w:ascii="Arial Narrow" w:hAnsi="Arial Narrow" w:cs="Arial"/>
                <w:b/>
                <w:sz w:val="18"/>
                <w:szCs w:val="16"/>
              </w:rPr>
              <w:t>201</w:t>
            </w:r>
            <w:r>
              <w:rPr>
                <w:rFonts w:ascii="Arial Narrow" w:hAnsi="Arial Narrow" w:cs="Arial"/>
                <w:b/>
                <w:sz w:val="18"/>
                <w:szCs w:val="16"/>
              </w:rPr>
              <w:t>3</w:t>
            </w:r>
          </w:p>
        </w:tc>
      </w:tr>
      <w:tr w:rsidR="006E0C83" w:rsidRPr="00D62247" w:rsidTr="006E0C83">
        <w:tc>
          <w:tcPr>
            <w:tcW w:w="268" w:type="pct"/>
            <w:vAlign w:val="center"/>
          </w:tcPr>
          <w:p w:rsidR="006E0C83" w:rsidRPr="00D62247" w:rsidRDefault="006E0C83" w:rsidP="00B52A21">
            <w:pPr>
              <w:tabs>
                <w:tab w:val="left" w:pos="-774"/>
                <w:tab w:val="left" w:pos="-567"/>
                <w:tab w:val="left" w:pos="249"/>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B</w:t>
            </w:r>
          </w:p>
        </w:tc>
        <w:tc>
          <w:tcPr>
            <w:tcW w:w="1728" w:type="pct"/>
            <w:vAlign w:val="center"/>
          </w:tcPr>
          <w:p w:rsidR="006E0C83" w:rsidRPr="00D62247" w:rsidRDefault="006E0C83" w:rsidP="00B52A21">
            <w:pPr>
              <w:tabs>
                <w:tab w:val="left" w:pos="-774"/>
                <w:tab w:val="left" w:pos="-567"/>
                <w:tab w:val="left" w:pos="249"/>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Attività estrattiva</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0,8539</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1,0744</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0,0823</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0,0822</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0,0925</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0,1168</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w:t>
            </w:r>
          </w:p>
        </w:tc>
        <w:tc>
          <w:tcPr>
            <w:tcW w:w="1728" w:type="pct"/>
            <w:vAlign w:val="center"/>
          </w:tcPr>
          <w:p w:rsidR="006E0C83" w:rsidRPr="00D62247" w:rsidRDefault="006E0C83" w:rsidP="00B52A21">
            <w:pPr>
              <w:tabs>
                <w:tab w:val="left" w:pos="-774"/>
                <w:tab w:val="left" w:pos="-567"/>
                <w:tab w:val="left" w:pos="0"/>
                <w:tab w:val="left" w:pos="227"/>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Attività manifatturiere</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75,5880</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76,0210</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99,9177</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99,9178</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99,9075</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99,8832</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CA</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Industrie alimentari, bevande e tabacco</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12,2303</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13,1697</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7,7784</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8,4008</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6,1118</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6,1423</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CB</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Industrie tessili, abbigliamento, </w:t>
            </w:r>
            <w:r w:rsidRPr="00D62247">
              <w:rPr>
                <w:rFonts w:ascii="Arial Narrow" w:hAnsi="Arial Narrow" w:cs="Arial"/>
                <w:sz w:val="18"/>
                <w:szCs w:val="16"/>
              </w:rPr>
              <w:br/>
              <w:t>pelli e accessori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6,0461</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6,1458</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10,1925</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10,2297</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11,2630</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11,7975</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CC</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Industria del legno, della carta e stampa</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4,6842</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4,8669</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3,5654</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3,5692</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2,3099</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2,3793</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CD</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Fabbricazione di coke e prodotti </w:t>
            </w:r>
            <w:r w:rsidRPr="00D62247">
              <w:rPr>
                <w:rFonts w:ascii="Arial Narrow" w:hAnsi="Arial Narrow" w:cs="Arial"/>
                <w:sz w:val="18"/>
                <w:szCs w:val="16"/>
              </w:rPr>
              <w:br/>
              <w:t>petroliferi raffinati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8,5143</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8,9665</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3,4735</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2,5552</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4,3722</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3,7387</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CE</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Fabbricazioni di prodotti chimici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3,9853</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3,8406</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7,1125</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6,6482</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6,0392</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5,9859</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CF</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Produzione di prodotti farmaceutici </w:t>
            </w:r>
            <w:r w:rsidRPr="00D62247">
              <w:rPr>
                <w:rFonts w:ascii="Arial Narrow" w:hAnsi="Arial Narrow" w:cs="Arial"/>
                <w:sz w:val="18"/>
                <w:szCs w:val="16"/>
              </w:rPr>
              <w:br/>
              <w:t>di base e preparati farmaceutici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1,6047</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1,6888</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3,8988</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3,6618</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4,5569</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4,6894</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CG</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Fabbricazione di articoli in gomma </w:t>
            </w:r>
            <w:r w:rsidRPr="00D62247">
              <w:rPr>
                <w:rFonts w:ascii="Arial Narrow" w:hAnsi="Arial Narrow" w:cs="Arial"/>
                <w:sz w:val="18"/>
                <w:szCs w:val="16"/>
              </w:rPr>
              <w:br/>
              <w:t>e materie plastiche, altri prodotti della lavorazione di minerali non metalliferi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6,8626</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6,7351</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8,9283</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9,5101</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6,3516</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6,1346</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CH</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Metallurgia e fabbricazione di prodotti </w:t>
            </w:r>
            <w:r w:rsidRPr="00D62247">
              <w:rPr>
                <w:rFonts w:ascii="Arial Narrow" w:hAnsi="Arial Narrow" w:cs="Arial"/>
                <w:sz w:val="18"/>
                <w:szCs w:val="16"/>
              </w:rPr>
              <w:br/>
              <w:t>in metallo (esclusi macchine e impianti)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11,6934</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11,0749</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15,5302</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16,2621</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10,9119</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11,0330</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CI</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Fabbricazione di computer, prodotti </w:t>
            </w:r>
            <w:r w:rsidRPr="00D62247">
              <w:rPr>
                <w:rFonts w:ascii="Arial Narrow" w:hAnsi="Arial Narrow" w:cs="Arial"/>
                <w:sz w:val="18"/>
                <w:szCs w:val="16"/>
              </w:rPr>
              <w:br/>
              <w:t>di elettronica e ottica, apparec</w:t>
            </w:r>
            <w:r>
              <w:rPr>
                <w:rFonts w:ascii="Arial Narrow" w:hAnsi="Arial Narrow" w:cs="Arial"/>
                <w:sz w:val="18"/>
                <w:szCs w:val="16"/>
              </w:rPr>
              <w:t>chi elettrome</w:t>
            </w:r>
            <w:r w:rsidRPr="00D62247">
              <w:rPr>
                <w:rFonts w:ascii="Arial Narrow" w:hAnsi="Arial Narrow" w:cs="Arial"/>
                <w:sz w:val="18"/>
                <w:szCs w:val="16"/>
              </w:rPr>
              <w:t>dicali, apparecchi di misurazione e orologi</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1,6338</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1,5972</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3,1675</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2,8737</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3,3974</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3,1072</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CJ</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Fabbricazione di apparecchiature elettriche e apparecchiature per uso domestico </w:t>
            </w:r>
            <w:r w:rsidRPr="00D62247">
              <w:rPr>
                <w:rFonts w:ascii="Arial Narrow" w:hAnsi="Arial Narrow" w:cs="Arial"/>
                <w:sz w:val="18"/>
                <w:szCs w:val="16"/>
              </w:rPr>
              <w:br/>
              <w:t>non elettriche</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2,5501</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2,6353</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6,1033</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6,1661</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5,9740</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5,3715</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CK</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Fabbricazione di macchinari e attrezzature </w:t>
            </w:r>
            <w:proofErr w:type="spellStart"/>
            <w:r w:rsidRPr="00D62247">
              <w:rPr>
                <w:rFonts w:ascii="Arial Narrow" w:hAnsi="Arial Narrow" w:cs="Arial"/>
                <w:sz w:val="18"/>
                <w:szCs w:val="16"/>
              </w:rPr>
              <w:t>n.c.a</w:t>
            </w:r>
            <w:proofErr w:type="spellEnd"/>
            <w:r w:rsidRPr="00D62247">
              <w:rPr>
                <w:rFonts w:ascii="Arial Narrow" w:hAnsi="Arial Narrow" w:cs="Arial"/>
                <w:sz w:val="18"/>
                <w:szCs w:val="16"/>
              </w:rPr>
              <w:t>.</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5,9837</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5,9725</w:t>
            </w:r>
          </w:p>
        </w:tc>
        <w:tc>
          <w:tcPr>
            <w:tcW w:w="467" w:type="pct"/>
            <w:tcBorders>
              <w:bottom w:val="single" w:sz="4" w:space="0" w:color="333333"/>
            </w:tcBorders>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13,0494</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13,9576</w:t>
            </w:r>
          </w:p>
        </w:tc>
        <w:tc>
          <w:tcPr>
            <w:tcW w:w="485" w:type="pct"/>
            <w:tcBorders>
              <w:bottom w:val="single" w:sz="4" w:space="0" w:color="333333"/>
            </w:tcBorders>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23,2121</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24,4031</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CL</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Fabbricazione di mezzi di trasporto</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4,8163</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4,8968</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11,7905</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10,6943</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9,1555</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8,9439</w:t>
            </w:r>
          </w:p>
        </w:tc>
      </w:tr>
      <w:tr w:rsidR="006E0C83" w:rsidRPr="00D62247" w:rsidTr="006E0C83">
        <w:tc>
          <w:tcPr>
            <w:tcW w:w="26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CM</w:t>
            </w:r>
          </w:p>
        </w:tc>
        <w:tc>
          <w:tcPr>
            <w:tcW w:w="1728" w:type="pct"/>
            <w:vAlign w:val="center"/>
          </w:tcPr>
          <w:p w:rsidR="006E0C83" w:rsidRPr="00D62247" w:rsidRDefault="006E0C83" w:rsidP="00B52A21">
            <w:pPr>
              <w:tabs>
                <w:tab w:val="left" w:pos="-774"/>
                <w:tab w:val="left" w:pos="-567"/>
                <w:tab w:val="left" w:pos="0"/>
                <w:tab w:val="left" w:pos="227"/>
                <w:tab w:val="left" w:pos="391"/>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Altre industrie manifatturiere, </w:t>
            </w:r>
            <w:r w:rsidRPr="00D62247">
              <w:rPr>
                <w:rFonts w:ascii="Arial Narrow" w:hAnsi="Arial Narrow" w:cs="Arial"/>
                <w:sz w:val="18"/>
                <w:szCs w:val="16"/>
              </w:rPr>
              <w:br/>
              <w:t xml:space="preserve">riparazione e installazione di macchine </w:t>
            </w:r>
            <w:r w:rsidRPr="00D62247">
              <w:rPr>
                <w:rFonts w:ascii="Arial Narrow" w:hAnsi="Arial Narrow" w:cs="Arial"/>
                <w:sz w:val="18"/>
                <w:szCs w:val="16"/>
              </w:rPr>
              <w:br/>
              <w:t>e apparecchiature</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4,9832</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4,4309</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color w:val="000000"/>
                <w:sz w:val="18"/>
                <w:szCs w:val="16"/>
              </w:rPr>
            </w:pPr>
            <w:r w:rsidRPr="00D62247">
              <w:rPr>
                <w:rFonts w:ascii="Arial Narrow" w:hAnsi="Arial Narrow" w:cs="Arial"/>
                <w:color w:val="000000"/>
                <w:sz w:val="18"/>
                <w:szCs w:val="16"/>
              </w:rPr>
              <w:t>5,3274</w:t>
            </w:r>
          </w:p>
        </w:tc>
        <w:tc>
          <w:tcPr>
            <w:tcW w:w="509"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5,3890</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6,2520</w:t>
            </w:r>
          </w:p>
        </w:tc>
        <w:tc>
          <w:tcPr>
            <w:tcW w:w="512"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6,1568</w:t>
            </w:r>
          </w:p>
        </w:tc>
      </w:tr>
      <w:tr w:rsidR="006E0C83" w:rsidRPr="00D62247" w:rsidTr="006E0C83">
        <w:tc>
          <w:tcPr>
            <w:tcW w:w="268" w:type="pct"/>
            <w:vAlign w:val="center"/>
          </w:tcPr>
          <w:p w:rsidR="006E0C83" w:rsidRPr="00D62247" w:rsidRDefault="006E0C83" w:rsidP="00B52A21">
            <w:pPr>
              <w:tabs>
                <w:tab w:val="left" w:pos="-774"/>
                <w:tab w:val="left" w:pos="-567"/>
                <w:tab w:val="left" w:pos="249"/>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D</w:t>
            </w:r>
          </w:p>
        </w:tc>
        <w:tc>
          <w:tcPr>
            <w:tcW w:w="1728" w:type="pct"/>
            <w:vAlign w:val="center"/>
          </w:tcPr>
          <w:p w:rsidR="006E0C83" w:rsidRPr="00D62247" w:rsidRDefault="006E0C83" w:rsidP="00B52A21">
            <w:pPr>
              <w:tabs>
                <w:tab w:val="left" w:pos="-774"/>
                <w:tab w:val="left" w:pos="-567"/>
                <w:tab w:val="left" w:pos="249"/>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Fornitura di energia elettrica, gas, vapore ed aria condizionata</w:t>
            </w:r>
          </w:p>
        </w:tc>
        <w:tc>
          <w:tcPr>
            <w:tcW w:w="488"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22,7615</w:t>
            </w:r>
          </w:p>
        </w:tc>
        <w:tc>
          <w:tcPr>
            <w:tcW w:w="543" w:type="pct"/>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22,0254</w:t>
            </w:r>
          </w:p>
        </w:tc>
        <w:tc>
          <w:tcPr>
            <w:tcW w:w="467"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c>
          <w:tcPr>
            <w:tcW w:w="509" w:type="pct"/>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c>
          <w:tcPr>
            <w:tcW w:w="485" w:type="pct"/>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c>
          <w:tcPr>
            <w:tcW w:w="512" w:type="pct"/>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r>
      <w:tr w:rsidR="006E0C83" w:rsidRPr="00D62247" w:rsidTr="006E0C83">
        <w:tc>
          <w:tcPr>
            <w:tcW w:w="268" w:type="pct"/>
            <w:tcBorders>
              <w:bottom w:val="single" w:sz="4" w:space="0" w:color="333333"/>
            </w:tcBorders>
            <w:vAlign w:val="center"/>
          </w:tcPr>
          <w:p w:rsidR="006E0C83" w:rsidRPr="00D62247" w:rsidRDefault="006E0C83" w:rsidP="00B52A21">
            <w:pPr>
              <w:tabs>
                <w:tab w:val="left" w:pos="-774"/>
                <w:tab w:val="left" w:pos="-567"/>
                <w:tab w:val="left" w:pos="0"/>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jc w:val="both"/>
              <w:rPr>
                <w:rFonts w:ascii="Arial Narrow" w:hAnsi="Arial Narrow" w:cs="Arial"/>
                <w:sz w:val="18"/>
                <w:szCs w:val="16"/>
              </w:rPr>
            </w:pPr>
            <w:r w:rsidRPr="00D62247">
              <w:rPr>
                <w:rFonts w:ascii="Arial Narrow" w:hAnsi="Arial Narrow" w:cs="Arial"/>
                <w:sz w:val="18"/>
                <w:szCs w:val="16"/>
              </w:rPr>
              <w:t>E</w:t>
            </w:r>
          </w:p>
        </w:tc>
        <w:tc>
          <w:tcPr>
            <w:tcW w:w="1728" w:type="pct"/>
            <w:tcBorders>
              <w:bottom w:val="single" w:sz="4" w:space="0" w:color="333333"/>
            </w:tcBorders>
            <w:vAlign w:val="center"/>
          </w:tcPr>
          <w:p w:rsidR="006E0C83" w:rsidRPr="00D62247" w:rsidRDefault="006E0C83" w:rsidP="00B52A21">
            <w:pPr>
              <w:tabs>
                <w:tab w:val="left" w:pos="-774"/>
                <w:tab w:val="left" w:pos="-567"/>
                <w:tab w:val="left" w:pos="0"/>
                <w:tab w:val="left" w:pos="565"/>
                <w:tab w:val="left" w:pos="1201"/>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40" w:after="20"/>
              <w:rPr>
                <w:rFonts w:ascii="Arial Narrow" w:hAnsi="Arial Narrow" w:cs="Arial"/>
                <w:sz w:val="18"/>
                <w:szCs w:val="16"/>
              </w:rPr>
            </w:pPr>
            <w:r w:rsidRPr="00D62247">
              <w:rPr>
                <w:rFonts w:ascii="Arial Narrow" w:hAnsi="Arial Narrow" w:cs="Arial"/>
                <w:sz w:val="18"/>
                <w:szCs w:val="16"/>
              </w:rPr>
              <w:t xml:space="preserve">Fornitura di acqua; reti fognarie, attività </w:t>
            </w:r>
            <w:r w:rsidRPr="00D62247">
              <w:rPr>
                <w:rFonts w:ascii="Arial Narrow" w:hAnsi="Arial Narrow" w:cs="Arial"/>
                <w:sz w:val="18"/>
                <w:szCs w:val="16"/>
              </w:rPr>
              <w:br/>
              <w:t>di trattamento dei rifiuti e risanamento</w:t>
            </w:r>
          </w:p>
        </w:tc>
        <w:tc>
          <w:tcPr>
            <w:tcW w:w="488" w:type="pct"/>
            <w:tcBorders>
              <w:bottom w:val="single" w:sz="4" w:space="0" w:color="333333"/>
            </w:tcBorders>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0,7966</w:t>
            </w:r>
          </w:p>
        </w:tc>
        <w:tc>
          <w:tcPr>
            <w:tcW w:w="543" w:type="pct"/>
            <w:tcBorders>
              <w:bottom w:val="single" w:sz="4" w:space="0" w:color="333333"/>
            </w:tcBorders>
            <w:vAlign w:val="center"/>
          </w:tcPr>
          <w:p w:rsidR="006E0C83" w:rsidRPr="006E0C83" w:rsidRDefault="006E0C83" w:rsidP="006E0C83">
            <w:pPr>
              <w:spacing w:before="40" w:after="20"/>
              <w:jc w:val="right"/>
              <w:rPr>
                <w:rFonts w:ascii="Arial Narrow" w:hAnsi="Arial Narrow" w:cs="Arial"/>
                <w:sz w:val="18"/>
                <w:szCs w:val="16"/>
              </w:rPr>
            </w:pPr>
            <w:r w:rsidRPr="006E0C83">
              <w:rPr>
                <w:rFonts w:ascii="Arial Narrow" w:hAnsi="Arial Narrow" w:cs="Arial"/>
                <w:sz w:val="18"/>
                <w:szCs w:val="16"/>
              </w:rPr>
              <w:t>0,8792</w:t>
            </w:r>
          </w:p>
        </w:tc>
        <w:tc>
          <w:tcPr>
            <w:tcW w:w="467" w:type="pct"/>
            <w:tcBorders>
              <w:bottom w:val="single" w:sz="4" w:space="0" w:color="333333"/>
            </w:tcBorders>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c>
          <w:tcPr>
            <w:tcW w:w="509" w:type="pct"/>
            <w:tcBorders>
              <w:bottom w:val="single" w:sz="4" w:space="0" w:color="333333"/>
            </w:tcBorders>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c>
          <w:tcPr>
            <w:tcW w:w="485" w:type="pct"/>
            <w:tcBorders>
              <w:bottom w:val="single" w:sz="4" w:space="0" w:color="333333"/>
            </w:tcBorders>
            <w:shd w:val="clear" w:color="auto" w:fill="E6E6E6"/>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c>
          <w:tcPr>
            <w:tcW w:w="512" w:type="pct"/>
            <w:tcBorders>
              <w:bottom w:val="single" w:sz="4" w:space="0" w:color="333333"/>
            </w:tcBorders>
            <w:vAlign w:val="center"/>
          </w:tcPr>
          <w:p w:rsidR="006E0C83" w:rsidRPr="00D62247" w:rsidRDefault="006E0C83" w:rsidP="00B52A21">
            <w:pPr>
              <w:spacing w:before="40" w:after="20"/>
              <w:jc w:val="right"/>
              <w:rPr>
                <w:rFonts w:ascii="Arial Narrow" w:hAnsi="Arial Narrow" w:cs="Arial"/>
                <w:sz w:val="18"/>
                <w:szCs w:val="16"/>
              </w:rPr>
            </w:pPr>
            <w:r w:rsidRPr="00D62247">
              <w:rPr>
                <w:rFonts w:ascii="Arial Narrow" w:hAnsi="Arial Narrow" w:cs="Arial"/>
                <w:sz w:val="18"/>
                <w:szCs w:val="16"/>
              </w:rPr>
              <w:t>-</w:t>
            </w:r>
          </w:p>
        </w:tc>
      </w:tr>
      <w:tr w:rsidR="008A2484" w:rsidRPr="00D62247" w:rsidTr="00821718">
        <w:trPr>
          <w:cantSplit/>
        </w:trPr>
        <w:tc>
          <w:tcPr>
            <w:tcW w:w="1996" w:type="pct"/>
            <w:gridSpan w:val="2"/>
            <w:shd w:val="clear" w:color="auto" w:fill="99CC00"/>
            <w:vAlign w:val="center"/>
          </w:tcPr>
          <w:p w:rsidR="008A2484" w:rsidRPr="00D62247" w:rsidRDefault="008A2484" w:rsidP="00B52A21">
            <w:pPr>
              <w:tabs>
                <w:tab w:val="left" w:pos="-774"/>
                <w:tab w:val="left" w:pos="-567"/>
                <w:tab w:val="left" w:pos="67"/>
                <w:tab w:val="left" w:pos="565"/>
                <w:tab w:val="left" w:pos="1258"/>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60" w:after="40"/>
              <w:rPr>
                <w:rFonts w:ascii="Arial Narrow" w:hAnsi="Arial Narrow" w:cs="Arial"/>
                <w:b/>
                <w:color w:val="FFFFFF"/>
                <w:sz w:val="18"/>
                <w:szCs w:val="16"/>
              </w:rPr>
            </w:pPr>
            <w:r w:rsidRPr="00D62247">
              <w:rPr>
                <w:rFonts w:ascii="Arial Narrow" w:hAnsi="Arial Narrow" w:cs="Arial"/>
                <w:b/>
                <w:color w:val="FFFFFF"/>
                <w:sz w:val="18"/>
                <w:szCs w:val="16"/>
              </w:rPr>
              <w:t>TOTALE</w:t>
            </w:r>
          </w:p>
        </w:tc>
        <w:tc>
          <w:tcPr>
            <w:tcW w:w="488" w:type="pct"/>
            <w:shd w:val="clear" w:color="auto" w:fill="99CC00"/>
            <w:vAlign w:val="center"/>
          </w:tcPr>
          <w:p w:rsidR="008A2484" w:rsidRPr="00D62247" w:rsidRDefault="008A2484" w:rsidP="00B52A21">
            <w:pPr>
              <w:spacing w:before="60" w:after="4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543" w:type="pct"/>
            <w:shd w:val="clear" w:color="auto" w:fill="99CC00"/>
            <w:vAlign w:val="center"/>
          </w:tcPr>
          <w:p w:rsidR="008A2484" w:rsidRPr="00D62247" w:rsidRDefault="008A2484" w:rsidP="00B52A21">
            <w:pPr>
              <w:spacing w:before="60" w:after="4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67" w:type="pct"/>
            <w:shd w:val="clear" w:color="auto" w:fill="99CC00"/>
            <w:vAlign w:val="center"/>
          </w:tcPr>
          <w:p w:rsidR="008A2484" w:rsidRPr="00D62247" w:rsidRDefault="008A2484" w:rsidP="00B52A21">
            <w:pPr>
              <w:spacing w:before="60" w:after="4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509" w:type="pct"/>
            <w:shd w:val="clear" w:color="auto" w:fill="99CC00"/>
            <w:vAlign w:val="center"/>
          </w:tcPr>
          <w:p w:rsidR="008A2484" w:rsidRPr="00D62247" w:rsidRDefault="008A2484" w:rsidP="00B52A21">
            <w:pPr>
              <w:spacing w:before="60" w:after="4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485" w:type="pct"/>
            <w:shd w:val="clear" w:color="auto" w:fill="99CC00"/>
            <w:vAlign w:val="center"/>
          </w:tcPr>
          <w:p w:rsidR="008A2484" w:rsidRPr="00D62247" w:rsidRDefault="008A2484" w:rsidP="00B52A21">
            <w:pPr>
              <w:spacing w:before="60" w:after="4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c>
          <w:tcPr>
            <w:tcW w:w="512" w:type="pct"/>
            <w:shd w:val="clear" w:color="auto" w:fill="99CC00"/>
            <w:vAlign w:val="center"/>
          </w:tcPr>
          <w:p w:rsidR="008A2484" w:rsidRPr="00D62247" w:rsidRDefault="008A2484" w:rsidP="00B52A21">
            <w:pPr>
              <w:spacing w:before="60" w:after="40"/>
              <w:jc w:val="right"/>
              <w:rPr>
                <w:rFonts w:ascii="Arial Narrow" w:hAnsi="Arial Narrow" w:cs="Arial"/>
                <w:b/>
                <w:color w:val="FFFFFF"/>
                <w:sz w:val="18"/>
                <w:szCs w:val="16"/>
              </w:rPr>
            </w:pPr>
            <w:r w:rsidRPr="00D62247">
              <w:rPr>
                <w:rFonts w:ascii="Arial Narrow" w:hAnsi="Arial Narrow" w:cs="Arial"/>
                <w:b/>
                <w:color w:val="FFFFFF"/>
                <w:sz w:val="18"/>
                <w:szCs w:val="16"/>
              </w:rPr>
              <w:t>100,0000</w:t>
            </w:r>
          </w:p>
        </w:tc>
      </w:tr>
    </w:tbl>
    <w:p w:rsidR="008A2484" w:rsidRPr="00D62247" w:rsidRDefault="008A2484" w:rsidP="008A2484">
      <w:pPr>
        <w:spacing w:after="120"/>
        <w:ind w:left="1814"/>
        <w:jc w:val="both"/>
        <w:rPr>
          <w:rFonts w:ascii="Arial" w:hAnsi="Arial" w:cs="Arial"/>
          <w:bCs/>
          <w:sz w:val="20"/>
          <w:szCs w:val="20"/>
        </w:rPr>
      </w:pPr>
    </w:p>
    <w:p w:rsidR="00604101" w:rsidRPr="000C157B" w:rsidRDefault="00604101" w:rsidP="00604101">
      <w:pPr>
        <w:spacing w:after="120"/>
        <w:ind w:left="1814"/>
        <w:jc w:val="both"/>
        <w:rPr>
          <w:rFonts w:ascii="Arial" w:hAnsi="Arial" w:cs="Arial"/>
          <w:sz w:val="20"/>
          <w:szCs w:val="20"/>
        </w:rPr>
      </w:pPr>
      <w:r w:rsidRPr="000C157B">
        <w:rPr>
          <w:rFonts w:ascii="Arial" w:hAnsi="Arial" w:cs="Arial"/>
          <w:sz w:val="20"/>
          <w:szCs w:val="20"/>
        </w:rPr>
        <w:lastRenderedPageBreak/>
        <w:t>Sul mercato interno, i settori con maggior incidenza nella base 2013 sono quelli relativi alla fornitura di energia elettrica, gas, vapore e aria (con un peso del 22,</w:t>
      </w:r>
      <w:r w:rsidR="00503101">
        <w:rPr>
          <w:rFonts w:ascii="Arial" w:hAnsi="Arial" w:cs="Arial"/>
          <w:sz w:val="20"/>
          <w:szCs w:val="20"/>
        </w:rPr>
        <w:t>0</w:t>
      </w:r>
      <w:r w:rsidRPr="000C157B">
        <w:rPr>
          <w:rFonts w:ascii="Arial" w:hAnsi="Arial" w:cs="Arial"/>
          <w:sz w:val="20"/>
          <w:szCs w:val="20"/>
        </w:rPr>
        <w:t>%), alle industrie alimentari, bevande e tabacco (1</w:t>
      </w:r>
      <w:r w:rsidR="00503101">
        <w:rPr>
          <w:rFonts w:ascii="Arial" w:hAnsi="Arial" w:cs="Arial"/>
          <w:sz w:val="20"/>
          <w:szCs w:val="20"/>
        </w:rPr>
        <w:t>3</w:t>
      </w:r>
      <w:r w:rsidRPr="000C157B">
        <w:rPr>
          <w:rFonts w:ascii="Arial" w:hAnsi="Arial" w:cs="Arial"/>
          <w:sz w:val="20"/>
          <w:szCs w:val="20"/>
        </w:rPr>
        <w:t>,</w:t>
      </w:r>
      <w:r w:rsidR="00503101">
        <w:rPr>
          <w:rFonts w:ascii="Arial" w:hAnsi="Arial" w:cs="Arial"/>
          <w:sz w:val="20"/>
          <w:szCs w:val="20"/>
        </w:rPr>
        <w:t>2</w:t>
      </w:r>
      <w:r w:rsidRPr="000C157B">
        <w:rPr>
          <w:rFonts w:ascii="Arial" w:hAnsi="Arial" w:cs="Arial"/>
          <w:sz w:val="20"/>
          <w:szCs w:val="20"/>
        </w:rPr>
        <w:t>%), all’industria della metallurgia e fabbricazione dei prodotti in metallo (11,1%) e alla fabbricazione di coke e prodotti petroliferi raffinati (9,</w:t>
      </w:r>
      <w:r w:rsidR="00503101">
        <w:rPr>
          <w:rFonts w:ascii="Arial" w:hAnsi="Arial" w:cs="Arial"/>
          <w:sz w:val="20"/>
          <w:szCs w:val="20"/>
        </w:rPr>
        <w:t>0</w:t>
      </w:r>
      <w:r w:rsidRPr="000C157B">
        <w:rPr>
          <w:rFonts w:ascii="Arial" w:hAnsi="Arial" w:cs="Arial"/>
          <w:sz w:val="20"/>
          <w:szCs w:val="20"/>
        </w:rPr>
        <w:t xml:space="preserve">%). Rispetto alla base 2012, emerge soprattutto l’incremento di peso dei settori </w:t>
      </w:r>
      <w:r w:rsidR="006E48C4" w:rsidRPr="000C157B">
        <w:rPr>
          <w:rFonts w:ascii="Arial" w:hAnsi="Arial" w:cs="Arial"/>
          <w:sz w:val="20"/>
          <w:szCs w:val="20"/>
        </w:rPr>
        <w:t>delle industrie alimentari, bevande e tabacco (+0,</w:t>
      </w:r>
      <w:r w:rsidR="006E48C4">
        <w:rPr>
          <w:rFonts w:ascii="Arial" w:hAnsi="Arial" w:cs="Arial"/>
          <w:sz w:val="20"/>
          <w:szCs w:val="20"/>
        </w:rPr>
        <w:t>9</w:t>
      </w:r>
      <w:r w:rsidR="006E48C4" w:rsidRPr="000C157B">
        <w:rPr>
          <w:rFonts w:ascii="Arial" w:hAnsi="Arial" w:cs="Arial"/>
          <w:sz w:val="20"/>
          <w:szCs w:val="20"/>
        </w:rPr>
        <w:t xml:space="preserve"> punti</w:t>
      </w:r>
      <w:r w:rsidR="006E48C4">
        <w:rPr>
          <w:rFonts w:ascii="Arial" w:hAnsi="Arial" w:cs="Arial"/>
          <w:sz w:val="20"/>
          <w:szCs w:val="20"/>
        </w:rPr>
        <w:t xml:space="preserve"> percentuali) e</w:t>
      </w:r>
      <w:r w:rsidR="006E48C4" w:rsidRPr="000C157B">
        <w:rPr>
          <w:rFonts w:ascii="Arial" w:hAnsi="Arial" w:cs="Arial"/>
          <w:sz w:val="20"/>
          <w:szCs w:val="20"/>
        </w:rPr>
        <w:t xml:space="preserve"> </w:t>
      </w:r>
      <w:r w:rsidRPr="000C157B">
        <w:rPr>
          <w:rFonts w:ascii="Arial" w:hAnsi="Arial" w:cs="Arial"/>
          <w:sz w:val="20"/>
          <w:szCs w:val="20"/>
        </w:rPr>
        <w:t>della fabbricazione di coke e prodotti petroliferi raffinati (+0,</w:t>
      </w:r>
      <w:r w:rsidR="006E48C4">
        <w:rPr>
          <w:rFonts w:ascii="Arial" w:hAnsi="Arial" w:cs="Arial"/>
          <w:sz w:val="20"/>
          <w:szCs w:val="20"/>
        </w:rPr>
        <w:t>5</w:t>
      </w:r>
      <w:r w:rsidRPr="000C157B">
        <w:rPr>
          <w:rFonts w:ascii="Arial" w:hAnsi="Arial" w:cs="Arial"/>
          <w:sz w:val="20"/>
          <w:szCs w:val="20"/>
        </w:rPr>
        <w:t xml:space="preserve"> punti). In diminuzione l’incidenza ne</w:t>
      </w:r>
      <w:r w:rsidR="00906CA6">
        <w:rPr>
          <w:rFonts w:ascii="Arial" w:hAnsi="Arial" w:cs="Arial"/>
          <w:sz w:val="20"/>
          <w:szCs w:val="20"/>
        </w:rPr>
        <w:t>i</w:t>
      </w:r>
      <w:r w:rsidRPr="000C157B">
        <w:rPr>
          <w:rFonts w:ascii="Arial" w:hAnsi="Arial" w:cs="Arial"/>
          <w:sz w:val="20"/>
          <w:szCs w:val="20"/>
        </w:rPr>
        <w:t xml:space="preserve"> settor</w:t>
      </w:r>
      <w:r w:rsidR="00906CA6">
        <w:rPr>
          <w:rFonts w:ascii="Arial" w:hAnsi="Arial" w:cs="Arial"/>
          <w:sz w:val="20"/>
          <w:szCs w:val="20"/>
        </w:rPr>
        <w:t>i</w:t>
      </w:r>
      <w:r w:rsidRPr="000C157B">
        <w:rPr>
          <w:rFonts w:ascii="Arial" w:hAnsi="Arial" w:cs="Arial"/>
          <w:sz w:val="20"/>
          <w:szCs w:val="20"/>
        </w:rPr>
        <w:t xml:space="preserve"> </w:t>
      </w:r>
      <w:r w:rsidR="006E48C4">
        <w:rPr>
          <w:rFonts w:ascii="Arial" w:hAnsi="Arial" w:cs="Arial"/>
          <w:sz w:val="20"/>
          <w:szCs w:val="20"/>
        </w:rPr>
        <w:t>della f</w:t>
      </w:r>
      <w:r w:rsidR="006E48C4" w:rsidRPr="006E48C4">
        <w:rPr>
          <w:rFonts w:ascii="Arial" w:hAnsi="Arial" w:cs="Arial"/>
          <w:sz w:val="20"/>
          <w:szCs w:val="20"/>
        </w:rPr>
        <w:t xml:space="preserve">ornitura di energia elettrica, gas, vapore ed aria condizionata </w:t>
      </w:r>
      <w:r w:rsidR="006E48C4">
        <w:rPr>
          <w:rFonts w:ascii="Arial" w:hAnsi="Arial" w:cs="Arial"/>
          <w:sz w:val="20"/>
          <w:szCs w:val="20"/>
        </w:rPr>
        <w:t xml:space="preserve">(-0,7 punti), </w:t>
      </w:r>
      <w:r w:rsidR="006E48C4" w:rsidRPr="000C157B">
        <w:rPr>
          <w:rFonts w:ascii="Arial" w:hAnsi="Arial" w:cs="Arial"/>
          <w:sz w:val="20"/>
          <w:szCs w:val="20"/>
        </w:rPr>
        <w:t>della metallurgia e fabbricazione dei p</w:t>
      </w:r>
      <w:r w:rsidR="006E48C4">
        <w:rPr>
          <w:rFonts w:ascii="Arial" w:hAnsi="Arial" w:cs="Arial"/>
          <w:sz w:val="20"/>
          <w:szCs w:val="20"/>
        </w:rPr>
        <w:t xml:space="preserve">rodotti in metallo e </w:t>
      </w:r>
      <w:r w:rsidR="006E48C4" w:rsidRPr="000C157B">
        <w:rPr>
          <w:rFonts w:ascii="Arial" w:hAnsi="Arial" w:cs="Arial"/>
          <w:sz w:val="20"/>
          <w:szCs w:val="20"/>
        </w:rPr>
        <w:t>delle altre industrie manifatturiere, riparazione e installazione di macchine e apparecchiature</w:t>
      </w:r>
      <w:r w:rsidR="006E48C4">
        <w:rPr>
          <w:rFonts w:ascii="Arial" w:hAnsi="Arial" w:cs="Arial"/>
          <w:sz w:val="20"/>
          <w:szCs w:val="20"/>
        </w:rPr>
        <w:t xml:space="preserve"> (in entrambi</w:t>
      </w:r>
      <w:r w:rsidR="006E48C4" w:rsidRPr="000C157B">
        <w:rPr>
          <w:rFonts w:ascii="Arial" w:hAnsi="Arial" w:cs="Arial"/>
          <w:sz w:val="20"/>
          <w:szCs w:val="20"/>
        </w:rPr>
        <w:t xml:space="preserve"> -0,6 punti</w:t>
      </w:r>
      <w:r w:rsidR="006E48C4">
        <w:rPr>
          <w:rFonts w:ascii="Arial" w:hAnsi="Arial" w:cs="Arial"/>
          <w:sz w:val="20"/>
          <w:szCs w:val="20"/>
        </w:rPr>
        <w:t>)</w:t>
      </w:r>
      <w:r w:rsidRPr="000C157B">
        <w:rPr>
          <w:rFonts w:ascii="Arial" w:hAnsi="Arial" w:cs="Arial"/>
          <w:sz w:val="20"/>
          <w:szCs w:val="20"/>
        </w:rPr>
        <w:t>.</w:t>
      </w:r>
    </w:p>
    <w:p w:rsidR="00604101" w:rsidRPr="000C157B" w:rsidRDefault="00604101" w:rsidP="00604101">
      <w:pPr>
        <w:spacing w:after="120"/>
        <w:ind w:left="1814"/>
        <w:jc w:val="both"/>
        <w:rPr>
          <w:rFonts w:ascii="Arial" w:hAnsi="Arial" w:cs="Arial"/>
          <w:sz w:val="20"/>
          <w:szCs w:val="20"/>
        </w:rPr>
      </w:pPr>
      <w:r w:rsidRPr="000C157B">
        <w:rPr>
          <w:rFonts w:ascii="Arial" w:hAnsi="Arial" w:cs="Arial"/>
          <w:sz w:val="20"/>
          <w:szCs w:val="20"/>
        </w:rPr>
        <w:t>Per quel che riguarda i prezzi relativi all’area dell’euro, i settori con peso più elevato nella nuova base sono quelli della metallurgia e fabbricazione dei prodotti in metallo (16,</w:t>
      </w:r>
      <w:r w:rsidR="00503101">
        <w:rPr>
          <w:rFonts w:ascii="Arial" w:hAnsi="Arial" w:cs="Arial"/>
          <w:sz w:val="20"/>
          <w:szCs w:val="20"/>
        </w:rPr>
        <w:t>3</w:t>
      </w:r>
      <w:r w:rsidRPr="000C157B">
        <w:rPr>
          <w:rFonts w:ascii="Arial" w:hAnsi="Arial" w:cs="Arial"/>
          <w:sz w:val="20"/>
          <w:szCs w:val="20"/>
        </w:rPr>
        <w:t xml:space="preserve">%), della fabbricazione di macchinari e attrezzature </w:t>
      </w:r>
      <w:proofErr w:type="spellStart"/>
      <w:r w:rsidRPr="000C157B">
        <w:rPr>
          <w:rFonts w:ascii="Arial" w:hAnsi="Arial" w:cs="Arial"/>
          <w:sz w:val="20"/>
          <w:szCs w:val="20"/>
        </w:rPr>
        <w:t>n.c.a</w:t>
      </w:r>
      <w:proofErr w:type="spellEnd"/>
      <w:r w:rsidRPr="000C157B">
        <w:rPr>
          <w:rFonts w:ascii="Arial" w:hAnsi="Arial" w:cs="Arial"/>
          <w:sz w:val="20"/>
          <w:szCs w:val="20"/>
        </w:rPr>
        <w:t>. (1</w:t>
      </w:r>
      <w:r w:rsidR="00503101">
        <w:rPr>
          <w:rFonts w:ascii="Arial" w:hAnsi="Arial" w:cs="Arial"/>
          <w:sz w:val="20"/>
          <w:szCs w:val="20"/>
        </w:rPr>
        <w:t>4</w:t>
      </w:r>
      <w:r w:rsidRPr="000C157B">
        <w:rPr>
          <w:rFonts w:ascii="Arial" w:hAnsi="Arial" w:cs="Arial"/>
          <w:sz w:val="20"/>
          <w:szCs w:val="20"/>
        </w:rPr>
        <w:t>,</w:t>
      </w:r>
      <w:r w:rsidR="00503101">
        <w:rPr>
          <w:rFonts w:ascii="Arial" w:hAnsi="Arial" w:cs="Arial"/>
          <w:sz w:val="20"/>
          <w:szCs w:val="20"/>
        </w:rPr>
        <w:t>0</w:t>
      </w:r>
      <w:r w:rsidRPr="000C157B">
        <w:rPr>
          <w:rFonts w:ascii="Arial" w:hAnsi="Arial" w:cs="Arial"/>
          <w:sz w:val="20"/>
          <w:szCs w:val="20"/>
        </w:rPr>
        <w:t>%), della fabbricazione di mezzi di trasporto (10,</w:t>
      </w:r>
      <w:r w:rsidR="00503101">
        <w:rPr>
          <w:rFonts w:ascii="Arial" w:hAnsi="Arial" w:cs="Arial"/>
          <w:sz w:val="20"/>
          <w:szCs w:val="20"/>
        </w:rPr>
        <w:t>7</w:t>
      </w:r>
      <w:r w:rsidRPr="000C157B">
        <w:rPr>
          <w:rFonts w:ascii="Arial" w:hAnsi="Arial" w:cs="Arial"/>
          <w:sz w:val="20"/>
          <w:szCs w:val="20"/>
        </w:rPr>
        <w:t>%) e delle industrie tessili, abbigliamento, pelli ed accessori (10,</w:t>
      </w:r>
      <w:r w:rsidR="00503101">
        <w:rPr>
          <w:rFonts w:ascii="Arial" w:hAnsi="Arial" w:cs="Arial"/>
          <w:sz w:val="20"/>
          <w:szCs w:val="20"/>
        </w:rPr>
        <w:t>2</w:t>
      </w:r>
      <w:r w:rsidRPr="000C157B">
        <w:rPr>
          <w:rFonts w:ascii="Arial" w:hAnsi="Arial" w:cs="Arial"/>
          <w:sz w:val="20"/>
          <w:szCs w:val="20"/>
        </w:rPr>
        <w:t>%). Rispetto al 2012, si segnala soprattutto l’aumento dell’incidenza de</w:t>
      </w:r>
      <w:r w:rsidR="00906CA6">
        <w:rPr>
          <w:rFonts w:ascii="Arial" w:hAnsi="Arial" w:cs="Arial"/>
          <w:sz w:val="20"/>
          <w:szCs w:val="20"/>
        </w:rPr>
        <w:t>i</w:t>
      </w:r>
      <w:r w:rsidRPr="000C157B">
        <w:rPr>
          <w:rFonts w:ascii="Arial" w:hAnsi="Arial" w:cs="Arial"/>
          <w:sz w:val="20"/>
          <w:szCs w:val="20"/>
        </w:rPr>
        <w:t xml:space="preserve"> settor</w:t>
      </w:r>
      <w:r w:rsidR="00906CA6">
        <w:rPr>
          <w:rFonts w:ascii="Arial" w:hAnsi="Arial" w:cs="Arial"/>
          <w:sz w:val="20"/>
          <w:szCs w:val="20"/>
        </w:rPr>
        <w:t>i</w:t>
      </w:r>
      <w:r w:rsidRPr="000C157B">
        <w:rPr>
          <w:rFonts w:ascii="Arial" w:hAnsi="Arial" w:cs="Arial"/>
          <w:sz w:val="20"/>
          <w:szCs w:val="20"/>
        </w:rPr>
        <w:t xml:space="preserve"> </w:t>
      </w:r>
      <w:r w:rsidR="00A91D55" w:rsidRPr="000C157B">
        <w:rPr>
          <w:rFonts w:ascii="Arial" w:hAnsi="Arial" w:cs="Arial"/>
          <w:sz w:val="20"/>
          <w:szCs w:val="20"/>
        </w:rPr>
        <w:t xml:space="preserve">della fabbricazione di macchinari e attrezzature </w:t>
      </w:r>
      <w:proofErr w:type="spellStart"/>
      <w:r w:rsidR="00A91D55" w:rsidRPr="000C157B">
        <w:rPr>
          <w:rFonts w:ascii="Arial" w:hAnsi="Arial" w:cs="Arial"/>
          <w:sz w:val="20"/>
          <w:szCs w:val="20"/>
        </w:rPr>
        <w:t>n.c.a</w:t>
      </w:r>
      <w:proofErr w:type="spellEnd"/>
      <w:r w:rsidR="00A91D55" w:rsidRPr="000C157B">
        <w:rPr>
          <w:rFonts w:ascii="Arial" w:hAnsi="Arial" w:cs="Arial"/>
          <w:sz w:val="20"/>
          <w:szCs w:val="20"/>
        </w:rPr>
        <w:t>. (+0,</w:t>
      </w:r>
      <w:r w:rsidR="00A91D55">
        <w:rPr>
          <w:rFonts w:ascii="Arial" w:hAnsi="Arial" w:cs="Arial"/>
          <w:sz w:val="20"/>
          <w:szCs w:val="20"/>
        </w:rPr>
        <w:t>9</w:t>
      </w:r>
      <w:r w:rsidR="00A91D55" w:rsidRPr="000C157B">
        <w:rPr>
          <w:rFonts w:ascii="Arial" w:hAnsi="Arial" w:cs="Arial"/>
          <w:sz w:val="20"/>
          <w:szCs w:val="20"/>
        </w:rPr>
        <w:t xml:space="preserve"> punti</w:t>
      </w:r>
      <w:r w:rsidR="00A91D55">
        <w:rPr>
          <w:rFonts w:ascii="Arial" w:hAnsi="Arial" w:cs="Arial"/>
          <w:sz w:val="20"/>
          <w:szCs w:val="20"/>
        </w:rPr>
        <w:t xml:space="preserve"> percentuali</w:t>
      </w:r>
      <w:r w:rsidR="00A91D55" w:rsidRPr="000C157B">
        <w:rPr>
          <w:rFonts w:ascii="Arial" w:hAnsi="Arial" w:cs="Arial"/>
          <w:sz w:val="20"/>
          <w:szCs w:val="20"/>
        </w:rPr>
        <w:t>)</w:t>
      </w:r>
      <w:r w:rsidR="00A91D55">
        <w:rPr>
          <w:rFonts w:ascii="Arial" w:hAnsi="Arial" w:cs="Arial"/>
          <w:sz w:val="20"/>
          <w:szCs w:val="20"/>
        </w:rPr>
        <w:t xml:space="preserve"> e </w:t>
      </w:r>
      <w:r w:rsidRPr="000C157B">
        <w:rPr>
          <w:rFonts w:ascii="Arial" w:hAnsi="Arial" w:cs="Arial"/>
          <w:sz w:val="20"/>
          <w:szCs w:val="20"/>
        </w:rPr>
        <w:t>della metallurgia e fabbricazione dei prodotti in metallo (+</w:t>
      </w:r>
      <w:r w:rsidR="00A91D55">
        <w:rPr>
          <w:rFonts w:ascii="Arial" w:hAnsi="Arial" w:cs="Arial"/>
          <w:sz w:val="20"/>
          <w:szCs w:val="20"/>
        </w:rPr>
        <w:t>0,7</w:t>
      </w:r>
      <w:r w:rsidRPr="000C157B">
        <w:rPr>
          <w:rFonts w:ascii="Arial" w:hAnsi="Arial" w:cs="Arial"/>
          <w:sz w:val="20"/>
          <w:szCs w:val="20"/>
        </w:rPr>
        <w:t xml:space="preserve"> punti). La diminuzione più rilevante riguarda la fabbricazione di mezzi di trasporto</w:t>
      </w:r>
      <w:r w:rsidR="00A91D55">
        <w:rPr>
          <w:rFonts w:ascii="Arial" w:hAnsi="Arial" w:cs="Arial"/>
          <w:sz w:val="20"/>
          <w:szCs w:val="20"/>
        </w:rPr>
        <w:t xml:space="preserve">   </w:t>
      </w:r>
      <w:r w:rsidRPr="000C157B">
        <w:rPr>
          <w:rFonts w:ascii="Arial" w:hAnsi="Arial" w:cs="Arial"/>
          <w:sz w:val="20"/>
          <w:szCs w:val="20"/>
        </w:rPr>
        <w:t xml:space="preserve"> (-1,1 punti) e la fabbricazione di coke e prodotti petroliferi raffinati (-0,9 punti).</w:t>
      </w:r>
    </w:p>
    <w:p w:rsidR="00604101" w:rsidRPr="003E3CB9" w:rsidRDefault="00604101" w:rsidP="00C872AC">
      <w:pPr>
        <w:spacing w:after="120"/>
        <w:ind w:left="1814"/>
        <w:jc w:val="both"/>
        <w:rPr>
          <w:rFonts w:ascii="Arial" w:hAnsi="Arial" w:cs="Arial"/>
          <w:sz w:val="20"/>
          <w:szCs w:val="20"/>
        </w:rPr>
      </w:pPr>
      <w:r w:rsidRPr="000C157B">
        <w:rPr>
          <w:rFonts w:ascii="Arial" w:hAnsi="Arial" w:cs="Arial"/>
          <w:sz w:val="20"/>
          <w:szCs w:val="20"/>
        </w:rPr>
        <w:t xml:space="preserve">Infine, con riferimento al mercato dell’area non euro, il settore con incidenza più elevata nella nuova struttura di ponderazione è quello della fabbricazione di macchinari e attrezzature </w:t>
      </w:r>
      <w:proofErr w:type="spellStart"/>
      <w:r w:rsidRPr="000C157B">
        <w:rPr>
          <w:rFonts w:ascii="Arial" w:hAnsi="Arial" w:cs="Arial"/>
          <w:sz w:val="20"/>
          <w:szCs w:val="20"/>
        </w:rPr>
        <w:t>n.c.a</w:t>
      </w:r>
      <w:proofErr w:type="spellEnd"/>
      <w:r w:rsidRPr="000C157B">
        <w:rPr>
          <w:rFonts w:ascii="Arial" w:hAnsi="Arial" w:cs="Arial"/>
          <w:sz w:val="20"/>
          <w:szCs w:val="20"/>
        </w:rPr>
        <w:t>. (24,</w:t>
      </w:r>
      <w:r w:rsidR="00503101">
        <w:rPr>
          <w:rFonts w:ascii="Arial" w:hAnsi="Arial" w:cs="Arial"/>
          <w:sz w:val="20"/>
          <w:szCs w:val="20"/>
        </w:rPr>
        <w:t>4</w:t>
      </w:r>
      <w:r w:rsidRPr="000C157B">
        <w:rPr>
          <w:rFonts w:ascii="Arial" w:hAnsi="Arial" w:cs="Arial"/>
          <w:sz w:val="20"/>
          <w:szCs w:val="20"/>
        </w:rPr>
        <w:t>%), seguito, con un peso molto inferiore, da quello delle industrie tessili, abbigliamento, pelli e accessori (11,</w:t>
      </w:r>
      <w:r w:rsidR="0044282F">
        <w:rPr>
          <w:rFonts w:ascii="Arial" w:hAnsi="Arial" w:cs="Arial"/>
          <w:sz w:val="20"/>
          <w:szCs w:val="20"/>
        </w:rPr>
        <w:t>8</w:t>
      </w:r>
      <w:r w:rsidRPr="000C157B">
        <w:rPr>
          <w:rFonts w:ascii="Arial" w:hAnsi="Arial" w:cs="Arial"/>
          <w:sz w:val="20"/>
          <w:szCs w:val="20"/>
        </w:rPr>
        <w:t>%), della metallurgia e fabbricazione dei prodotti in metallo (11,</w:t>
      </w:r>
      <w:r w:rsidR="0044282F">
        <w:rPr>
          <w:rFonts w:ascii="Arial" w:hAnsi="Arial" w:cs="Arial"/>
          <w:sz w:val="20"/>
          <w:szCs w:val="20"/>
        </w:rPr>
        <w:t>0</w:t>
      </w:r>
      <w:r w:rsidRPr="000C157B">
        <w:rPr>
          <w:rFonts w:ascii="Arial" w:hAnsi="Arial" w:cs="Arial"/>
          <w:sz w:val="20"/>
          <w:szCs w:val="20"/>
        </w:rPr>
        <w:t>%) e della fabbricazione di mezzi di trasporto (8,</w:t>
      </w:r>
      <w:r w:rsidR="0044282F">
        <w:rPr>
          <w:rFonts w:ascii="Arial" w:hAnsi="Arial" w:cs="Arial"/>
          <w:sz w:val="20"/>
          <w:szCs w:val="20"/>
        </w:rPr>
        <w:t>9</w:t>
      </w:r>
      <w:r w:rsidRPr="000C157B">
        <w:rPr>
          <w:rFonts w:ascii="Arial" w:hAnsi="Arial" w:cs="Arial"/>
          <w:sz w:val="20"/>
          <w:szCs w:val="20"/>
        </w:rPr>
        <w:t>%). Rispetto al 2012, aumenta l’incidenza de</w:t>
      </w:r>
      <w:r w:rsidR="00906CA6">
        <w:rPr>
          <w:rFonts w:ascii="Arial" w:hAnsi="Arial" w:cs="Arial"/>
          <w:sz w:val="20"/>
          <w:szCs w:val="20"/>
        </w:rPr>
        <w:t>i</w:t>
      </w:r>
      <w:r w:rsidRPr="000C157B">
        <w:rPr>
          <w:rFonts w:ascii="Arial" w:hAnsi="Arial" w:cs="Arial"/>
          <w:sz w:val="20"/>
          <w:szCs w:val="20"/>
        </w:rPr>
        <w:t xml:space="preserve"> settor</w:t>
      </w:r>
      <w:r w:rsidR="00906CA6">
        <w:rPr>
          <w:rFonts w:ascii="Arial" w:hAnsi="Arial" w:cs="Arial"/>
          <w:sz w:val="20"/>
          <w:szCs w:val="20"/>
        </w:rPr>
        <w:t>i</w:t>
      </w:r>
      <w:r w:rsidRPr="000C157B">
        <w:rPr>
          <w:rFonts w:ascii="Arial" w:hAnsi="Arial" w:cs="Arial"/>
          <w:sz w:val="20"/>
          <w:szCs w:val="20"/>
        </w:rPr>
        <w:t xml:space="preserve"> della fabbricazione di macchinari e attrezzature </w:t>
      </w:r>
      <w:proofErr w:type="spellStart"/>
      <w:r w:rsidRPr="000C157B">
        <w:rPr>
          <w:rFonts w:ascii="Arial" w:hAnsi="Arial" w:cs="Arial"/>
          <w:sz w:val="20"/>
          <w:szCs w:val="20"/>
        </w:rPr>
        <w:t>n.c.a</w:t>
      </w:r>
      <w:proofErr w:type="spellEnd"/>
      <w:r w:rsidRPr="000C157B">
        <w:rPr>
          <w:rFonts w:ascii="Arial" w:hAnsi="Arial" w:cs="Arial"/>
          <w:sz w:val="20"/>
          <w:szCs w:val="20"/>
        </w:rPr>
        <w:t>. (+1,</w:t>
      </w:r>
      <w:r w:rsidR="00C872AC">
        <w:rPr>
          <w:rFonts w:ascii="Arial" w:hAnsi="Arial" w:cs="Arial"/>
          <w:sz w:val="20"/>
          <w:szCs w:val="20"/>
        </w:rPr>
        <w:t>2</w:t>
      </w:r>
      <w:r w:rsidRPr="000C157B">
        <w:rPr>
          <w:rFonts w:ascii="Arial" w:hAnsi="Arial" w:cs="Arial"/>
          <w:sz w:val="20"/>
          <w:szCs w:val="20"/>
        </w:rPr>
        <w:t xml:space="preserve"> punti percentuali) e delle industrie tessili, abbigliamento, pelli e accessori (+0,</w:t>
      </w:r>
      <w:r w:rsidR="00C872AC">
        <w:rPr>
          <w:rFonts w:ascii="Arial" w:hAnsi="Arial" w:cs="Arial"/>
          <w:sz w:val="20"/>
          <w:szCs w:val="20"/>
        </w:rPr>
        <w:t>5</w:t>
      </w:r>
      <w:r w:rsidRPr="000C157B">
        <w:rPr>
          <w:rFonts w:ascii="Arial" w:hAnsi="Arial" w:cs="Arial"/>
          <w:sz w:val="20"/>
          <w:szCs w:val="20"/>
        </w:rPr>
        <w:t xml:space="preserve"> punti). Tra i settori in calo si segnalano quell</w:t>
      </w:r>
      <w:r w:rsidR="00906CA6">
        <w:rPr>
          <w:rFonts w:ascii="Arial" w:hAnsi="Arial" w:cs="Arial"/>
          <w:sz w:val="20"/>
          <w:szCs w:val="20"/>
        </w:rPr>
        <w:t>i</w:t>
      </w:r>
      <w:r w:rsidRPr="000C157B">
        <w:rPr>
          <w:rFonts w:ascii="Arial" w:hAnsi="Arial" w:cs="Arial"/>
          <w:sz w:val="20"/>
          <w:szCs w:val="20"/>
        </w:rPr>
        <w:t xml:space="preserve"> della </w:t>
      </w:r>
      <w:r w:rsidR="00C872AC" w:rsidRPr="000C157B">
        <w:rPr>
          <w:rFonts w:ascii="Arial" w:hAnsi="Arial" w:cs="Arial"/>
          <w:sz w:val="20"/>
          <w:szCs w:val="20"/>
        </w:rPr>
        <w:t xml:space="preserve">fabbricazione di coke e prodotti petroliferi raffinati </w:t>
      </w:r>
      <w:r w:rsidR="00C872AC">
        <w:rPr>
          <w:rFonts w:ascii="Arial" w:hAnsi="Arial" w:cs="Arial"/>
          <w:sz w:val="20"/>
          <w:szCs w:val="20"/>
        </w:rPr>
        <w:t>e della f</w:t>
      </w:r>
      <w:r w:rsidR="00C872AC" w:rsidRPr="00C872AC">
        <w:rPr>
          <w:rFonts w:ascii="Arial" w:hAnsi="Arial" w:cs="Arial"/>
          <w:sz w:val="20"/>
          <w:szCs w:val="20"/>
        </w:rPr>
        <w:t xml:space="preserve">abbricazione di apparecchiature elettriche e apparecchiature per uso domestico non elettriche </w:t>
      </w:r>
      <w:r w:rsidRPr="000C157B">
        <w:rPr>
          <w:rFonts w:ascii="Arial" w:hAnsi="Arial" w:cs="Arial"/>
          <w:sz w:val="20"/>
          <w:szCs w:val="20"/>
        </w:rPr>
        <w:t>(</w:t>
      </w:r>
      <w:r w:rsidR="00C872AC">
        <w:rPr>
          <w:rFonts w:ascii="Arial" w:hAnsi="Arial" w:cs="Arial"/>
          <w:sz w:val="20"/>
          <w:szCs w:val="20"/>
        </w:rPr>
        <w:t xml:space="preserve">in entrambi i settori, </w:t>
      </w:r>
      <w:r w:rsidRPr="000C157B">
        <w:rPr>
          <w:rFonts w:ascii="Arial" w:hAnsi="Arial" w:cs="Arial"/>
          <w:sz w:val="20"/>
          <w:szCs w:val="20"/>
        </w:rPr>
        <w:t>-0,6 punti).</w:t>
      </w:r>
    </w:p>
    <w:p w:rsidR="00413A65" w:rsidRPr="000F01BB" w:rsidRDefault="00413A65" w:rsidP="0007336F">
      <w:pPr>
        <w:spacing w:after="120"/>
        <w:ind w:left="1814"/>
        <w:jc w:val="both"/>
        <w:rPr>
          <w:rFonts w:ascii="Arial" w:hAnsi="Arial" w:cs="Arial"/>
          <w:sz w:val="20"/>
          <w:szCs w:val="20"/>
        </w:rPr>
      </w:pPr>
    </w:p>
    <w:p w:rsidR="00681F86" w:rsidRPr="000F01BB" w:rsidRDefault="00681F86" w:rsidP="000F01BB">
      <w:pPr>
        <w:spacing w:after="120"/>
        <w:ind w:left="1814"/>
        <w:jc w:val="both"/>
        <w:rPr>
          <w:rFonts w:ascii="Arial" w:hAnsi="Arial" w:cs="Arial"/>
          <w:sz w:val="20"/>
          <w:szCs w:val="20"/>
        </w:rPr>
      </w:pPr>
    </w:p>
    <w:p w:rsidR="00DA0EEA" w:rsidRDefault="00DA0EEA" w:rsidP="00DA0EEA">
      <w:pPr>
        <w:spacing w:after="120"/>
        <w:ind w:left="1814"/>
        <w:jc w:val="both"/>
        <w:rPr>
          <w:rFonts w:ascii="Arial" w:hAnsi="Arial" w:cs="Arial"/>
          <w:color w:val="808080"/>
          <w:sz w:val="28"/>
          <w:szCs w:val="28"/>
        </w:rPr>
      </w:pPr>
      <w:r>
        <w:rPr>
          <w:rFonts w:ascii="Arial" w:hAnsi="Arial" w:cs="Arial"/>
          <w:color w:val="808080"/>
          <w:sz w:val="28"/>
          <w:szCs w:val="28"/>
        </w:rPr>
        <w:t>DIFFUSIONE DEGLI INDICI CONCATENATI: CONTINUITA’ E DISCONTINUITA’ DELLE SERIE STORICHE</w:t>
      </w:r>
    </w:p>
    <w:p w:rsidR="00DA0EEA" w:rsidRPr="000F01BB" w:rsidRDefault="00DA0EEA" w:rsidP="00DA0EEA">
      <w:pPr>
        <w:spacing w:after="120"/>
        <w:ind w:left="1814"/>
        <w:jc w:val="both"/>
        <w:rPr>
          <w:rFonts w:ascii="Arial" w:hAnsi="Arial" w:cs="Arial"/>
          <w:sz w:val="20"/>
          <w:szCs w:val="20"/>
        </w:rPr>
      </w:pPr>
    </w:p>
    <w:p w:rsidR="00DA0EEA" w:rsidRPr="008C305F" w:rsidRDefault="00B669BD" w:rsidP="008C305F">
      <w:pPr>
        <w:spacing w:after="120"/>
        <w:ind w:left="1814"/>
        <w:jc w:val="both"/>
        <w:rPr>
          <w:rFonts w:ascii="Arial" w:hAnsi="Arial" w:cs="Arial"/>
          <w:b/>
          <w:sz w:val="22"/>
          <w:szCs w:val="22"/>
        </w:rPr>
      </w:pPr>
      <w:r w:rsidRPr="008C305F">
        <w:rPr>
          <w:rFonts w:ascii="Arial" w:hAnsi="Arial" w:cs="Arial"/>
          <w:b/>
          <w:sz w:val="22"/>
          <w:szCs w:val="22"/>
        </w:rPr>
        <w:t>3</w:t>
      </w:r>
      <w:r w:rsidR="00DA0EEA" w:rsidRPr="008C305F">
        <w:rPr>
          <w:rFonts w:ascii="Arial" w:hAnsi="Arial" w:cs="Arial"/>
          <w:b/>
          <w:sz w:val="22"/>
          <w:szCs w:val="22"/>
        </w:rPr>
        <w:t>. Diffusione degli indici</w:t>
      </w:r>
    </w:p>
    <w:p w:rsidR="00DA0EEA" w:rsidRPr="008C305F" w:rsidRDefault="00DA0EEA" w:rsidP="008C305F">
      <w:pPr>
        <w:spacing w:after="120"/>
        <w:ind w:left="1814"/>
        <w:jc w:val="both"/>
        <w:rPr>
          <w:rFonts w:ascii="Arial" w:hAnsi="Arial" w:cs="Arial"/>
          <w:sz w:val="20"/>
          <w:szCs w:val="20"/>
        </w:rPr>
      </w:pPr>
    </w:p>
    <w:p w:rsidR="00DA0EEA" w:rsidRDefault="00DA0EEA" w:rsidP="00DA0EEA">
      <w:pPr>
        <w:spacing w:after="120"/>
        <w:ind w:left="1814"/>
        <w:jc w:val="both"/>
        <w:rPr>
          <w:rFonts w:ascii="Arial" w:hAnsi="Arial" w:cs="Arial"/>
          <w:sz w:val="20"/>
          <w:szCs w:val="20"/>
        </w:rPr>
      </w:pPr>
      <w:r w:rsidRPr="008814CE">
        <w:rPr>
          <w:rFonts w:ascii="Arial" w:hAnsi="Arial" w:cs="Arial"/>
          <w:sz w:val="20"/>
          <w:szCs w:val="20"/>
        </w:rPr>
        <w:t xml:space="preserve">La </w:t>
      </w:r>
      <w:r>
        <w:rPr>
          <w:rFonts w:ascii="Arial" w:hAnsi="Arial" w:cs="Arial"/>
          <w:sz w:val="20"/>
          <w:szCs w:val="20"/>
        </w:rPr>
        <w:t>diffusione di indici a catena presenta peculiarità che la distinguono significativamente da quella, ancora prevalente nell’ambito delle statistiche congiunturali, relativa agli indicatori in base fissa. In particolare, è la discontinuità in serie storica uno degli aspetti caratterizzanti la disponibilità di indici concatenati: l</w:t>
      </w:r>
      <w:r w:rsidRPr="00AC5E2F">
        <w:rPr>
          <w:rFonts w:ascii="Arial" w:hAnsi="Arial" w:cs="Arial"/>
          <w:sz w:val="20"/>
          <w:szCs w:val="20"/>
        </w:rPr>
        <w:t xml:space="preserve">a probabilità di riscontrare discontinuità </w:t>
      </w:r>
      <w:r>
        <w:rPr>
          <w:rFonts w:ascii="Arial" w:hAnsi="Arial" w:cs="Arial"/>
          <w:sz w:val="20"/>
          <w:szCs w:val="20"/>
        </w:rPr>
        <w:t>nelle</w:t>
      </w:r>
      <w:r w:rsidRPr="00AC5E2F">
        <w:rPr>
          <w:rFonts w:ascii="Arial" w:hAnsi="Arial" w:cs="Arial"/>
          <w:sz w:val="20"/>
          <w:szCs w:val="20"/>
        </w:rPr>
        <w:t xml:space="preserve"> serie </w:t>
      </w:r>
      <w:r>
        <w:rPr>
          <w:rFonts w:ascii="Arial" w:hAnsi="Arial" w:cs="Arial"/>
          <w:sz w:val="20"/>
          <w:szCs w:val="20"/>
        </w:rPr>
        <w:t xml:space="preserve">degli indici </w:t>
      </w:r>
      <w:r w:rsidRPr="00AC5E2F">
        <w:rPr>
          <w:rFonts w:ascii="Arial" w:hAnsi="Arial" w:cs="Arial"/>
          <w:sz w:val="20"/>
          <w:szCs w:val="20"/>
        </w:rPr>
        <w:t xml:space="preserve">è direttamente correlata al livello di dettaglio considerato all’interno della struttura gerarchica della classificazione </w:t>
      </w:r>
      <w:r>
        <w:rPr>
          <w:rFonts w:ascii="Arial" w:hAnsi="Arial" w:cs="Arial"/>
          <w:sz w:val="20"/>
          <w:szCs w:val="20"/>
        </w:rPr>
        <w:t>da cui derivano gli aggregati</w:t>
      </w:r>
      <w:r w:rsidRPr="00AC5E2F">
        <w:rPr>
          <w:rFonts w:ascii="Arial" w:hAnsi="Arial" w:cs="Arial"/>
          <w:sz w:val="20"/>
          <w:szCs w:val="20"/>
        </w:rPr>
        <w:t xml:space="preserve">. </w:t>
      </w:r>
      <w:r>
        <w:rPr>
          <w:rFonts w:ascii="Arial" w:hAnsi="Arial" w:cs="Arial"/>
          <w:sz w:val="20"/>
          <w:szCs w:val="20"/>
        </w:rPr>
        <w:t xml:space="preserve">Da ciò ne segue che, </w:t>
      </w:r>
      <w:r w:rsidRPr="00AC5E2F">
        <w:rPr>
          <w:rFonts w:ascii="Arial" w:hAnsi="Arial" w:cs="Arial"/>
          <w:sz w:val="20"/>
          <w:szCs w:val="20"/>
        </w:rPr>
        <w:t xml:space="preserve">quanto più </w:t>
      </w:r>
      <w:r>
        <w:rPr>
          <w:rFonts w:ascii="Arial" w:hAnsi="Arial" w:cs="Arial"/>
          <w:sz w:val="20"/>
          <w:szCs w:val="20"/>
        </w:rPr>
        <w:t xml:space="preserve">è </w:t>
      </w:r>
      <w:r w:rsidRPr="00AC5E2F">
        <w:rPr>
          <w:rFonts w:ascii="Arial" w:hAnsi="Arial" w:cs="Arial"/>
          <w:sz w:val="20"/>
          <w:szCs w:val="20"/>
        </w:rPr>
        <w:t>dettagliato l’aggregato considerato</w:t>
      </w:r>
      <w:r>
        <w:rPr>
          <w:rFonts w:ascii="Arial" w:hAnsi="Arial" w:cs="Arial"/>
          <w:sz w:val="20"/>
          <w:szCs w:val="20"/>
        </w:rPr>
        <w:t>,</w:t>
      </w:r>
      <w:r w:rsidRPr="00AC5E2F">
        <w:rPr>
          <w:rFonts w:ascii="Arial" w:hAnsi="Arial" w:cs="Arial"/>
          <w:sz w:val="20"/>
          <w:szCs w:val="20"/>
        </w:rPr>
        <w:t xml:space="preserve"> tanto più </w:t>
      </w:r>
      <w:r>
        <w:rPr>
          <w:rFonts w:ascii="Arial" w:hAnsi="Arial" w:cs="Arial"/>
          <w:sz w:val="20"/>
          <w:szCs w:val="20"/>
        </w:rPr>
        <w:t xml:space="preserve">risulta </w:t>
      </w:r>
      <w:r w:rsidRPr="00AC5E2F">
        <w:rPr>
          <w:rFonts w:ascii="Arial" w:hAnsi="Arial" w:cs="Arial"/>
          <w:sz w:val="20"/>
          <w:szCs w:val="20"/>
        </w:rPr>
        <w:t>elevata la p</w:t>
      </w:r>
      <w:r>
        <w:rPr>
          <w:rFonts w:ascii="Arial" w:hAnsi="Arial" w:cs="Arial"/>
          <w:sz w:val="20"/>
          <w:szCs w:val="20"/>
        </w:rPr>
        <w:t>robabilità</w:t>
      </w:r>
      <w:r w:rsidRPr="00AC5E2F">
        <w:rPr>
          <w:rFonts w:ascii="Arial" w:hAnsi="Arial" w:cs="Arial"/>
          <w:sz w:val="20"/>
          <w:szCs w:val="20"/>
        </w:rPr>
        <w:t xml:space="preserve"> di riscontrare possibili interruzioni di serie.</w:t>
      </w:r>
      <w:r>
        <w:rPr>
          <w:rFonts w:ascii="Arial" w:hAnsi="Arial" w:cs="Arial"/>
          <w:sz w:val="20"/>
          <w:szCs w:val="20"/>
        </w:rPr>
        <w:t xml:space="preserve"> Questa caratteristica, correlata con i criteri generali di diffusione, articola ulteriormente la base di dati disponibili per l’utenza.</w:t>
      </w:r>
    </w:p>
    <w:p w:rsidR="00DA0EEA" w:rsidRDefault="00DA0EEA" w:rsidP="00DA0EEA">
      <w:pPr>
        <w:spacing w:after="120"/>
        <w:ind w:left="1814"/>
        <w:jc w:val="both"/>
        <w:rPr>
          <w:rFonts w:ascii="Arial" w:hAnsi="Arial" w:cs="Arial"/>
          <w:sz w:val="20"/>
          <w:szCs w:val="20"/>
        </w:rPr>
      </w:pPr>
      <w:r>
        <w:rPr>
          <w:rFonts w:ascii="Arial" w:hAnsi="Arial" w:cs="Arial"/>
          <w:sz w:val="20"/>
          <w:szCs w:val="20"/>
        </w:rPr>
        <w:t>Onde rendere più comprensibile la dinamica che riguarda la diffusione degli indici dei prezzi alla produzione, il presente paragrafo mette in evidenza da un lato, i criteri che regolano la diffusione e il loro concatenarsi; dall’altro, fornisce, in serie storica, il quadro della situazione a partire dal 2011, anno nel quale il sistema degli indici dei prezzi alla produzione sono concatenati annualmente su base mensile.</w:t>
      </w:r>
    </w:p>
    <w:p w:rsidR="00DA0EEA" w:rsidRPr="008814CE" w:rsidRDefault="00DA0EEA" w:rsidP="00DA0EEA">
      <w:pPr>
        <w:spacing w:after="120"/>
        <w:ind w:left="1814"/>
        <w:jc w:val="both"/>
        <w:rPr>
          <w:rFonts w:ascii="Arial" w:hAnsi="Arial" w:cs="Arial"/>
          <w:sz w:val="20"/>
          <w:szCs w:val="20"/>
        </w:rPr>
      </w:pPr>
    </w:p>
    <w:p w:rsidR="00DA0EEA" w:rsidRDefault="00DA0EEA" w:rsidP="00DA0EEA">
      <w:pPr>
        <w:spacing w:after="120"/>
        <w:ind w:left="1814"/>
        <w:jc w:val="both"/>
        <w:rPr>
          <w:rFonts w:ascii="Arial" w:hAnsi="Arial" w:cs="Arial"/>
          <w:sz w:val="20"/>
          <w:szCs w:val="20"/>
        </w:rPr>
      </w:pPr>
      <w:r w:rsidRPr="0040495C">
        <w:rPr>
          <w:rFonts w:ascii="Arial" w:hAnsi="Arial" w:cs="Arial"/>
          <w:b/>
          <w:sz w:val="20"/>
          <w:szCs w:val="20"/>
        </w:rPr>
        <w:t xml:space="preserve">Regole di diffusione. </w:t>
      </w:r>
      <w:r w:rsidRPr="00AC5E2F">
        <w:rPr>
          <w:rFonts w:ascii="Arial" w:hAnsi="Arial" w:cs="Arial"/>
          <w:sz w:val="20"/>
          <w:szCs w:val="20"/>
        </w:rPr>
        <w:t>Il sistema</w:t>
      </w:r>
      <w:r>
        <w:rPr>
          <w:rFonts w:ascii="Arial" w:hAnsi="Arial" w:cs="Arial"/>
          <w:sz w:val="20"/>
          <w:szCs w:val="20"/>
        </w:rPr>
        <w:t xml:space="preserve"> degli indici dei prezzi alla produzione è costituito da tre variabili rilevate e due di sintesi. La diffusione è effettuata a partire dagli aggregati di classe fino all’indice generale e con riguardo ai Raggruppament</w:t>
      </w:r>
      <w:r w:rsidR="00717201">
        <w:rPr>
          <w:rFonts w:ascii="Arial" w:hAnsi="Arial" w:cs="Arial"/>
          <w:sz w:val="20"/>
          <w:szCs w:val="20"/>
        </w:rPr>
        <w:t>i principali di industrie.</w:t>
      </w:r>
    </w:p>
    <w:p w:rsidR="00DA0EEA" w:rsidRPr="0040495C" w:rsidRDefault="00DA0EEA" w:rsidP="00DA0EEA">
      <w:pPr>
        <w:spacing w:after="120"/>
        <w:ind w:left="1814"/>
        <w:jc w:val="both"/>
        <w:rPr>
          <w:rFonts w:ascii="Arial" w:hAnsi="Arial" w:cs="Arial"/>
          <w:b/>
          <w:sz w:val="20"/>
          <w:szCs w:val="20"/>
        </w:rPr>
      </w:pPr>
      <w:r>
        <w:rPr>
          <w:rFonts w:ascii="Arial" w:hAnsi="Arial" w:cs="Arial"/>
          <w:sz w:val="20"/>
          <w:szCs w:val="20"/>
        </w:rPr>
        <w:lastRenderedPageBreak/>
        <w:t xml:space="preserve">Con riferimento ad un generico anno, gli indici pubblicati sono concatenati ma la loro numerosità deriva prima di tutto dalla composizione della base di calcolo cioè, più semplicemente, dal turnover </w:t>
      </w:r>
      <w:r w:rsidRPr="00B132DB">
        <w:rPr>
          <w:rFonts w:ascii="Arial" w:hAnsi="Arial" w:cs="Arial"/>
          <w:i/>
          <w:sz w:val="20"/>
          <w:szCs w:val="20"/>
        </w:rPr>
        <w:t>imprese/prezzi/prodotti</w:t>
      </w:r>
      <w:r>
        <w:rPr>
          <w:rFonts w:ascii="Arial" w:hAnsi="Arial" w:cs="Arial"/>
          <w:sz w:val="20"/>
          <w:szCs w:val="20"/>
        </w:rPr>
        <w:t>. Questo principio, naturalmente, vale per ciascuna delle variabili del sistema e</w:t>
      </w:r>
      <w:r w:rsidRPr="003A32AD">
        <w:rPr>
          <w:rFonts w:ascii="Arial" w:hAnsi="Arial" w:cs="Arial"/>
          <w:sz w:val="20"/>
          <w:szCs w:val="20"/>
        </w:rPr>
        <w:t xml:space="preserve"> al loro interagire a livello di sistema</w:t>
      </w:r>
      <w:r w:rsidRPr="001A126F">
        <w:rPr>
          <w:rFonts w:ascii="Arial" w:hAnsi="Arial" w:cs="Arial"/>
          <w:sz w:val="20"/>
          <w:szCs w:val="20"/>
        </w:rPr>
        <w:t xml:space="preserve">. Ne discende, per il sistema dei </w:t>
      </w:r>
      <w:r w:rsidR="007D4947">
        <w:rPr>
          <w:rFonts w:ascii="Arial" w:hAnsi="Arial" w:cs="Arial"/>
          <w:sz w:val="20"/>
          <w:szCs w:val="20"/>
        </w:rPr>
        <w:t>p</w:t>
      </w:r>
      <w:r w:rsidRPr="001A126F">
        <w:rPr>
          <w:rFonts w:ascii="Arial" w:hAnsi="Arial" w:cs="Arial"/>
          <w:sz w:val="20"/>
          <w:szCs w:val="20"/>
        </w:rPr>
        <w:t xml:space="preserve">rezzi alla </w:t>
      </w:r>
      <w:r>
        <w:rPr>
          <w:rFonts w:ascii="Arial" w:hAnsi="Arial" w:cs="Arial"/>
          <w:sz w:val="20"/>
          <w:szCs w:val="20"/>
        </w:rPr>
        <w:t>p</w:t>
      </w:r>
      <w:r w:rsidRPr="001A126F">
        <w:rPr>
          <w:rFonts w:ascii="Arial" w:hAnsi="Arial" w:cs="Arial"/>
          <w:sz w:val="20"/>
          <w:szCs w:val="20"/>
        </w:rPr>
        <w:t>roduzione, l’esistenza di cinque distinti schemi di diffusione.</w:t>
      </w:r>
    </w:p>
    <w:p w:rsidR="00DA0EEA" w:rsidRDefault="00DA0EEA" w:rsidP="00DA0EEA">
      <w:pPr>
        <w:spacing w:after="120"/>
        <w:ind w:left="1814"/>
        <w:jc w:val="both"/>
        <w:rPr>
          <w:rFonts w:ascii="Arial" w:hAnsi="Arial" w:cs="Arial"/>
          <w:sz w:val="20"/>
          <w:szCs w:val="20"/>
        </w:rPr>
      </w:pPr>
      <w:r>
        <w:rPr>
          <w:rFonts w:ascii="Arial" w:hAnsi="Arial" w:cs="Arial"/>
          <w:sz w:val="20"/>
          <w:szCs w:val="20"/>
        </w:rPr>
        <w:t xml:space="preserve">Il criterio generale che guida la diffusione di indici rilevati direttamente presso imprese discende dall’art. 9 del </w:t>
      </w:r>
      <w:proofErr w:type="spellStart"/>
      <w:r>
        <w:rPr>
          <w:rFonts w:ascii="Arial" w:hAnsi="Arial" w:cs="Arial"/>
          <w:sz w:val="20"/>
          <w:szCs w:val="20"/>
        </w:rPr>
        <w:t>DLgs</w:t>
      </w:r>
      <w:proofErr w:type="spellEnd"/>
      <w:r>
        <w:rPr>
          <w:rFonts w:ascii="Arial" w:hAnsi="Arial" w:cs="Arial"/>
          <w:sz w:val="20"/>
          <w:szCs w:val="20"/>
        </w:rPr>
        <w:t xml:space="preserve">. 322/89 e riguarda la tutela </w:t>
      </w:r>
      <w:r w:rsidRPr="00045A54">
        <w:rPr>
          <w:rFonts w:ascii="Arial" w:hAnsi="Arial" w:cs="Arial"/>
          <w:sz w:val="20"/>
          <w:szCs w:val="20"/>
        </w:rPr>
        <w:t>della segretezza dei dati forniti dalle imprese</w:t>
      </w:r>
      <w:r>
        <w:rPr>
          <w:rFonts w:ascii="Arial" w:hAnsi="Arial" w:cs="Arial"/>
          <w:sz w:val="20"/>
          <w:szCs w:val="20"/>
        </w:rPr>
        <w:t xml:space="preserve">. Tale criterio, calato sulla realtà di rilevazione, si traduce nella regola in base alla quale l’indice di un determinato aggregato può essere pubblicato se e solo se i dati sui quali è costruito lo stesso aggregato – nel caso specifico le serie dei prezzi – sono acquisiti da almeno tre unità rispondenti, cioè da tre imprese. </w:t>
      </w:r>
    </w:p>
    <w:p w:rsidR="00DA0EEA" w:rsidRDefault="00DA0EEA" w:rsidP="00DA0EEA">
      <w:pPr>
        <w:spacing w:after="120"/>
        <w:ind w:left="1814"/>
        <w:jc w:val="both"/>
        <w:rPr>
          <w:rFonts w:ascii="Arial" w:hAnsi="Arial" w:cs="Arial"/>
          <w:sz w:val="20"/>
          <w:szCs w:val="20"/>
        </w:rPr>
      </w:pPr>
      <w:r>
        <w:rPr>
          <w:rFonts w:ascii="Arial" w:hAnsi="Arial" w:cs="Arial"/>
          <w:sz w:val="20"/>
          <w:szCs w:val="20"/>
        </w:rPr>
        <w:t xml:space="preserve">Al criterio generale di diffusione si associa una regola ispirata al principio di rilevanza (nell’accezione di rappresentatività) degli aggregati in diffusione. Più semplicemente, si tratta di una regola di efficienza, finalizzata all’eliminazione di ridondanze nella pubblicazione degli indici. Di fatto, l’aggregato di ordine superiore ha un diritto di precedenza – nella pubblicazione – rispetto a quello di ordine inferiore. E’ il caso di osservare che il principio di rilevanza ricorre se e solo se la corrispondenza tra aggregati di ordine superiore e inferiore è biunivoca (cioè se gli indici dei due aggregati coincidono). In altre parole, se, ad esempio, in corrispondenza di un determinato aggregato sono disponibili gli indici di gruppo e di classe (cioè in corrispondenza di quel gruppo è associata una sola classe), in diffusione è presente solo l’indice di gruppo. </w:t>
      </w:r>
    </w:p>
    <w:p w:rsidR="00464C00" w:rsidRDefault="00DA0EEA" w:rsidP="00DA0EEA">
      <w:pPr>
        <w:spacing w:after="120"/>
        <w:ind w:left="1814"/>
        <w:jc w:val="both"/>
        <w:rPr>
          <w:rFonts w:ascii="Arial" w:hAnsi="Arial" w:cs="Arial"/>
          <w:sz w:val="20"/>
          <w:szCs w:val="20"/>
        </w:rPr>
      </w:pPr>
      <w:r>
        <w:rPr>
          <w:rFonts w:ascii="Arial" w:hAnsi="Arial" w:cs="Arial"/>
          <w:sz w:val="20"/>
          <w:szCs w:val="20"/>
        </w:rPr>
        <w:t xml:space="preserve">Il criterio generale di diffusione e la regola di rilevanza operano, contemporaneamente, come variabili esogene sulla diffusione degli indici aggregati. C’è un’ulteriore componente, di natura endogena – perché propria del sistema delle cinque variabili sui prezzi alla produzione – dalla quale dipende la dinamica relativa alla pubblicazione degli indici. Ci </w:t>
      </w:r>
      <w:r w:rsidR="00D006E2">
        <w:rPr>
          <w:rFonts w:ascii="Arial" w:hAnsi="Arial" w:cs="Arial"/>
          <w:sz w:val="20"/>
          <w:szCs w:val="20"/>
        </w:rPr>
        <w:t>si riferisce</w:t>
      </w:r>
      <w:r>
        <w:rPr>
          <w:rFonts w:ascii="Arial" w:hAnsi="Arial" w:cs="Arial"/>
          <w:sz w:val="20"/>
          <w:szCs w:val="20"/>
        </w:rPr>
        <w:t xml:space="preserve"> alle variabili di sintesi le quali, proprio in forza del criterio generale di diffusione, possono prevedere la pubblicazione di indici di aggregati che non sono pubblicati a livello di variabili rilevate. E’ il caso, ad esempio, di un aggregato della variabile di sintesi che derivi dai due corrispettivi indici rilevati, relativamente ai quali, per il primo, i prezzi sono rilevati da due imprese e, per il secondo, la base di rilevazione è rappresentata da una sola unità rispondente. </w:t>
      </w:r>
    </w:p>
    <w:p w:rsidR="00C8095A" w:rsidRDefault="00C8095A" w:rsidP="00464C00">
      <w:pPr>
        <w:spacing w:after="120"/>
        <w:ind w:left="1843"/>
        <w:jc w:val="both"/>
        <w:rPr>
          <w:rFonts w:ascii="Arial" w:hAnsi="Arial" w:cs="Arial"/>
          <w:sz w:val="20"/>
          <w:szCs w:val="20"/>
        </w:rPr>
      </w:pPr>
    </w:p>
    <w:p w:rsidR="00E35D50" w:rsidRDefault="00E35D50" w:rsidP="00E35D50">
      <w:pPr>
        <w:spacing w:after="120"/>
        <w:ind w:left="1814"/>
        <w:jc w:val="both"/>
        <w:rPr>
          <w:rFonts w:ascii="Arial Narrow" w:hAnsi="Arial Narrow" w:cs="Arial"/>
          <w:b/>
          <w:color w:val="333333"/>
          <w:sz w:val="19"/>
          <w:szCs w:val="16"/>
        </w:rPr>
      </w:pPr>
      <w:r>
        <w:rPr>
          <w:rFonts w:ascii="Arial Narrow" w:hAnsi="Arial Narrow" w:cs="Arial"/>
          <w:b/>
          <w:caps/>
          <w:color w:val="777777"/>
          <w:sz w:val="20"/>
          <w:szCs w:val="16"/>
        </w:rPr>
        <w:t>Prospetto 1</w:t>
      </w:r>
      <w:r w:rsidR="00C10D03">
        <w:rPr>
          <w:rFonts w:ascii="Arial Narrow" w:hAnsi="Arial Narrow" w:cs="Arial"/>
          <w:b/>
          <w:caps/>
          <w:color w:val="777777"/>
          <w:sz w:val="20"/>
          <w:szCs w:val="16"/>
        </w:rPr>
        <w:t>2</w:t>
      </w:r>
      <w:r>
        <w:rPr>
          <w:rFonts w:ascii="Arial Narrow" w:hAnsi="Arial Narrow" w:cs="Arial"/>
          <w:b/>
          <w:caps/>
          <w:color w:val="777777"/>
          <w:sz w:val="20"/>
          <w:szCs w:val="16"/>
        </w:rPr>
        <w:t xml:space="preserve">. Prezzi alla produzione dei prodotti industriali. </w:t>
      </w:r>
      <w:r w:rsidRPr="00714C50">
        <w:rPr>
          <w:rFonts w:ascii="Arial Narrow" w:hAnsi="Arial Narrow" w:cs="Arial"/>
          <w:color w:val="333333"/>
          <w:sz w:val="19"/>
          <w:szCs w:val="16"/>
        </w:rPr>
        <w:t xml:space="preserve">Confronto tra gli aggregati diffusi </w:t>
      </w:r>
      <w:r>
        <w:rPr>
          <w:rFonts w:ascii="Arial Narrow" w:hAnsi="Arial Narrow" w:cs="Arial"/>
          <w:color w:val="333333"/>
          <w:sz w:val="19"/>
          <w:szCs w:val="16"/>
        </w:rPr>
        <w:t>nelle basi di calcolo Dicembre 2012 e Dicembre 2013</w:t>
      </w:r>
      <w:r w:rsidR="00251264" w:rsidRPr="00995D9F">
        <w:rPr>
          <w:rFonts w:ascii="Arial" w:hAnsi="Arial" w:cs="Arial"/>
          <w:sz w:val="20"/>
          <w:szCs w:val="20"/>
          <w:vertAlign w:val="superscript"/>
        </w:rPr>
        <w:footnoteReference w:id="9"/>
      </w:r>
      <w:r>
        <w:rPr>
          <w:rFonts w:ascii="Arial Narrow" w:hAnsi="Arial Narrow" w:cs="Arial"/>
          <w:color w:val="333333"/>
          <w:sz w:val="19"/>
          <w:szCs w:val="16"/>
        </w:rPr>
        <w:t>.</w:t>
      </w:r>
    </w:p>
    <w:tbl>
      <w:tblPr>
        <w:tblW w:w="4051" w:type="pct"/>
        <w:tblInd w:w="1908" w:type="dxa"/>
        <w:tblLook w:val="01E0" w:firstRow="1" w:lastRow="1" w:firstColumn="1" w:lastColumn="1" w:noHBand="0" w:noVBand="0"/>
      </w:tblPr>
      <w:tblGrid>
        <w:gridCol w:w="1980"/>
        <w:gridCol w:w="671"/>
        <w:gridCol w:w="673"/>
        <w:gridCol w:w="673"/>
        <w:gridCol w:w="675"/>
        <w:gridCol w:w="673"/>
        <w:gridCol w:w="675"/>
        <w:gridCol w:w="673"/>
        <w:gridCol w:w="675"/>
        <w:gridCol w:w="673"/>
        <w:gridCol w:w="678"/>
      </w:tblGrid>
      <w:tr w:rsidR="00643BC3" w:rsidTr="003B2120">
        <w:trPr>
          <w:cantSplit/>
        </w:trPr>
        <w:tc>
          <w:tcPr>
            <w:tcW w:w="1135" w:type="pct"/>
            <w:vMerge w:val="restar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b/>
                <w:sz w:val="18"/>
                <w:szCs w:val="16"/>
              </w:rPr>
            </w:pPr>
            <w:r w:rsidRPr="00845370">
              <w:rPr>
                <w:rFonts w:ascii="Arial Narrow" w:hAnsi="Arial Narrow" w:cs="Arial"/>
                <w:b/>
                <w:sz w:val="18"/>
                <w:szCs w:val="16"/>
              </w:rPr>
              <w:t>Aggregati</w:t>
            </w:r>
          </w:p>
        </w:tc>
        <w:tc>
          <w:tcPr>
            <w:tcW w:w="771" w:type="pct"/>
            <w:gridSpan w:val="2"/>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center"/>
              <w:rPr>
                <w:rFonts w:ascii="Arial Narrow" w:hAnsi="Arial Narrow" w:cs="Arial"/>
                <w:b/>
                <w:sz w:val="18"/>
                <w:szCs w:val="16"/>
              </w:rPr>
            </w:pPr>
            <w:r w:rsidRPr="00845370">
              <w:rPr>
                <w:rFonts w:ascii="Arial Narrow" w:hAnsi="Arial Narrow" w:cs="Arial"/>
                <w:b/>
                <w:sz w:val="18"/>
                <w:szCs w:val="16"/>
              </w:rPr>
              <w:t>Totale</w:t>
            </w:r>
          </w:p>
        </w:tc>
        <w:tc>
          <w:tcPr>
            <w:tcW w:w="773" w:type="pct"/>
            <w:gridSpan w:val="2"/>
            <w:tcBorders>
              <w:top w:val="single" w:sz="4" w:space="0" w:color="333333"/>
              <w:bottom w:val="single" w:sz="4" w:space="0" w:color="333333"/>
            </w:tcBorders>
            <w:vAlign w:val="center"/>
          </w:tcPr>
          <w:p w:rsidR="00643BC3" w:rsidRPr="00845370" w:rsidRDefault="00643BC3" w:rsidP="003B2120">
            <w:pPr>
              <w:pStyle w:val="Titolo5"/>
            </w:pPr>
            <w:r w:rsidRPr="00845370">
              <w:t>Interno</w:t>
            </w:r>
          </w:p>
        </w:tc>
        <w:tc>
          <w:tcPr>
            <w:tcW w:w="773" w:type="pct"/>
            <w:gridSpan w:val="2"/>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center"/>
              <w:rPr>
                <w:rFonts w:ascii="Arial Narrow" w:hAnsi="Arial Narrow" w:cs="Arial"/>
                <w:b/>
                <w:sz w:val="18"/>
                <w:szCs w:val="16"/>
              </w:rPr>
            </w:pPr>
            <w:r w:rsidRPr="00845370">
              <w:rPr>
                <w:rFonts w:ascii="Arial Narrow" w:hAnsi="Arial Narrow" w:cs="Arial"/>
                <w:b/>
                <w:sz w:val="18"/>
                <w:szCs w:val="16"/>
              </w:rPr>
              <w:t>Estero</w:t>
            </w:r>
          </w:p>
        </w:tc>
        <w:tc>
          <w:tcPr>
            <w:tcW w:w="773" w:type="pct"/>
            <w:gridSpan w:val="2"/>
            <w:tcBorders>
              <w:top w:val="single" w:sz="4" w:space="0" w:color="333333"/>
              <w:bottom w:val="single" w:sz="4" w:space="0" w:color="333333"/>
            </w:tcBorders>
            <w:vAlign w:val="center"/>
          </w:tcPr>
          <w:p w:rsidR="00643BC3" w:rsidRPr="00845370" w:rsidRDefault="00643BC3" w:rsidP="003B2120">
            <w:pPr>
              <w:spacing w:before="40" w:after="20"/>
              <w:jc w:val="center"/>
              <w:rPr>
                <w:rFonts w:ascii="Arial Narrow" w:hAnsi="Arial Narrow" w:cs="Arial"/>
                <w:b/>
                <w:sz w:val="18"/>
                <w:szCs w:val="16"/>
              </w:rPr>
            </w:pPr>
            <w:r w:rsidRPr="00845370">
              <w:rPr>
                <w:rFonts w:ascii="Arial Narrow" w:hAnsi="Arial Narrow" w:cs="Arial"/>
                <w:b/>
                <w:sz w:val="18"/>
                <w:szCs w:val="16"/>
              </w:rPr>
              <w:t>Estero</w:t>
            </w:r>
            <w:r w:rsidRPr="00845370">
              <w:rPr>
                <w:rFonts w:ascii="Arial Narrow" w:hAnsi="Arial Narrow" w:cs="Arial"/>
                <w:b/>
                <w:sz w:val="18"/>
                <w:szCs w:val="16"/>
              </w:rPr>
              <w:br/>
              <w:t>area euro</w:t>
            </w:r>
          </w:p>
        </w:tc>
        <w:tc>
          <w:tcPr>
            <w:tcW w:w="775" w:type="pct"/>
            <w:gridSpan w:val="2"/>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center"/>
              <w:rPr>
                <w:rFonts w:ascii="Arial Narrow" w:hAnsi="Arial Narrow" w:cs="Arial"/>
                <w:b/>
                <w:sz w:val="18"/>
                <w:szCs w:val="16"/>
              </w:rPr>
            </w:pPr>
            <w:r w:rsidRPr="00845370">
              <w:rPr>
                <w:rFonts w:ascii="Arial Narrow" w:hAnsi="Arial Narrow" w:cs="Arial"/>
                <w:b/>
                <w:sz w:val="18"/>
                <w:szCs w:val="16"/>
              </w:rPr>
              <w:t>Estero</w:t>
            </w:r>
            <w:r w:rsidRPr="00845370">
              <w:rPr>
                <w:rFonts w:ascii="Arial Narrow" w:hAnsi="Arial Narrow" w:cs="Arial"/>
                <w:b/>
                <w:sz w:val="18"/>
                <w:szCs w:val="16"/>
              </w:rPr>
              <w:br/>
              <w:t>area non euro</w:t>
            </w:r>
          </w:p>
        </w:tc>
      </w:tr>
      <w:tr w:rsidR="00643BC3" w:rsidTr="003B2120">
        <w:trPr>
          <w:cantSplit/>
        </w:trPr>
        <w:tc>
          <w:tcPr>
            <w:tcW w:w="1135" w:type="pct"/>
            <w:vMerge/>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rPr>
            </w:pPr>
          </w:p>
        </w:tc>
        <w:tc>
          <w:tcPr>
            <w:tcW w:w="385" w:type="pct"/>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w:t>
            </w:r>
            <w:r>
              <w:rPr>
                <w:rFonts w:ascii="Arial Narrow" w:hAnsi="Arial Narrow" w:cs="Arial"/>
                <w:b/>
                <w:sz w:val="18"/>
                <w:szCs w:val="16"/>
              </w:rPr>
              <w:t>12</w:t>
            </w:r>
          </w:p>
        </w:tc>
        <w:tc>
          <w:tcPr>
            <w:tcW w:w="386" w:type="pct"/>
            <w:tcBorders>
              <w:top w:val="single" w:sz="4" w:space="0" w:color="333333"/>
              <w:bottom w:val="single" w:sz="4" w:space="0" w:color="333333"/>
            </w:tcBorders>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201</w:t>
            </w:r>
            <w:r>
              <w:rPr>
                <w:rFonts w:ascii="Arial Narrow" w:hAnsi="Arial Narrow" w:cs="Arial"/>
                <w:b/>
                <w:sz w:val="18"/>
                <w:szCs w:val="16"/>
              </w:rPr>
              <w:t>3</w:t>
            </w:r>
          </w:p>
        </w:tc>
        <w:tc>
          <w:tcPr>
            <w:tcW w:w="386" w:type="pct"/>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w:t>
            </w:r>
            <w:r>
              <w:rPr>
                <w:rFonts w:ascii="Arial Narrow" w:hAnsi="Arial Narrow" w:cs="Arial"/>
                <w:b/>
                <w:sz w:val="18"/>
                <w:szCs w:val="16"/>
              </w:rPr>
              <w:t>12</w:t>
            </w:r>
          </w:p>
        </w:tc>
        <w:tc>
          <w:tcPr>
            <w:tcW w:w="387" w:type="pct"/>
            <w:tcBorders>
              <w:top w:val="single" w:sz="4" w:space="0" w:color="333333"/>
              <w:bottom w:val="single" w:sz="4" w:space="0" w:color="333333"/>
            </w:tcBorders>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201</w:t>
            </w:r>
            <w:r>
              <w:rPr>
                <w:rFonts w:ascii="Arial Narrow" w:hAnsi="Arial Narrow" w:cs="Arial"/>
                <w:b/>
                <w:sz w:val="18"/>
                <w:szCs w:val="16"/>
              </w:rPr>
              <w:t>3</w:t>
            </w:r>
          </w:p>
        </w:tc>
        <w:tc>
          <w:tcPr>
            <w:tcW w:w="386" w:type="pct"/>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w:t>
            </w:r>
            <w:r>
              <w:rPr>
                <w:rFonts w:ascii="Arial Narrow" w:hAnsi="Arial Narrow" w:cs="Arial"/>
                <w:b/>
                <w:sz w:val="18"/>
                <w:szCs w:val="16"/>
              </w:rPr>
              <w:t>12</w:t>
            </w:r>
          </w:p>
        </w:tc>
        <w:tc>
          <w:tcPr>
            <w:tcW w:w="387" w:type="pct"/>
            <w:tcBorders>
              <w:top w:val="single" w:sz="4" w:space="0" w:color="333333"/>
              <w:bottom w:val="single" w:sz="4" w:space="0" w:color="333333"/>
            </w:tcBorders>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201</w:t>
            </w:r>
            <w:r>
              <w:rPr>
                <w:rFonts w:ascii="Arial Narrow" w:hAnsi="Arial Narrow" w:cs="Arial"/>
                <w:b/>
                <w:sz w:val="18"/>
                <w:szCs w:val="16"/>
              </w:rPr>
              <w:t>3</w:t>
            </w:r>
          </w:p>
        </w:tc>
        <w:tc>
          <w:tcPr>
            <w:tcW w:w="386" w:type="pct"/>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w:t>
            </w:r>
            <w:r>
              <w:rPr>
                <w:rFonts w:ascii="Arial Narrow" w:hAnsi="Arial Narrow" w:cs="Arial"/>
                <w:b/>
                <w:sz w:val="18"/>
                <w:szCs w:val="16"/>
              </w:rPr>
              <w:t>12</w:t>
            </w:r>
          </w:p>
        </w:tc>
        <w:tc>
          <w:tcPr>
            <w:tcW w:w="387" w:type="pct"/>
            <w:tcBorders>
              <w:top w:val="single" w:sz="4" w:space="0" w:color="333333"/>
              <w:bottom w:val="single" w:sz="4" w:space="0" w:color="333333"/>
            </w:tcBorders>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201</w:t>
            </w:r>
            <w:r>
              <w:rPr>
                <w:rFonts w:ascii="Arial Narrow" w:hAnsi="Arial Narrow" w:cs="Arial"/>
                <w:b/>
                <w:sz w:val="18"/>
                <w:szCs w:val="16"/>
              </w:rPr>
              <w:t>3</w:t>
            </w:r>
          </w:p>
        </w:tc>
        <w:tc>
          <w:tcPr>
            <w:tcW w:w="386" w:type="pct"/>
            <w:tcBorders>
              <w:top w:val="single" w:sz="4" w:space="0" w:color="333333"/>
              <w:bottom w:val="single" w:sz="4" w:space="0" w:color="333333"/>
            </w:tcBorders>
            <w:shd w:val="clear" w:color="auto" w:fill="E6E6E6"/>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w:t>
            </w:r>
            <w:r>
              <w:rPr>
                <w:rFonts w:ascii="Arial Narrow" w:hAnsi="Arial Narrow" w:cs="Arial"/>
                <w:b/>
                <w:sz w:val="18"/>
                <w:szCs w:val="16"/>
              </w:rPr>
              <w:t>12</w:t>
            </w:r>
          </w:p>
        </w:tc>
        <w:tc>
          <w:tcPr>
            <w:tcW w:w="389" w:type="pct"/>
            <w:tcBorders>
              <w:top w:val="single" w:sz="4" w:space="0" w:color="333333"/>
              <w:bottom w:val="single" w:sz="4" w:space="0" w:color="333333"/>
            </w:tcBorders>
            <w:vAlign w:val="center"/>
          </w:tcPr>
          <w:p w:rsidR="00643BC3" w:rsidRPr="00845370" w:rsidRDefault="00643BC3" w:rsidP="003B2120">
            <w:pPr>
              <w:spacing w:before="40" w:after="20"/>
              <w:jc w:val="right"/>
              <w:rPr>
                <w:rFonts w:ascii="Arial Narrow" w:hAnsi="Arial Narrow" w:cs="Arial"/>
                <w:b/>
                <w:sz w:val="18"/>
                <w:szCs w:val="16"/>
              </w:rPr>
            </w:pPr>
            <w:r w:rsidRPr="00845370">
              <w:rPr>
                <w:rFonts w:ascii="Arial Narrow" w:hAnsi="Arial Narrow" w:cs="Arial"/>
                <w:b/>
                <w:sz w:val="18"/>
                <w:szCs w:val="16"/>
              </w:rPr>
              <w:t>Base 201</w:t>
            </w:r>
            <w:r>
              <w:rPr>
                <w:rFonts w:ascii="Arial Narrow" w:hAnsi="Arial Narrow" w:cs="Arial"/>
                <w:b/>
                <w:sz w:val="18"/>
                <w:szCs w:val="16"/>
              </w:rPr>
              <w:t>3</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rPr>
                <w:rFonts w:ascii="Arial Narrow" w:hAnsi="Arial Narrow" w:cs="Arial"/>
                <w:sz w:val="18"/>
                <w:szCs w:val="16"/>
                <w:vertAlign w:val="superscript"/>
              </w:rPr>
            </w:pPr>
            <w:r w:rsidRPr="00845370">
              <w:rPr>
                <w:rFonts w:ascii="Arial Narrow" w:hAnsi="Arial Narrow" w:cs="Arial"/>
                <w:sz w:val="18"/>
                <w:szCs w:val="16"/>
              </w:rPr>
              <w:t>Raggruppamenti principali di industrie (a)</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6</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6</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6</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6</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6</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rPr>
            </w:pPr>
            <w:r w:rsidRPr="00845370">
              <w:rPr>
                <w:rFonts w:ascii="Arial Narrow" w:hAnsi="Arial Narrow" w:cs="Arial"/>
                <w:sz w:val="18"/>
                <w:szCs w:val="16"/>
              </w:rPr>
              <w:t>Indice generale</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vertAlign w:val="superscript"/>
              </w:rPr>
            </w:pPr>
            <w:r w:rsidRPr="00845370">
              <w:rPr>
                <w:rFonts w:ascii="Arial Narrow" w:hAnsi="Arial Narrow" w:cs="Arial"/>
                <w:sz w:val="18"/>
                <w:szCs w:val="16"/>
              </w:rPr>
              <w:t>Sezioni</w:t>
            </w:r>
            <w:r w:rsidRPr="00845370">
              <w:rPr>
                <w:rFonts w:ascii="Arial Narrow" w:hAnsi="Arial Narrow" w:cs="Arial"/>
                <w:sz w:val="18"/>
                <w:szCs w:val="16"/>
                <w:vertAlign w:val="superscript"/>
              </w:rPr>
              <w:t xml:space="preserve"> </w:t>
            </w:r>
            <w:r w:rsidRPr="00845370">
              <w:rPr>
                <w:rFonts w:ascii="Arial Narrow" w:hAnsi="Arial Narrow" w:cs="Arial"/>
                <w:sz w:val="18"/>
                <w:szCs w:val="16"/>
              </w:rPr>
              <w:t>(b)</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4</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4</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4</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4</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vertAlign w:val="superscript"/>
              </w:rPr>
            </w:pPr>
            <w:r w:rsidRPr="00845370">
              <w:rPr>
                <w:rFonts w:ascii="Arial Narrow" w:hAnsi="Arial Narrow" w:cs="Arial"/>
                <w:sz w:val="18"/>
                <w:szCs w:val="16"/>
              </w:rPr>
              <w:t>Sottosezioni (c)</w:t>
            </w:r>
            <w:r w:rsidRPr="00845370">
              <w:rPr>
                <w:rFonts w:ascii="Arial Narrow" w:hAnsi="Arial Narrow" w:cs="Arial"/>
                <w:color w:val="FFFFFF"/>
                <w:sz w:val="18"/>
                <w:szCs w:val="16"/>
              </w:rPr>
              <w:t xml:space="preserve"> </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vertAlign w:val="superscript"/>
              </w:rPr>
            </w:pPr>
            <w:r w:rsidRPr="00845370">
              <w:rPr>
                <w:rFonts w:ascii="Arial Narrow" w:hAnsi="Arial Narrow" w:cs="Arial"/>
                <w:sz w:val="18"/>
                <w:szCs w:val="16"/>
              </w:rPr>
              <w:t>Divisioni</w:t>
            </w:r>
            <w:r w:rsidRPr="00845370">
              <w:rPr>
                <w:rFonts w:ascii="Arial Narrow" w:hAnsi="Arial Narrow" w:cs="Arial"/>
                <w:sz w:val="18"/>
                <w:szCs w:val="16"/>
                <w:vertAlign w:val="superscript"/>
              </w:rPr>
              <w:t xml:space="preserve"> </w:t>
            </w:r>
            <w:r w:rsidRPr="00845370">
              <w:rPr>
                <w:rFonts w:ascii="Arial Narrow" w:hAnsi="Arial Narrow" w:cs="Arial"/>
                <w:sz w:val="18"/>
                <w:szCs w:val="16"/>
              </w:rPr>
              <w:t>(b)</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25</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26</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25</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26</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22</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22</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22</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22</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22</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22</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vertAlign w:val="superscript"/>
              </w:rPr>
            </w:pPr>
            <w:r w:rsidRPr="00845370">
              <w:rPr>
                <w:rFonts w:ascii="Arial Narrow" w:hAnsi="Arial Narrow" w:cs="Arial"/>
                <w:sz w:val="18"/>
                <w:szCs w:val="16"/>
              </w:rPr>
              <w:t>Gruppi (b)</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91</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89</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89</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89</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78</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79</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72</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71</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67</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74</w:t>
            </w:r>
          </w:p>
        </w:tc>
      </w:tr>
      <w:tr w:rsidR="00643BC3" w:rsidTr="003B2120">
        <w:tc>
          <w:tcPr>
            <w:tcW w:w="1135" w:type="pct"/>
            <w:tcBorders>
              <w:top w:val="single" w:sz="4" w:space="0" w:color="333333"/>
              <w:bottom w:val="single" w:sz="4" w:space="0" w:color="333333"/>
            </w:tcBorders>
            <w:vAlign w:val="center"/>
          </w:tcPr>
          <w:p w:rsidR="00643BC3" w:rsidRPr="00845370" w:rsidRDefault="00643BC3" w:rsidP="003B2120">
            <w:pPr>
              <w:spacing w:before="40" w:after="20"/>
              <w:ind w:left="-57"/>
              <w:jc w:val="both"/>
              <w:rPr>
                <w:rFonts w:ascii="Arial Narrow" w:hAnsi="Arial Narrow" w:cs="Arial"/>
                <w:sz w:val="18"/>
                <w:szCs w:val="16"/>
                <w:vertAlign w:val="superscript"/>
              </w:rPr>
            </w:pPr>
            <w:r w:rsidRPr="00845370">
              <w:rPr>
                <w:rFonts w:ascii="Arial Narrow" w:hAnsi="Arial Narrow" w:cs="Arial"/>
                <w:sz w:val="18"/>
                <w:szCs w:val="16"/>
              </w:rPr>
              <w:t>Classi (b)</w:t>
            </w:r>
          </w:p>
        </w:tc>
        <w:tc>
          <w:tcPr>
            <w:tcW w:w="385"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167</w:t>
            </w:r>
          </w:p>
        </w:tc>
        <w:tc>
          <w:tcPr>
            <w:tcW w:w="386"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171</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160</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163</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126</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134</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114</w:t>
            </w:r>
          </w:p>
        </w:tc>
        <w:tc>
          <w:tcPr>
            <w:tcW w:w="387"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118</w:t>
            </w:r>
          </w:p>
        </w:tc>
        <w:tc>
          <w:tcPr>
            <w:tcW w:w="386" w:type="pct"/>
            <w:tcBorders>
              <w:top w:val="single" w:sz="4" w:space="0" w:color="333333"/>
              <w:bottom w:val="single" w:sz="4" w:space="0" w:color="333333"/>
            </w:tcBorders>
            <w:shd w:val="clear" w:color="auto" w:fill="E6E6E6"/>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115</w:t>
            </w:r>
          </w:p>
        </w:tc>
        <w:tc>
          <w:tcPr>
            <w:tcW w:w="389" w:type="pct"/>
            <w:tcBorders>
              <w:top w:val="single" w:sz="4" w:space="0" w:color="333333"/>
              <w:bottom w:val="single" w:sz="4" w:space="0" w:color="333333"/>
            </w:tcBorders>
            <w:vAlign w:val="center"/>
          </w:tcPr>
          <w:p w:rsidR="00643BC3" w:rsidRDefault="00643BC3" w:rsidP="003B2120">
            <w:pPr>
              <w:spacing w:before="40" w:after="20"/>
              <w:ind w:right="57"/>
              <w:jc w:val="right"/>
              <w:rPr>
                <w:rFonts w:ascii="Arial Narrow" w:hAnsi="Arial Narrow" w:cs="Arial"/>
                <w:sz w:val="18"/>
                <w:szCs w:val="16"/>
              </w:rPr>
            </w:pPr>
            <w:r>
              <w:rPr>
                <w:rFonts w:ascii="Arial Narrow" w:hAnsi="Arial Narrow" w:cs="Arial"/>
                <w:sz w:val="18"/>
                <w:szCs w:val="16"/>
              </w:rPr>
              <w:t>124</w:t>
            </w:r>
          </w:p>
        </w:tc>
      </w:tr>
      <w:tr w:rsidR="00643BC3" w:rsidTr="003B2120">
        <w:tc>
          <w:tcPr>
            <w:tcW w:w="1135" w:type="pct"/>
            <w:tcBorders>
              <w:top w:val="single" w:sz="4" w:space="0" w:color="333333"/>
              <w:bottom w:val="single" w:sz="4" w:space="0" w:color="333333"/>
            </w:tcBorders>
            <w:shd w:val="clear" w:color="auto" w:fill="99CC00"/>
            <w:vAlign w:val="center"/>
          </w:tcPr>
          <w:p w:rsidR="00643BC3" w:rsidRPr="00845370" w:rsidRDefault="00643BC3" w:rsidP="003B2120">
            <w:pPr>
              <w:spacing w:before="40" w:after="20"/>
              <w:ind w:left="-57"/>
              <w:jc w:val="both"/>
              <w:rPr>
                <w:rFonts w:ascii="Arial Narrow" w:hAnsi="Arial Narrow" w:cs="Arial"/>
                <w:b/>
                <w:bCs/>
                <w:color w:val="FFFFFF"/>
                <w:sz w:val="18"/>
                <w:szCs w:val="16"/>
              </w:rPr>
            </w:pPr>
            <w:r w:rsidRPr="00845370">
              <w:rPr>
                <w:rFonts w:ascii="Arial Narrow" w:hAnsi="Arial Narrow" w:cs="Arial"/>
                <w:b/>
                <w:bCs/>
                <w:color w:val="FFFFFF"/>
                <w:sz w:val="18"/>
                <w:szCs w:val="16"/>
              </w:rPr>
              <w:t>Totale aggregati</w:t>
            </w:r>
          </w:p>
        </w:tc>
        <w:tc>
          <w:tcPr>
            <w:tcW w:w="385"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307</w:t>
            </w:r>
          </w:p>
        </w:tc>
        <w:tc>
          <w:tcPr>
            <w:tcW w:w="386"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311</w:t>
            </w:r>
          </w:p>
        </w:tc>
        <w:tc>
          <w:tcPr>
            <w:tcW w:w="386"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298</w:t>
            </w:r>
          </w:p>
        </w:tc>
        <w:tc>
          <w:tcPr>
            <w:tcW w:w="387"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303</w:t>
            </w:r>
          </w:p>
        </w:tc>
        <w:tc>
          <w:tcPr>
            <w:tcW w:w="386"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248</w:t>
            </w:r>
          </w:p>
        </w:tc>
        <w:tc>
          <w:tcPr>
            <w:tcW w:w="387"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258</w:t>
            </w:r>
          </w:p>
        </w:tc>
        <w:tc>
          <w:tcPr>
            <w:tcW w:w="386"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230</w:t>
            </w:r>
          </w:p>
        </w:tc>
        <w:tc>
          <w:tcPr>
            <w:tcW w:w="387"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234</w:t>
            </w:r>
          </w:p>
        </w:tc>
        <w:tc>
          <w:tcPr>
            <w:tcW w:w="386"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226</w:t>
            </w:r>
          </w:p>
        </w:tc>
        <w:tc>
          <w:tcPr>
            <w:tcW w:w="389" w:type="pct"/>
            <w:tcBorders>
              <w:top w:val="single" w:sz="4" w:space="0" w:color="333333"/>
              <w:bottom w:val="single" w:sz="4" w:space="0" w:color="333333"/>
            </w:tcBorders>
            <w:shd w:val="clear" w:color="auto" w:fill="99CC00"/>
            <w:vAlign w:val="center"/>
          </w:tcPr>
          <w:p w:rsidR="00643BC3" w:rsidRDefault="00643BC3" w:rsidP="003B2120">
            <w:pPr>
              <w:spacing w:before="80" w:after="60"/>
              <w:ind w:right="57"/>
              <w:jc w:val="right"/>
              <w:rPr>
                <w:rFonts w:ascii="Arial Narrow" w:hAnsi="Arial Narrow" w:cs="Arial"/>
                <w:b/>
                <w:bCs/>
                <w:color w:val="FFFFFF"/>
                <w:sz w:val="18"/>
                <w:szCs w:val="16"/>
              </w:rPr>
            </w:pPr>
            <w:r>
              <w:rPr>
                <w:rFonts w:ascii="Arial Narrow" w:hAnsi="Arial Narrow" w:cs="Arial"/>
                <w:b/>
                <w:bCs/>
                <w:color w:val="FFFFFF"/>
                <w:sz w:val="18"/>
                <w:szCs w:val="16"/>
              </w:rPr>
              <w:t>243</w:t>
            </w:r>
          </w:p>
        </w:tc>
      </w:tr>
      <w:tr w:rsidR="00643BC3" w:rsidTr="003B2120">
        <w:tc>
          <w:tcPr>
            <w:tcW w:w="5000" w:type="pct"/>
            <w:gridSpan w:val="11"/>
            <w:tcBorders>
              <w:top w:val="single" w:sz="4" w:space="0" w:color="333333"/>
            </w:tcBorders>
            <w:vAlign w:val="center"/>
          </w:tcPr>
          <w:p w:rsidR="00643BC3" w:rsidRDefault="00643BC3" w:rsidP="003B2120">
            <w:pPr>
              <w:spacing w:before="40" w:after="20"/>
              <w:ind w:left="-57"/>
              <w:jc w:val="both"/>
              <w:rPr>
                <w:rFonts w:ascii="Arial Narrow" w:hAnsi="Arial Narrow" w:cs="Arial"/>
                <w:sz w:val="15"/>
                <w:szCs w:val="16"/>
              </w:rPr>
            </w:pPr>
            <w:r>
              <w:rPr>
                <w:rFonts w:ascii="Arial Narrow" w:hAnsi="Arial Narrow" w:cs="Arial"/>
                <w:sz w:val="15"/>
                <w:szCs w:val="14"/>
              </w:rPr>
              <w:t>(a) Reg. (CE) 585/2001 Commissione europea;   (b)</w:t>
            </w:r>
            <w:r w:rsidR="00A50765">
              <w:rPr>
                <w:rFonts w:ascii="Arial Narrow" w:hAnsi="Arial Narrow" w:cs="Arial"/>
                <w:sz w:val="15"/>
                <w:szCs w:val="14"/>
              </w:rPr>
              <w:t xml:space="preserve"> </w:t>
            </w:r>
            <w:proofErr w:type="spellStart"/>
            <w:r>
              <w:rPr>
                <w:rFonts w:ascii="Arial Narrow" w:hAnsi="Arial Narrow" w:cs="Arial"/>
                <w:sz w:val="15"/>
                <w:szCs w:val="14"/>
              </w:rPr>
              <w:t>Ateco</w:t>
            </w:r>
            <w:proofErr w:type="spellEnd"/>
            <w:r>
              <w:rPr>
                <w:rFonts w:ascii="Arial Narrow" w:hAnsi="Arial Narrow" w:cs="Arial"/>
                <w:sz w:val="15"/>
                <w:szCs w:val="14"/>
              </w:rPr>
              <w:t xml:space="preserve"> 2007 (NACE 2);   </w:t>
            </w:r>
            <w:r>
              <w:rPr>
                <w:rFonts w:ascii="Arial Narrow" w:hAnsi="Arial Narrow" w:cs="Arial"/>
                <w:sz w:val="15"/>
                <w:szCs w:val="16"/>
              </w:rPr>
              <w:t>(c)</w:t>
            </w:r>
            <w:r>
              <w:rPr>
                <w:rFonts w:ascii="Arial Narrow" w:hAnsi="Arial Narrow" w:cs="Arial"/>
                <w:sz w:val="15"/>
                <w:szCs w:val="14"/>
              </w:rPr>
              <w:t xml:space="preserve"> SNA/ISIC.</w:t>
            </w:r>
          </w:p>
        </w:tc>
      </w:tr>
    </w:tbl>
    <w:p w:rsidR="009E1BB2" w:rsidRDefault="009E1BB2" w:rsidP="00DA0EEA">
      <w:pPr>
        <w:spacing w:after="120"/>
        <w:ind w:left="1814"/>
        <w:jc w:val="both"/>
        <w:rPr>
          <w:rFonts w:ascii="Arial" w:hAnsi="Arial" w:cs="Arial"/>
          <w:sz w:val="20"/>
          <w:szCs w:val="20"/>
        </w:rPr>
      </w:pPr>
    </w:p>
    <w:p w:rsidR="00464C00" w:rsidRDefault="00464C00" w:rsidP="00464C00">
      <w:pPr>
        <w:spacing w:after="120"/>
        <w:ind w:left="1814"/>
        <w:jc w:val="both"/>
        <w:rPr>
          <w:rFonts w:ascii="Arial" w:hAnsi="Arial" w:cs="Arial"/>
          <w:sz w:val="20"/>
          <w:szCs w:val="20"/>
        </w:rPr>
      </w:pPr>
      <w:r>
        <w:rPr>
          <w:rFonts w:ascii="Arial" w:hAnsi="Arial" w:cs="Arial"/>
          <w:sz w:val="20"/>
          <w:szCs w:val="20"/>
        </w:rPr>
        <w:t>Per ciascuna delle due variabili rilevate non ricorre la condizione per la pubblicazione dell’indice aggregato; diversamente, per la variabile di sintesi, l’indice dell’aggregato può essere pubblicato perché i prezzi sui quali sono calcolati gli indici sono rilevati su tre unità rispondenti.</w:t>
      </w:r>
    </w:p>
    <w:p w:rsidR="00464C00" w:rsidRDefault="00464C00" w:rsidP="00464C00">
      <w:pPr>
        <w:spacing w:after="120"/>
        <w:ind w:left="1814"/>
        <w:jc w:val="both"/>
        <w:rPr>
          <w:rFonts w:ascii="Arial" w:hAnsi="Arial" w:cs="Arial"/>
          <w:sz w:val="20"/>
          <w:szCs w:val="20"/>
        </w:rPr>
      </w:pPr>
      <w:r>
        <w:rPr>
          <w:rFonts w:ascii="Arial" w:hAnsi="Arial" w:cs="Arial"/>
          <w:sz w:val="20"/>
          <w:szCs w:val="20"/>
        </w:rPr>
        <w:t xml:space="preserve">Ciò consente di spiegare asimmetrie nella pubblicazione annuale del </w:t>
      </w:r>
      <w:r w:rsidRPr="00A232F6">
        <w:rPr>
          <w:rFonts w:ascii="Arial" w:hAnsi="Arial" w:cs="Arial"/>
          <w:i/>
          <w:sz w:val="20"/>
          <w:szCs w:val="20"/>
        </w:rPr>
        <w:t>set</w:t>
      </w:r>
      <w:r>
        <w:rPr>
          <w:rFonts w:ascii="Arial" w:hAnsi="Arial" w:cs="Arial"/>
          <w:sz w:val="20"/>
          <w:szCs w:val="20"/>
        </w:rPr>
        <w:t xml:space="preserve"> di indici che possono apparire poco comprensibili ma che, come spiegato, derivano come risultanti di un vero e proprio sistema di regole di diffusione il quale ha una caratterizzazione annuale, perché derivato dagli </w:t>
      </w:r>
      <w:r>
        <w:rPr>
          <w:rFonts w:ascii="Arial" w:hAnsi="Arial" w:cs="Arial"/>
          <w:sz w:val="20"/>
          <w:szCs w:val="20"/>
        </w:rPr>
        <w:lastRenderedPageBreak/>
        <w:t>indici in base di calcolo; dunque le discontinuità in serie storica sono fisiologiche, riguardando le singole variabili rilevate e le sintesi da queste derivate.</w:t>
      </w:r>
    </w:p>
    <w:p w:rsidR="00464C00" w:rsidRPr="001E2B1C" w:rsidRDefault="00464C00" w:rsidP="00464C00">
      <w:pPr>
        <w:spacing w:after="120"/>
        <w:ind w:left="1814"/>
        <w:jc w:val="both"/>
        <w:rPr>
          <w:rFonts w:ascii="Arial" w:hAnsi="Arial" w:cs="Arial"/>
          <w:i/>
          <w:sz w:val="20"/>
          <w:szCs w:val="20"/>
        </w:rPr>
      </w:pPr>
      <w:r>
        <w:rPr>
          <w:rFonts w:ascii="Arial" w:hAnsi="Arial" w:cs="Arial"/>
          <w:sz w:val="20"/>
          <w:szCs w:val="20"/>
        </w:rPr>
        <w:t xml:space="preserve">Un altro fattore che contribuisce a determinare il </w:t>
      </w:r>
      <w:r w:rsidRPr="00A17003">
        <w:rPr>
          <w:rFonts w:ascii="Arial" w:hAnsi="Arial" w:cs="Arial"/>
          <w:i/>
          <w:sz w:val="20"/>
          <w:szCs w:val="20"/>
        </w:rPr>
        <w:t>set</w:t>
      </w:r>
      <w:r>
        <w:rPr>
          <w:rFonts w:ascii="Arial" w:hAnsi="Arial" w:cs="Arial"/>
          <w:sz w:val="20"/>
          <w:szCs w:val="20"/>
        </w:rPr>
        <w:t xml:space="preserve"> di indicatori pubblicati, riguarda la scelta di mantenere il più possibile stabile il numero complessivo di aggregati pubblicati, riducendo le</w:t>
      </w:r>
      <w:r w:rsidRPr="00635513">
        <w:rPr>
          <w:rFonts w:ascii="Arial" w:hAnsi="Arial" w:cs="Arial"/>
          <w:sz w:val="20"/>
          <w:szCs w:val="20"/>
        </w:rPr>
        <w:t xml:space="preserve"> interruzioni di serie</w:t>
      </w:r>
      <w:r>
        <w:rPr>
          <w:rFonts w:ascii="Arial" w:hAnsi="Arial" w:cs="Arial"/>
          <w:sz w:val="20"/>
          <w:szCs w:val="20"/>
        </w:rPr>
        <w:t xml:space="preserve"> e quindi garantendo un adeguato livello di comparabilità in serie storica</w:t>
      </w:r>
      <w:r w:rsidRPr="00635513">
        <w:rPr>
          <w:rFonts w:ascii="Arial" w:hAnsi="Arial" w:cs="Arial"/>
          <w:sz w:val="20"/>
          <w:szCs w:val="20"/>
        </w:rPr>
        <w:t>.</w:t>
      </w:r>
      <w:r>
        <w:rPr>
          <w:rFonts w:ascii="Arial" w:hAnsi="Arial" w:cs="Arial"/>
          <w:sz w:val="20"/>
          <w:szCs w:val="20"/>
        </w:rPr>
        <w:t xml:space="preserve"> Questo fattore è uno degli elementi che definiscono il disegno di aggiornamento dei campioni delle unità di rilevazione </w:t>
      </w:r>
      <w:r w:rsidRPr="001E2B1C">
        <w:rPr>
          <w:rFonts w:ascii="Arial" w:hAnsi="Arial" w:cs="Arial"/>
          <w:i/>
          <w:sz w:val="20"/>
          <w:szCs w:val="20"/>
        </w:rPr>
        <w:t>prezzi/prodotti/imprese.</w:t>
      </w:r>
    </w:p>
    <w:p w:rsidR="00AF18FF" w:rsidRPr="000C11F2" w:rsidRDefault="00AF18FF" w:rsidP="00643BC3">
      <w:pPr>
        <w:spacing w:after="120"/>
        <w:ind w:left="1814"/>
        <w:jc w:val="both"/>
        <w:rPr>
          <w:rFonts w:ascii="Arial" w:hAnsi="Arial" w:cs="Arial"/>
          <w:sz w:val="20"/>
          <w:szCs w:val="20"/>
        </w:rPr>
      </w:pPr>
      <w:r w:rsidRPr="000C11F2">
        <w:rPr>
          <w:rFonts w:ascii="Arial" w:hAnsi="Arial" w:cs="Arial"/>
          <w:sz w:val="20"/>
          <w:szCs w:val="20"/>
        </w:rPr>
        <w:t>Nel Prospetto 12 è evidenziato il confronto tra il numero di aggregati pubblicati provenienti dalle basi di calcolo Dicembre 2012 e Dicembre 2013.</w:t>
      </w:r>
    </w:p>
    <w:p w:rsidR="00643BC3" w:rsidRDefault="00AF18FF" w:rsidP="00643BC3">
      <w:pPr>
        <w:spacing w:after="120"/>
        <w:ind w:left="1814"/>
        <w:jc w:val="both"/>
        <w:rPr>
          <w:rFonts w:ascii="Arial" w:hAnsi="Arial" w:cs="Arial"/>
          <w:sz w:val="20"/>
          <w:szCs w:val="20"/>
        </w:rPr>
      </w:pPr>
      <w:r w:rsidRPr="000C11F2">
        <w:rPr>
          <w:rFonts w:ascii="Arial" w:hAnsi="Arial" w:cs="Arial"/>
          <w:sz w:val="20"/>
          <w:szCs w:val="20"/>
        </w:rPr>
        <w:t>I</w:t>
      </w:r>
      <w:r w:rsidR="00251264" w:rsidRPr="000C11F2">
        <w:rPr>
          <w:rFonts w:ascii="Arial" w:hAnsi="Arial" w:cs="Arial"/>
          <w:sz w:val="20"/>
          <w:szCs w:val="20"/>
        </w:rPr>
        <w:t xml:space="preserve">l Prospetto 13 </w:t>
      </w:r>
      <w:r w:rsidRPr="000C11F2">
        <w:rPr>
          <w:rFonts w:ascii="Arial" w:hAnsi="Arial" w:cs="Arial"/>
          <w:sz w:val="20"/>
          <w:szCs w:val="20"/>
        </w:rPr>
        <w:t xml:space="preserve">evidenzia </w:t>
      </w:r>
      <w:r w:rsidR="000C11F2" w:rsidRPr="000C11F2">
        <w:rPr>
          <w:rFonts w:ascii="Arial" w:hAnsi="Arial" w:cs="Arial"/>
          <w:sz w:val="20"/>
          <w:szCs w:val="20"/>
        </w:rPr>
        <w:t>i flussi in entrata nella nuova</w:t>
      </w:r>
      <w:r w:rsidRPr="000C11F2">
        <w:rPr>
          <w:rFonts w:ascii="Arial" w:hAnsi="Arial" w:cs="Arial"/>
          <w:sz w:val="20"/>
          <w:szCs w:val="20"/>
        </w:rPr>
        <w:t xml:space="preserve"> base di calcolo Dicembre 2013 rispetto </w:t>
      </w:r>
      <w:r w:rsidR="000C11F2" w:rsidRPr="000C11F2">
        <w:rPr>
          <w:rFonts w:ascii="Arial" w:hAnsi="Arial" w:cs="Arial"/>
          <w:sz w:val="20"/>
          <w:szCs w:val="20"/>
        </w:rPr>
        <w:t xml:space="preserve">a quelli in uscita </w:t>
      </w:r>
      <w:r w:rsidR="00EC2D7E">
        <w:rPr>
          <w:rFonts w:ascii="Arial" w:hAnsi="Arial" w:cs="Arial"/>
          <w:sz w:val="20"/>
          <w:szCs w:val="20"/>
        </w:rPr>
        <w:t xml:space="preserve">dalla precedente </w:t>
      </w:r>
      <w:r w:rsidR="000C11F2" w:rsidRPr="000C11F2">
        <w:rPr>
          <w:rFonts w:ascii="Arial" w:hAnsi="Arial" w:cs="Arial"/>
          <w:sz w:val="20"/>
          <w:szCs w:val="20"/>
        </w:rPr>
        <w:t>Dicembre 2012. Tale prospetto consente di apprezzare</w:t>
      </w:r>
      <w:r w:rsidR="00EC2D7E">
        <w:rPr>
          <w:rFonts w:ascii="Arial" w:hAnsi="Arial" w:cs="Arial"/>
          <w:sz w:val="20"/>
          <w:szCs w:val="20"/>
        </w:rPr>
        <w:t xml:space="preserve"> – in termini di informazione diffusa – il processo di aggiornamento annuale della base degli indici</w:t>
      </w:r>
      <w:r w:rsidR="000C11F2" w:rsidRPr="000C11F2">
        <w:rPr>
          <w:rFonts w:ascii="Arial" w:hAnsi="Arial" w:cs="Arial"/>
          <w:sz w:val="20"/>
          <w:szCs w:val="20"/>
        </w:rPr>
        <w:t xml:space="preserve">. </w:t>
      </w:r>
      <w:r w:rsidRPr="000C11F2">
        <w:rPr>
          <w:rFonts w:ascii="Arial" w:hAnsi="Arial" w:cs="Arial"/>
          <w:sz w:val="20"/>
          <w:szCs w:val="20"/>
        </w:rPr>
        <w:t>D</w:t>
      </w:r>
      <w:r w:rsidR="000C11F2" w:rsidRPr="000C11F2">
        <w:rPr>
          <w:rFonts w:ascii="Arial" w:hAnsi="Arial" w:cs="Arial"/>
          <w:sz w:val="20"/>
          <w:szCs w:val="20"/>
        </w:rPr>
        <w:t>i rilievo,</w:t>
      </w:r>
      <w:r w:rsidR="00643BC3" w:rsidRPr="000C11F2">
        <w:rPr>
          <w:rFonts w:ascii="Arial" w:hAnsi="Arial" w:cs="Arial"/>
          <w:sz w:val="20"/>
          <w:szCs w:val="20"/>
        </w:rPr>
        <w:t xml:space="preserve"> per il mercato interno e per la variabile totale, la pub</w:t>
      </w:r>
      <w:r w:rsidR="00F66714" w:rsidRPr="000C11F2">
        <w:rPr>
          <w:rFonts w:ascii="Arial" w:hAnsi="Arial" w:cs="Arial"/>
          <w:sz w:val="20"/>
          <w:szCs w:val="20"/>
        </w:rPr>
        <w:t>blicazione della Divisione 35 (Distribuzione Energia e G</w:t>
      </w:r>
      <w:r w:rsidR="00643BC3" w:rsidRPr="000C11F2">
        <w:rPr>
          <w:rFonts w:ascii="Arial" w:hAnsi="Arial" w:cs="Arial"/>
          <w:sz w:val="20"/>
          <w:szCs w:val="20"/>
        </w:rPr>
        <w:t>as).</w:t>
      </w:r>
    </w:p>
    <w:p w:rsidR="00F20F86" w:rsidRDefault="00F20F86" w:rsidP="00251264">
      <w:pPr>
        <w:spacing w:after="120"/>
        <w:jc w:val="both"/>
        <w:rPr>
          <w:rFonts w:ascii="Arial" w:hAnsi="Arial" w:cs="Arial"/>
          <w:sz w:val="20"/>
          <w:szCs w:val="20"/>
        </w:rPr>
      </w:pPr>
    </w:p>
    <w:p w:rsidR="00F20F86" w:rsidRPr="00CC7C0A" w:rsidRDefault="00F20F86" w:rsidP="00F20F86">
      <w:pPr>
        <w:spacing w:after="120"/>
        <w:jc w:val="both"/>
        <w:rPr>
          <w:rFonts w:ascii="Arial" w:hAnsi="Arial" w:cs="Arial"/>
          <w:sz w:val="20"/>
          <w:szCs w:val="20"/>
        </w:rPr>
      </w:pPr>
      <w:r>
        <w:rPr>
          <w:rFonts w:ascii="Arial Narrow" w:hAnsi="Arial Narrow" w:cs="Arial"/>
          <w:b/>
          <w:caps/>
          <w:color w:val="777777"/>
          <w:sz w:val="20"/>
          <w:szCs w:val="16"/>
        </w:rPr>
        <w:t xml:space="preserve">Prospetto </w:t>
      </w:r>
      <w:r w:rsidR="007D4947">
        <w:rPr>
          <w:rFonts w:ascii="Arial Narrow" w:hAnsi="Arial Narrow" w:cs="Arial"/>
          <w:b/>
          <w:caps/>
          <w:color w:val="777777"/>
          <w:sz w:val="20"/>
          <w:szCs w:val="16"/>
        </w:rPr>
        <w:t>1</w:t>
      </w:r>
      <w:r w:rsidR="00C10D03">
        <w:rPr>
          <w:rFonts w:ascii="Arial Narrow" w:hAnsi="Arial Narrow" w:cs="Arial"/>
          <w:b/>
          <w:caps/>
          <w:color w:val="777777"/>
          <w:sz w:val="20"/>
          <w:szCs w:val="16"/>
        </w:rPr>
        <w:t>3</w:t>
      </w:r>
      <w:r>
        <w:rPr>
          <w:rFonts w:ascii="Arial Narrow" w:hAnsi="Arial Narrow" w:cs="Arial"/>
          <w:b/>
          <w:caps/>
          <w:color w:val="777777"/>
          <w:sz w:val="20"/>
          <w:szCs w:val="16"/>
        </w:rPr>
        <w:t xml:space="preserve">. Prezzi alla produzione dei prodotti industriali. </w:t>
      </w:r>
      <w:r w:rsidRPr="00467C6F">
        <w:rPr>
          <w:rFonts w:ascii="Arial Narrow" w:hAnsi="Arial Narrow" w:cs="Arial"/>
          <w:color w:val="333333"/>
          <w:sz w:val="19"/>
          <w:szCs w:val="16"/>
        </w:rPr>
        <w:t xml:space="preserve">Consolidamento della base di calcolo </w:t>
      </w:r>
      <w:r>
        <w:rPr>
          <w:rFonts w:ascii="Arial Narrow" w:hAnsi="Arial Narrow" w:cs="Arial"/>
          <w:color w:val="333333"/>
          <w:sz w:val="19"/>
          <w:szCs w:val="16"/>
        </w:rPr>
        <w:t>Dicembre</w:t>
      </w:r>
      <w:r w:rsidRPr="00467C6F">
        <w:rPr>
          <w:rFonts w:ascii="Arial Narrow" w:hAnsi="Arial Narrow" w:cs="Arial"/>
          <w:color w:val="333333"/>
          <w:sz w:val="19"/>
          <w:szCs w:val="16"/>
        </w:rPr>
        <w:t xml:space="preserve"> 201</w:t>
      </w:r>
      <w:r>
        <w:rPr>
          <w:rFonts w:ascii="Arial Narrow" w:hAnsi="Arial Narrow" w:cs="Arial"/>
          <w:color w:val="333333"/>
          <w:sz w:val="19"/>
          <w:szCs w:val="16"/>
        </w:rPr>
        <w:t>3</w:t>
      </w:r>
      <w:r w:rsidRPr="00467C6F">
        <w:rPr>
          <w:rFonts w:ascii="Arial Narrow" w:hAnsi="Arial Narrow" w:cs="Arial"/>
          <w:color w:val="333333"/>
          <w:sz w:val="19"/>
          <w:szCs w:val="16"/>
        </w:rPr>
        <w:t>. Flusso in entrata ed in u</w:t>
      </w:r>
      <w:r>
        <w:rPr>
          <w:rFonts w:ascii="Arial Narrow" w:hAnsi="Arial Narrow" w:cs="Arial"/>
          <w:color w:val="333333"/>
          <w:sz w:val="19"/>
          <w:szCs w:val="16"/>
        </w:rPr>
        <w:t>scita degli aggregati pubblicat</w:t>
      </w:r>
      <w:r w:rsidRPr="00467C6F">
        <w:rPr>
          <w:rFonts w:ascii="Arial Narrow" w:hAnsi="Arial Narrow" w:cs="Arial"/>
          <w:color w:val="333333"/>
          <w:sz w:val="19"/>
          <w:szCs w:val="16"/>
        </w:rPr>
        <w:t>i rispetto alla base di calcolo Dicembre 201</w:t>
      </w:r>
      <w:r>
        <w:rPr>
          <w:rFonts w:ascii="Arial Narrow" w:hAnsi="Arial Narrow" w:cs="Arial"/>
          <w:color w:val="333333"/>
          <w:sz w:val="19"/>
          <w:szCs w:val="16"/>
        </w:rPr>
        <w:t>2.</w:t>
      </w:r>
    </w:p>
    <w:tbl>
      <w:tblPr>
        <w:tblW w:w="5000" w:type="pct"/>
        <w:tblLook w:val="01E0" w:firstRow="1" w:lastRow="1" w:firstColumn="1" w:lastColumn="1" w:noHBand="0" w:noVBand="0"/>
      </w:tblPr>
      <w:tblGrid>
        <w:gridCol w:w="976"/>
        <w:gridCol w:w="1455"/>
        <w:gridCol w:w="1679"/>
        <w:gridCol w:w="1675"/>
        <w:gridCol w:w="1675"/>
        <w:gridCol w:w="1675"/>
        <w:gridCol w:w="1627"/>
      </w:tblGrid>
      <w:tr w:rsidR="00643BC3" w:rsidRPr="00820B97" w:rsidTr="003B2120">
        <w:trPr>
          <w:cantSplit/>
        </w:trPr>
        <w:tc>
          <w:tcPr>
            <w:tcW w:w="1129" w:type="pct"/>
            <w:gridSpan w:val="2"/>
            <w:tcBorders>
              <w:top w:val="single" w:sz="4" w:space="0" w:color="333333"/>
              <w:bottom w:val="single" w:sz="4" w:space="0" w:color="333333"/>
            </w:tcBorders>
            <w:vAlign w:val="center"/>
          </w:tcPr>
          <w:p w:rsidR="00643BC3" w:rsidRPr="00820B97" w:rsidRDefault="00643BC3" w:rsidP="003B2120">
            <w:pPr>
              <w:spacing w:before="40" w:after="20"/>
              <w:ind w:left="-57"/>
              <w:jc w:val="center"/>
              <w:rPr>
                <w:rFonts w:ascii="Arial Narrow" w:hAnsi="Arial Narrow" w:cs="Arial"/>
                <w:b/>
                <w:sz w:val="18"/>
                <w:szCs w:val="18"/>
              </w:rPr>
            </w:pPr>
            <w:r w:rsidRPr="00820B97">
              <w:rPr>
                <w:rFonts w:ascii="Arial Narrow" w:hAnsi="Arial Narrow" w:cs="Arial"/>
                <w:b/>
                <w:sz w:val="18"/>
                <w:szCs w:val="18"/>
              </w:rPr>
              <w:t>Aggregati</w:t>
            </w:r>
          </w:p>
        </w:tc>
        <w:tc>
          <w:tcPr>
            <w:tcW w:w="780" w:type="pct"/>
            <w:tcBorders>
              <w:top w:val="single" w:sz="4" w:space="0" w:color="333333"/>
              <w:bottom w:val="single" w:sz="4" w:space="0" w:color="333333"/>
            </w:tcBorders>
            <w:shd w:val="clear" w:color="auto" w:fill="E6E6E6"/>
            <w:vAlign w:val="center"/>
          </w:tcPr>
          <w:p w:rsidR="00643BC3" w:rsidRPr="00820B97" w:rsidRDefault="00643BC3" w:rsidP="00821718">
            <w:pPr>
              <w:spacing w:before="40" w:after="20"/>
              <w:jc w:val="right"/>
              <w:rPr>
                <w:rFonts w:ascii="Arial Narrow" w:hAnsi="Arial Narrow" w:cs="Arial"/>
                <w:b/>
                <w:sz w:val="18"/>
                <w:szCs w:val="18"/>
              </w:rPr>
            </w:pPr>
            <w:r w:rsidRPr="00820B97">
              <w:rPr>
                <w:rFonts w:ascii="Arial Narrow" w:hAnsi="Arial Narrow" w:cs="Arial"/>
                <w:b/>
                <w:sz w:val="18"/>
                <w:szCs w:val="18"/>
              </w:rPr>
              <w:t>Totale</w:t>
            </w:r>
          </w:p>
        </w:tc>
        <w:tc>
          <w:tcPr>
            <w:tcW w:w="778" w:type="pct"/>
            <w:tcBorders>
              <w:top w:val="single" w:sz="4" w:space="0" w:color="333333"/>
              <w:bottom w:val="single" w:sz="4" w:space="0" w:color="333333"/>
            </w:tcBorders>
            <w:vAlign w:val="center"/>
          </w:tcPr>
          <w:p w:rsidR="00643BC3" w:rsidRPr="00820B97" w:rsidRDefault="00643BC3" w:rsidP="00821718">
            <w:pPr>
              <w:pStyle w:val="Titolo5"/>
              <w:jc w:val="right"/>
              <w:rPr>
                <w:szCs w:val="18"/>
              </w:rPr>
            </w:pPr>
            <w:r w:rsidRPr="00820B97">
              <w:rPr>
                <w:szCs w:val="18"/>
              </w:rPr>
              <w:t>Interno</w:t>
            </w:r>
          </w:p>
        </w:tc>
        <w:tc>
          <w:tcPr>
            <w:tcW w:w="778" w:type="pct"/>
            <w:tcBorders>
              <w:top w:val="single" w:sz="4" w:space="0" w:color="333333"/>
              <w:bottom w:val="single" w:sz="4" w:space="0" w:color="333333"/>
            </w:tcBorders>
            <w:shd w:val="clear" w:color="auto" w:fill="E6E6E6"/>
            <w:vAlign w:val="center"/>
          </w:tcPr>
          <w:p w:rsidR="00643BC3" w:rsidRPr="00820B97" w:rsidRDefault="00643BC3" w:rsidP="00821718">
            <w:pPr>
              <w:spacing w:before="40" w:after="20"/>
              <w:jc w:val="right"/>
              <w:rPr>
                <w:rFonts w:ascii="Arial Narrow" w:hAnsi="Arial Narrow" w:cs="Arial"/>
                <w:b/>
                <w:sz w:val="18"/>
                <w:szCs w:val="18"/>
              </w:rPr>
            </w:pPr>
            <w:r w:rsidRPr="00820B97">
              <w:rPr>
                <w:rFonts w:ascii="Arial Narrow" w:hAnsi="Arial Narrow" w:cs="Arial"/>
                <w:b/>
                <w:sz w:val="18"/>
                <w:szCs w:val="18"/>
              </w:rPr>
              <w:t>Estero</w:t>
            </w:r>
          </w:p>
        </w:tc>
        <w:tc>
          <w:tcPr>
            <w:tcW w:w="778" w:type="pct"/>
            <w:tcBorders>
              <w:top w:val="single" w:sz="4" w:space="0" w:color="333333"/>
              <w:bottom w:val="single" w:sz="4" w:space="0" w:color="333333"/>
            </w:tcBorders>
            <w:vAlign w:val="center"/>
          </w:tcPr>
          <w:p w:rsidR="00643BC3" w:rsidRPr="00820B97" w:rsidRDefault="00643BC3" w:rsidP="00821718">
            <w:pPr>
              <w:spacing w:before="40" w:after="20"/>
              <w:jc w:val="right"/>
              <w:rPr>
                <w:rFonts w:ascii="Arial Narrow" w:hAnsi="Arial Narrow" w:cs="Arial"/>
                <w:b/>
                <w:sz w:val="18"/>
                <w:szCs w:val="18"/>
              </w:rPr>
            </w:pPr>
            <w:r w:rsidRPr="00820B97">
              <w:rPr>
                <w:rFonts w:ascii="Arial Narrow" w:hAnsi="Arial Narrow" w:cs="Arial"/>
                <w:b/>
                <w:sz w:val="18"/>
                <w:szCs w:val="18"/>
              </w:rPr>
              <w:t>Estero</w:t>
            </w:r>
            <w:r w:rsidRPr="00820B97">
              <w:rPr>
                <w:rFonts w:ascii="Arial Narrow" w:hAnsi="Arial Narrow" w:cs="Arial"/>
                <w:b/>
                <w:sz w:val="18"/>
                <w:szCs w:val="18"/>
              </w:rPr>
              <w:br/>
              <w:t>area euro</w:t>
            </w:r>
          </w:p>
        </w:tc>
        <w:tc>
          <w:tcPr>
            <w:tcW w:w="756" w:type="pct"/>
            <w:tcBorders>
              <w:top w:val="single" w:sz="4" w:space="0" w:color="333333"/>
              <w:bottom w:val="single" w:sz="4" w:space="0" w:color="333333"/>
            </w:tcBorders>
            <w:shd w:val="clear" w:color="auto" w:fill="E6E6E6"/>
            <w:vAlign w:val="center"/>
          </w:tcPr>
          <w:p w:rsidR="00643BC3" w:rsidRPr="00820B97" w:rsidRDefault="00643BC3" w:rsidP="00821718">
            <w:pPr>
              <w:spacing w:before="40" w:after="20"/>
              <w:jc w:val="right"/>
              <w:rPr>
                <w:rFonts w:ascii="Arial Narrow" w:hAnsi="Arial Narrow" w:cs="Arial"/>
                <w:b/>
                <w:sz w:val="18"/>
                <w:szCs w:val="18"/>
              </w:rPr>
            </w:pPr>
            <w:r w:rsidRPr="00820B97">
              <w:rPr>
                <w:rFonts w:ascii="Arial Narrow" w:hAnsi="Arial Narrow" w:cs="Arial"/>
                <w:b/>
                <w:sz w:val="18"/>
                <w:szCs w:val="18"/>
              </w:rPr>
              <w:t>Estero</w:t>
            </w:r>
            <w:r w:rsidRPr="00820B97">
              <w:rPr>
                <w:rFonts w:ascii="Arial Narrow" w:hAnsi="Arial Narrow" w:cs="Arial"/>
                <w:b/>
                <w:sz w:val="18"/>
                <w:szCs w:val="18"/>
              </w:rPr>
              <w:br/>
              <w:t>area non euro</w:t>
            </w:r>
          </w:p>
        </w:tc>
      </w:tr>
      <w:tr w:rsidR="00643BC3" w:rsidRPr="00820B97" w:rsidTr="0086694D">
        <w:tc>
          <w:tcPr>
            <w:tcW w:w="453" w:type="pct"/>
            <w:vMerge w:val="restart"/>
            <w:tcBorders>
              <w:top w:val="single" w:sz="4" w:space="0" w:color="333333"/>
              <w:bottom w:val="single" w:sz="4" w:space="0" w:color="auto"/>
            </w:tcBorders>
            <w:textDirection w:val="btLr"/>
          </w:tcPr>
          <w:p w:rsidR="00643BC3" w:rsidRPr="00F20F86" w:rsidRDefault="00643BC3" w:rsidP="003B2120">
            <w:pPr>
              <w:spacing w:before="40" w:after="20"/>
              <w:ind w:right="57"/>
              <w:jc w:val="center"/>
              <w:rPr>
                <w:rFonts w:ascii="Arial Narrow" w:hAnsi="Arial Narrow" w:cs="Arial"/>
                <w:b/>
                <w:sz w:val="18"/>
                <w:szCs w:val="18"/>
              </w:rPr>
            </w:pPr>
            <w:r w:rsidRPr="00F20F86">
              <w:rPr>
                <w:rFonts w:ascii="Arial Narrow" w:hAnsi="Arial Narrow" w:cs="Arial"/>
                <w:b/>
                <w:sz w:val="18"/>
                <w:szCs w:val="18"/>
              </w:rPr>
              <w:t>In entrata</w:t>
            </w:r>
          </w:p>
        </w:tc>
        <w:tc>
          <w:tcPr>
            <w:tcW w:w="676" w:type="pct"/>
            <w:tcBorders>
              <w:bottom w:val="single" w:sz="4" w:space="0" w:color="auto"/>
            </w:tcBorders>
            <w:vAlign w:val="center"/>
          </w:tcPr>
          <w:p w:rsidR="00643BC3" w:rsidRPr="00F20F86" w:rsidRDefault="00643BC3" w:rsidP="003B2120">
            <w:pPr>
              <w:spacing w:before="40" w:after="20"/>
              <w:ind w:right="57"/>
              <w:jc w:val="right"/>
              <w:rPr>
                <w:rFonts w:ascii="Arial Narrow" w:hAnsi="Arial Narrow" w:cs="Arial"/>
                <w:sz w:val="18"/>
                <w:szCs w:val="18"/>
              </w:rPr>
            </w:pPr>
            <w:r w:rsidRPr="00820B97">
              <w:rPr>
                <w:rFonts w:ascii="Arial Narrow" w:hAnsi="Arial Narrow" w:cs="Arial"/>
                <w:sz w:val="18"/>
                <w:szCs w:val="18"/>
              </w:rPr>
              <w:t xml:space="preserve">Divisioni </w:t>
            </w:r>
          </w:p>
        </w:tc>
        <w:tc>
          <w:tcPr>
            <w:tcW w:w="780" w:type="pct"/>
            <w:tcBorders>
              <w:bottom w:val="single" w:sz="4" w:space="0" w:color="auto"/>
            </w:tcBorders>
            <w:shd w:val="clear" w:color="auto" w:fill="E6E6E6"/>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35</w:t>
            </w:r>
          </w:p>
        </w:tc>
        <w:tc>
          <w:tcPr>
            <w:tcW w:w="778" w:type="pct"/>
            <w:tcBorders>
              <w:bottom w:val="single" w:sz="4" w:space="0" w:color="auto"/>
            </w:tcBorders>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35</w:t>
            </w:r>
          </w:p>
        </w:tc>
        <w:tc>
          <w:tcPr>
            <w:tcW w:w="778" w:type="pct"/>
            <w:tcBorders>
              <w:bottom w:val="single" w:sz="4" w:space="0" w:color="auto"/>
            </w:tcBorders>
            <w:shd w:val="clear" w:color="auto" w:fill="E6E6E6"/>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bottom w:val="single" w:sz="4" w:space="0" w:color="auto"/>
            </w:tcBorders>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56" w:type="pct"/>
            <w:tcBorders>
              <w:bottom w:val="single" w:sz="4" w:space="0" w:color="auto"/>
            </w:tcBorders>
            <w:shd w:val="clear" w:color="auto" w:fill="E6E6E6"/>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r>
      <w:tr w:rsidR="00643BC3" w:rsidRPr="00820B97" w:rsidTr="0086694D">
        <w:tc>
          <w:tcPr>
            <w:tcW w:w="453" w:type="pct"/>
            <w:vMerge/>
            <w:tcBorders>
              <w:bottom w:val="single" w:sz="4" w:space="0" w:color="auto"/>
            </w:tcBorders>
          </w:tcPr>
          <w:p w:rsidR="00643BC3" w:rsidRPr="00F20F86" w:rsidRDefault="00643BC3" w:rsidP="003B2120">
            <w:pPr>
              <w:spacing w:before="40" w:after="20"/>
              <w:ind w:right="57"/>
              <w:jc w:val="center"/>
              <w:rPr>
                <w:rFonts w:ascii="Arial Narrow" w:hAnsi="Arial Narrow" w:cs="Arial"/>
                <w:b/>
                <w:sz w:val="18"/>
                <w:szCs w:val="18"/>
              </w:rPr>
            </w:pPr>
          </w:p>
        </w:tc>
        <w:tc>
          <w:tcPr>
            <w:tcW w:w="676" w:type="pct"/>
            <w:tcBorders>
              <w:bottom w:val="single" w:sz="4" w:space="0" w:color="auto"/>
            </w:tcBorders>
            <w:vAlign w:val="center"/>
          </w:tcPr>
          <w:p w:rsidR="00643BC3" w:rsidRPr="00820B97" w:rsidRDefault="00643BC3" w:rsidP="003B2120">
            <w:pPr>
              <w:spacing w:before="40" w:after="20"/>
              <w:ind w:right="57"/>
              <w:jc w:val="right"/>
              <w:rPr>
                <w:rFonts w:ascii="Arial Narrow" w:hAnsi="Arial Narrow" w:cs="Arial"/>
                <w:sz w:val="18"/>
                <w:szCs w:val="18"/>
              </w:rPr>
            </w:pPr>
            <w:r w:rsidRPr="00820B97">
              <w:rPr>
                <w:rFonts w:ascii="Arial Narrow" w:hAnsi="Arial Narrow" w:cs="Arial"/>
                <w:sz w:val="18"/>
                <w:szCs w:val="18"/>
              </w:rPr>
              <w:t xml:space="preserve">Gruppi </w:t>
            </w:r>
          </w:p>
        </w:tc>
        <w:tc>
          <w:tcPr>
            <w:tcW w:w="780" w:type="pct"/>
            <w:tcBorders>
              <w:bottom w:val="single" w:sz="4" w:space="0" w:color="auto"/>
            </w:tcBorders>
            <w:shd w:val="clear" w:color="auto" w:fill="E6E6E6"/>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bottom w:val="single" w:sz="4" w:space="0" w:color="auto"/>
            </w:tcBorders>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bottom w:val="single" w:sz="4" w:space="0" w:color="auto"/>
            </w:tcBorders>
            <w:shd w:val="clear" w:color="auto" w:fill="E6E6E6"/>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262, 301</w:t>
            </w:r>
          </w:p>
        </w:tc>
        <w:tc>
          <w:tcPr>
            <w:tcW w:w="778" w:type="pct"/>
            <w:tcBorders>
              <w:bottom w:val="single" w:sz="4" w:space="0" w:color="auto"/>
            </w:tcBorders>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309</w:t>
            </w:r>
          </w:p>
        </w:tc>
        <w:tc>
          <w:tcPr>
            <w:tcW w:w="756" w:type="pct"/>
            <w:tcBorders>
              <w:bottom w:val="single" w:sz="4" w:space="0" w:color="auto"/>
            </w:tcBorders>
            <w:shd w:val="clear" w:color="auto" w:fill="E6E6E6"/>
            <w:vAlign w:val="center"/>
          </w:tcPr>
          <w:p w:rsidR="00643BC3" w:rsidRPr="002B5E20" w:rsidRDefault="00821718" w:rsidP="0086694D">
            <w:pPr>
              <w:spacing w:before="40" w:after="20"/>
              <w:ind w:right="57"/>
              <w:jc w:val="right"/>
              <w:rPr>
                <w:rFonts w:ascii="Arial Narrow" w:hAnsi="Arial Narrow" w:cs="Arial"/>
                <w:sz w:val="18"/>
                <w:szCs w:val="18"/>
              </w:rPr>
            </w:pPr>
            <w:r>
              <w:rPr>
                <w:rFonts w:ascii="Arial Narrow" w:hAnsi="Arial Narrow" w:cs="Arial"/>
                <w:sz w:val="18"/>
                <w:szCs w:val="18"/>
              </w:rPr>
              <w:t>081, 235, 254, 262</w:t>
            </w:r>
            <w:r w:rsidR="00643BC3">
              <w:rPr>
                <w:rFonts w:ascii="Arial Narrow" w:hAnsi="Arial Narrow" w:cs="Arial"/>
                <w:sz w:val="18"/>
                <w:szCs w:val="18"/>
              </w:rPr>
              <w:t xml:space="preserve"> 293, 301, 309</w:t>
            </w:r>
          </w:p>
        </w:tc>
      </w:tr>
      <w:tr w:rsidR="00643BC3" w:rsidRPr="00820B97" w:rsidTr="0086694D">
        <w:tc>
          <w:tcPr>
            <w:tcW w:w="453" w:type="pct"/>
            <w:vMerge/>
            <w:tcBorders>
              <w:bottom w:val="single" w:sz="4" w:space="0" w:color="auto"/>
            </w:tcBorders>
          </w:tcPr>
          <w:p w:rsidR="00643BC3" w:rsidRPr="00F20F86" w:rsidRDefault="00643BC3" w:rsidP="003B2120">
            <w:pPr>
              <w:spacing w:before="40" w:after="20"/>
              <w:ind w:right="57"/>
              <w:jc w:val="center"/>
              <w:rPr>
                <w:rFonts w:ascii="Arial Narrow" w:hAnsi="Arial Narrow" w:cs="Arial"/>
                <w:b/>
                <w:sz w:val="18"/>
                <w:szCs w:val="18"/>
              </w:rPr>
            </w:pPr>
          </w:p>
        </w:tc>
        <w:tc>
          <w:tcPr>
            <w:tcW w:w="676" w:type="pct"/>
            <w:tcBorders>
              <w:top w:val="single" w:sz="4" w:space="0" w:color="auto"/>
              <w:bottom w:val="single" w:sz="4" w:space="0" w:color="auto"/>
            </w:tcBorders>
            <w:vAlign w:val="center"/>
          </w:tcPr>
          <w:p w:rsidR="00643BC3" w:rsidRPr="00F20F86" w:rsidRDefault="00643BC3" w:rsidP="003B2120">
            <w:pPr>
              <w:spacing w:before="40" w:after="20"/>
              <w:ind w:right="57"/>
              <w:jc w:val="right"/>
              <w:rPr>
                <w:rFonts w:ascii="Arial Narrow" w:hAnsi="Arial Narrow" w:cs="Arial"/>
                <w:sz w:val="18"/>
                <w:szCs w:val="18"/>
              </w:rPr>
            </w:pPr>
            <w:r w:rsidRPr="00820B97">
              <w:rPr>
                <w:rFonts w:ascii="Arial Narrow" w:hAnsi="Arial Narrow" w:cs="Arial"/>
                <w:sz w:val="18"/>
                <w:szCs w:val="18"/>
              </w:rPr>
              <w:t xml:space="preserve">Classi </w:t>
            </w:r>
          </w:p>
        </w:tc>
        <w:tc>
          <w:tcPr>
            <w:tcW w:w="780" w:type="pct"/>
            <w:tcBorders>
              <w:top w:val="single" w:sz="4" w:space="0" w:color="auto"/>
              <w:bottom w:val="single" w:sz="4" w:space="0" w:color="auto"/>
            </w:tcBorders>
            <w:shd w:val="clear" w:color="auto" w:fill="E6E6E6"/>
            <w:vAlign w:val="center"/>
          </w:tcPr>
          <w:p w:rsidR="00643BC3" w:rsidRPr="00820B97" w:rsidRDefault="00821718" w:rsidP="0086694D">
            <w:pPr>
              <w:spacing w:before="40" w:after="20"/>
              <w:ind w:right="57"/>
              <w:jc w:val="right"/>
              <w:rPr>
                <w:rFonts w:ascii="Arial Narrow" w:hAnsi="Arial Narrow" w:cs="Arial"/>
                <w:sz w:val="18"/>
                <w:szCs w:val="18"/>
              </w:rPr>
            </w:pPr>
            <w:r>
              <w:rPr>
                <w:rFonts w:ascii="Arial Narrow" w:hAnsi="Arial Narrow" w:cs="Arial"/>
                <w:sz w:val="18"/>
                <w:szCs w:val="18"/>
              </w:rPr>
              <w:t>0899, 1104, 2651</w:t>
            </w:r>
            <w:r w:rsidR="00643BC3">
              <w:rPr>
                <w:rFonts w:ascii="Arial Narrow" w:hAnsi="Arial Narrow" w:cs="Arial"/>
                <w:sz w:val="18"/>
                <w:szCs w:val="18"/>
              </w:rPr>
              <w:t xml:space="preserve"> 2823, 3511, 3522 </w:t>
            </w:r>
          </w:p>
        </w:tc>
        <w:tc>
          <w:tcPr>
            <w:tcW w:w="778" w:type="pct"/>
            <w:tcBorders>
              <w:top w:val="single" w:sz="4" w:space="0" w:color="auto"/>
              <w:bottom w:val="single" w:sz="4" w:space="0" w:color="auto"/>
            </w:tcBorders>
            <w:vAlign w:val="center"/>
          </w:tcPr>
          <w:p w:rsidR="00643BC3" w:rsidRPr="00820B97" w:rsidRDefault="00821718" w:rsidP="0086694D">
            <w:pPr>
              <w:spacing w:before="40" w:after="20"/>
              <w:ind w:right="57"/>
              <w:jc w:val="right"/>
              <w:rPr>
                <w:rFonts w:ascii="Arial Narrow" w:hAnsi="Arial Narrow" w:cs="Arial"/>
                <w:sz w:val="18"/>
                <w:szCs w:val="18"/>
              </w:rPr>
            </w:pPr>
            <w:r>
              <w:rPr>
                <w:rFonts w:ascii="Arial Narrow" w:hAnsi="Arial Narrow" w:cs="Arial"/>
                <w:sz w:val="18"/>
                <w:szCs w:val="18"/>
              </w:rPr>
              <w:t>0899, 1041, 1104</w:t>
            </w:r>
            <w:r w:rsidR="00643BC3">
              <w:rPr>
                <w:rFonts w:ascii="Arial Narrow" w:hAnsi="Arial Narrow" w:cs="Arial"/>
                <w:sz w:val="18"/>
                <w:szCs w:val="18"/>
              </w:rPr>
              <w:t xml:space="preserve"> 2651, 3511, 3522</w:t>
            </w:r>
          </w:p>
        </w:tc>
        <w:tc>
          <w:tcPr>
            <w:tcW w:w="778" w:type="pct"/>
            <w:tcBorders>
              <w:top w:val="single" w:sz="4" w:space="0" w:color="auto"/>
              <w:bottom w:val="single" w:sz="4" w:space="0" w:color="auto"/>
            </w:tcBorders>
            <w:shd w:val="clear" w:color="auto" w:fill="E6E6E6"/>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1</w:t>
            </w:r>
            <w:r w:rsidR="00821718">
              <w:rPr>
                <w:rFonts w:ascii="Arial Narrow" w:hAnsi="Arial Narrow" w:cs="Arial"/>
                <w:sz w:val="18"/>
                <w:szCs w:val="18"/>
              </w:rPr>
              <w:t>041 1061, 1105 1724 2311, 2351</w:t>
            </w:r>
            <w:r>
              <w:rPr>
                <w:rFonts w:ascii="Arial Narrow" w:hAnsi="Arial Narrow" w:cs="Arial"/>
                <w:sz w:val="18"/>
                <w:szCs w:val="18"/>
              </w:rPr>
              <w:t xml:space="preserve"> 2611, 2612, 3099</w:t>
            </w:r>
          </w:p>
        </w:tc>
        <w:tc>
          <w:tcPr>
            <w:tcW w:w="778" w:type="pct"/>
            <w:tcBorders>
              <w:top w:val="single" w:sz="4" w:space="0" w:color="auto"/>
              <w:bottom w:val="single" w:sz="4" w:space="0" w:color="auto"/>
            </w:tcBorders>
            <w:vAlign w:val="center"/>
          </w:tcPr>
          <w:p w:rsidR="00643BC3" w:rsidRPr="002B5E20"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104</w:t>
            </w:r>
            <w:r w:rsidR="00821718">
              <w:rPr>
                <w:rFonts w:ascii="Arial Narrow" w:hAnsi="Arial Narrow" w:cs="Arial"/>
                <w:sz w:val="18"/>
                <w:szCs w:val="18"/>
              </w:rPr>
              <w:t>1, 1092, 1723 2219, 2311, 2312</w:t>
            </w:r>
            <w:r>
              <w:rPr>
                <w:rFonts w:ascii="Arial Narrow" w:hAnsi="Arial Narrow" w:cs="Arial"/>
                <w:sz w:val="18"/>
                <w:szCs w:val="18"/>
              </w:rPr>
              <w:t xml:space="preserve"> 2361 </w:t>
            </w:r>
          </w:p>
        </w:tc>
        <w:tc>
          <w:tcPr>
            <w:tcW w:w="756" w:type="pct"/>
            <w:tcBorders>
              <w:top w:val="single" w:sz="4" w:space="0" w:color="auto"/>
              <w:bottom w:val="single" w:sz="4" w:space="0" w:color="auto"/>
            </w:tcBorders>
            <w:shd w:val="clear" w:color="auto" w:fill="E6E6E6"/>
            <w:vAlign w:val="center"/>
          </w:tcPr>
          <w:p w:rsidR="00643BC3" w:rsidRPr="002B5E20" w:rsidRDefault="00821718" w:rsidP="0086694D">
            <w:pPr>
              <w:spacing w:before="40" w:after="20"/>
              <w:ind w:right="57"/>
              <w:jc w:val="right"/>
              <w:rPr>
                <w:rFonts w:ascii="Arial Narrow" w:hAnsi="Arial Narrow" w:cs="Arial"/>
                <w:sz w:val="18"/>
                <w:szCs w:val="18"/>
              </w:rPr>
            </w:pPr>
            <w:r>
              <w:rPr>
                <w:rFonts w:ascii="Arial Narrow" w:hAnsi="Arial Narrow" w:cs="Arial"/>
                <w:sz w:val="18"/>
                <w:szCs w:val="18"/>
              </w:rPr>
              <w:t>1041, 1061, 1101 1105, 1391, 2219 2351, 2434, 2521</w:t>
            </w:r>
            <w:r w:rsidR="00643BC3">
              <w:rPr>
                <w:rFonts w:ascii="Arial Narrow" w:hAnsi="Arial Narrow" w:cs="Arial"/>
                <w:sz w:val="18"/>
                <w:szCs w:val="18"/>
              </w:rPr>
              <w:t xml:space="preserve"> 2611</w:t>
            </w:r>
          </w:p>
        </w:tc>
      </w:tr>
      <w:tr w:rsidR="00643BC3" w:rsidRPr="00820B97" w:rsidTr="0086694D">
        <w:tc>
          <w:tcPr>
            <w:tcW w:w="453" w:type="pct"/>
            <w:vMerge w:val="restart"/>
            <w:tcBorders>
              <w:top w:val="single" w:sz="4" w:space="0" w:color="auto"/>
            </w:tcBorders>
            <w:textDirection w:val="btLr"/>
          </w:tcPr>
          <w:p w:rsidR="00643BC3" w:rsidRPr="00F20F86" w:rsidRDefault="00643BC3" w:rsidP="003B2120">
            <w:pPr>
              <w:spacing w:before="40" w:after="20"/>
              <w:ind w:right="57"/>
              <w:jc w:val="center"/>
              <w:rPr>
                <w:rFonts w:ascii="Arial Narrow" w:hAnsi="Arial Narrow" w:cs="Arial"/>
                <w:b/>
                <w:sz w:val="18"/>
                <w:szCs w:val="18"/>
              </w:rPr>
            </w:pPr>
            <w:r w:rsidRPr="00F20F86">
              <w:rPr>
                <w:rFonts w:ascii="Arial Narrow" w:hAnsi="Arial Narrow" w:cs="Arial"/>
                <w:b/>
                <w:sz w:val="18"/>
                <w:szCs w:val="18"/>
              </w:rPr>
              <w:t>In uscita</w:t>
            </w:r>
          </w:p>
        </w:tc>
        <w:tc>
          <w:tcPr>
            <w:tcW w:w="676" w:type="pct"/>
            <w:tcBorders>
              <w:top w:val="single" w:sz="4" w:space="0" w:color="auto"/>
              <w:bottom w:val="single" w:sz="4" w:space="0" w:color="auto"/>
            </w:tcBorders>
            <w:vAlign w:val="center"/>
          </w:tcPr>
          <w:p w:rsidR="00643BC3" w:rsidRPr="00F20F86" w:rsidRDefault="00643BC3" w:rsidP="003B2120">
            <w:pPr>
              <w:spacing w:before="40" w:after="20"/>
              <w:ind w:right="57"/>
              <w:jc w:val="right"/>
              <w:rPr>
                <w:rFonts w:ascii="Arial Narrow" w:hAnsi="Arial Narrow" w:cs="Arial"/>
                <w:sz w:val="18"/>
                <w:szCs w:val="18"/>
              </w:rPr>
            </w:pPr>
            <w:r w:rsidRPr="00820B97">
              <w:rPr>
                <w:rFonts w:ascii="Arial Narrow" w:hAnsi="Arial Narrow" w:cs="Arial"/>
                <w:sz w:val="18"/>
                <w:szCs w:val="18"/>
              </w:rPr>
              <w:t xml:space="preserve">Divisioni </w:t>
            </w:r>
          </w:p>
        </w:tc>
        <w:tc>
          <w:tcPr>
            <w:tcW w:w="780" w:type="pct"/>
            <w:tcBorders>
              <w:top w:val="single" w:sz="4" w:space="0" w:color="auto"/>
              <w:bottom w:val="single" w:sz="4" w:space="0" w:color="auto"/>
            </w:tcBorders>
            <w:shd w:val="clear" w:color="auto" w:fill="E6E6E6"/>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top w:val="single" w:sz="4" w:space="0" w:color="auto"/>
              <w:bottom w:val="single" w:sz="4" w:space="0" w:color="auto"/>
            </w:tcBorders>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top w:val="single" w:sz="4" w:space="0" w:color="auto"/>
              <w:bottom w:val="single" w:sz="4" w:space="0" w:color="auto"/>
            </w:tcBorders>
            <w:shd w:val="clear" w:color="auto" w:fill="E6E6E6"/>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top w:val="single" w:sz="4" w:space="0" w:color="auto"/>
              <w:bottom w:val="single" w:sz="4" w:space="0" w:color="auto"/>
            </w:tcBorders>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56" w:type="pct"/>
            <w:tcBorders>
              <w:top w:val="single" w:sz="4" w:space="0" w:color="auto"/>
              <w:bottom w:val="single" w:sz="4" w:space="0" w:color="auto"/>
            </w:tcBorders>
            <w:shd w:val="clear" w:color="auto" w:fill="E6E6E6"/>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r>
      <w:tr w:rsidR="00643BC3" w:rsidRPr="00820B97" w:rsidTr="0086694D">
        <w:tc>
          <w:tcPr>
            <w:tcW w:w="453" w:type="pct"/>
            <w:vMerge/>
          </w:tcPr>
          <w:p w:rsidR="00643BC3" w:rsidRPr="00820B97" w:rsidRDefault="00643BC3" w:rsidP="003B2120">
            <w:pPr>
              <w:spacing w:before="40" w:after="20"/>
              <w:ind w:right="57"/>
              <w:jc w:val="right"/>
              <w:rPr>
                <w:rFonts w:ascii="Arial Narrow" w:hAnsi="Arial Narrow" w:cs="Arial"/>
                <w:sz w:val="18"/>
                <w:szCs w:val="18"/>
              </w:rPr>
            </w:pPr>
          </w:p>
        </w:tc>
        <w:tc>
          <w:tcPr>
            <w:tcW w:w="676" w:type="pct"/>
            <w:tcBorders>
              <w:top w:val="single" w:sz="4" w:space="0" w:color="auto"/>
              <w:bottom w:val="single" w:sz="4" w:space="0" w:color="auto"/>
            </w:tcBorders>
            <w:vAlign w:val="center"/>
          </w:tcPr>
          <w:p w:rsidR="00643BC3" w:rsidRPr="00820B97" w:rsidRDefault="00643BC3" w:rsidP="003B2120">
            <w:pPr>
              <w:spacing w:before="40" w:after="20"/>
              <w:ind w:right="57"/>
              <w:jc w:val="right"/>
              <w:rPr>
                <w:rFonts w:ascii="Arial Narrow" w:hAnsi="Arial Narrow" w:cs="Arial"/>
                <w:sz w:val="18"/>
                <w:szCs w:val="18"/>
              </w:rPr>
            </w:pPr>
            <w:r w:rsidRPr="00820B97">
              <w:rPr>
                <w:rFonts w:ascii="Arial Narrow" w:hAnsi="Arial Narrow" w:cs="Arial"/>
                <w:sz w:val="18"/>
                <w:szCs w:val="18"/>
              </w:rPr>
              <w:t xml:space="preserve">Gruppi </w:t>
            </w:r>
          </w:p>
        </w:tc>
        <w:tc>
          <w:tcPr>
            <w:tcW w:w="780" w:type="pct"/>
            <w:tcBorders>
              <w:top w:val="single" w:sz="4" w:space="0" w:color="auto"/>
              <w:bottom w:val="single" w:sz="4" w:space="0" w:color="auto"/>
            </w:tcBorders>
            <w:shd w:val="clear" w:color="auto" w:fill="E6E6E6"/>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142, 303</w:t>
            </w:r>
          </w:p>
        </w:tc>
        <w:tc>
          <w:tcPr>
            <w:tcW w:w="778" w:type="pct"/>
            <w:tcBorders>
              <w:top w:val="single" w:sz="4" w:space="0" w:color="auto"/>
              <w:bottom w:val="single" w:sz="4" w:space="0" w:color="auto"/>
            </w:tcBorders>
            <w:vAlign w:val="center"/>
          </w:tcPr>
          <w:p w:rsidR="00643BC3" w:rsidRPr="00F20F86"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c>
          <w:tcPr>
            <w:tcW w:w="778" w:type="pct"/>
            <w:tcBorders>
              <w:top w:val="single" w:sz="4" w:space="0" w:color="auto"/>
              <w:bottom w:val="single" w:sz="4" w:space="0" w:color="auto"/>
            </w:tcBorders>
            <w:shd w:val="clear" w:color="auto" w:fill="E6E6E6"/>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303</w:t>
            </w:r>
          </w:p>
        </w:tc>
        <w:tc>
          <w:tcPr>
            <w:tcW w:w="778" w:type="pct"/>
            <w:tcBorders>
              <w:top w:val="single" w:sz="4" w:space="0" w:color="auto"/>
              <w:bottom w:val="single" w:sz="4" w:space="0" w:color="auto"/>
            </w:tcBorders>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211, 212</w:t>
            </w:r>
          </w:p>
        </w:tc>
        <w:tc>
          <w:tcPr>
            <w:tcW w:w="756" w:type="pct"/>
            <w:tcBorders>
              <w:top w:val="single" w:sz="4" w:space="0" w:color="auto"/>
              <w:bottom w:val="single" w:sz="4" w:space="0" w:color="auto"/>
            </w:tcBorders>
            <w:shd w:val="clear" w:color="auto" w:fill="E6E6E6"/>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w:t>
            </w:r>
          </w:p>
        </w:tc>
      </w:tr>
      <w:tr w:rsidR="00643BC3" w:rsidRPr="00820B97" w:rsidTr="0086694D">
        <w:tc>
          <w:tcPr>
            <w:tcW w:w="453" w:type="pct"/>
            <w:vMerge/>
            <w:tcBorders>
              <w:bottom w:val="single" w:sz="4" w:space="0" w:color="333333"/>
            </w:tcBorders>
          </w:tcPr>
          <w:p w:rsidR="00643BC3" w:rsidRPr="00820B97" w:rsidRDefault="00643BC3" w:rsidP="003B2120">
            <w:pPr>
              <w:spacing w:before="40" w:after="20"/>
              <w:ind w:right="57"/>
              <w:jc w:val="right"/>
              <w:rPr>
                <w:rFonts w:ascii="Arial Narrow" w:hAnsi="Arial Narrow" w:cs="Arial"/>
                <w:sz w:val="18"/>
                <w:szCs w:val="18"/>
              </w:rPr>
            </w:pPr>
          </w:p>
        </w:tc>
        <w:tc>
          <w:tcPr>
            <w:tcW w:w="676" w:type="pct"/>
            <w:tcBorders>
              <w:top w:val="single" w:sz="4" w:space="0" w:color="auto"/>
              <w:bottom w:val="single" w:sz="4" w:space="0" w:color="auto"/>
            </w:tcBorders>
            <w:vAlign w:val="center"/>
          </w:tcPr>
          <w:p w:rsidR="00643BC3" w:rsidRPr="00F20F86" w:rsidRDefault="00643BC3" w:rsidP="003B2120">
            <w:pPr>
              <w:spacing w:before="40" w:after="20"/>
              <w:ind w:right="57"/>
              <w:jc w:val="right"/>
              <w:rPr>
                <w:rFonts w:ascii="Arial Narrow" w:hAnsi="Arial Narrow" w:cs="Arial"/>
                <w:sz w:val="18"/>
                <w:szCs w:val="18"/>
              </w:rPr>
            </w:pPr>
            <w:r w:rsidRPr="00820B97">
              <w:rPr>
                <w:rFonts w:ascii="Arial Narrow" w:hAnsi="Arial Narrow" w:cs="Arial"/>
                <w:sz w:val="18"/>
                <w:szCs w:val="18"/>
              </w:rPr>
              <w:t xml:space="preserve">Classi </w:t>
            </w:r>
          </w:p>
        </w:tc>
        <w:tc>
          <w:tcPr>
            <w:tcW w:w="780" w:type="pct"/>
            <w:tcBorders>
              <w:top w:val="single" w:sz="4" w:space="0" w:color="auto"/>
              <w:bottom w:val="single" w:sz="4" w:space="0" w:color="auto"/>
            </w:tcBorders>
            <w:shd w:val="clear" w:color="auto" w:fill="E6E6E6"/>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2432, 2445</w:t>
            </w:r>
          </w:p>
        </w:tc>
        <w:tc>
          <w:tcPr>
            <w:tcW w:w="778" w:type="pct"/>
            <w:tcBorders>
              <w:top w:val="single" w:sz="4" w:space="0" w:color="auto"/>
              <w:bottom w:val="single" w:sz="4" w:space="0" w:color="auto"/>
            </w:tcBorders>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2445, 2824, 2895</w:t>
            </w:r>
          </w:p>
        </w:tc>
        <w:tc>
          <w:tcPr>
            <w:tcW w:w="778" w:type="pct"/>
            <w:tcBorders>
              <w:top w:val="single" w:sz="4" w:space="0" w:color="auto"/>
              <w:bottom w:val="single" w:sz="4" w:space="0" w:color="auto"/>
            </w:tcBorders>
            <w:shd w:val="clear" w:color="auto" w:fill="E6E6E6"/>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3103</w:t>
            </w:r>
          </w:p>
        </w:tc>
        <w:tc>
          <w:tcPr>
            <w:tcW w:w="778" w:type="pct"/>
            <w:tcBorders>
              <w:top w:val="single" w:sz="4" w:space="0" w:color="auto"/>
              <w:bottom w:val="single" w:sz="4" w:space="0" w:color="auto"/>
            </w:tcBorders>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1012, 1411, 3103</w:t>
            </w:r>
          </w:p>
        </w:tc>
        <w:tc>
          <w:tcPr>
            <w:tcW w:w="756" w:type="pct"/>
            <w:tcBorders>
              <w:top w:val="single" w:sz="4" w:space="0" w:color="auto"/>
              <w:bottom w:val="single" w:sz="4" w:space="0" w:color="auto"/>
            </w:tcBorders>
            <w:shd w:val="clear" w:color="auto" w:fill="E6E6E6"/>
            <w:vAlign w:val="center"/>
          </w:tcPr>
          <w:p w:rsidR="00643BC3" w:rsidRPr="00820B97" w:rsidRDefault="00643BC3" w:rsidP="0086694D">
            <w:pPr>
              <w:spacing w:before="40" w:after="20"/>
              <w:ind w:right="57"/>
              <w:jc w:val="right"/>
              <w:rPr>
                <w:rFonts w:ascii="Arial Narrow" w:hAnsi="Arial Narrow" w:cs="Arial"/>
                <w:sz w:val="18"/>
                <w:szCs w:val="18"/>
              </w:rPr>
            </w:pPr>
            <w:r>
              <w:rPr>
                <w:rFonts w:ascii="Arial Narrow" w:hAnsi="Arial Narrow" w:cs="Arial"/>
                <w:sz w:val="18"/>
                <w:szCs w:val="18"/>
              </w:rPr>
              <w:t>1032</w:t>
            </w:r>
          </w:p>
        </w:tc>
      </w:tr>
    </w:tbl>
    <w:p w:rsidR="00F20F86" w:rsidRPr="00F20F86" w:rsidRDefault="00F20F86" w:rsidP="00F20F86">
      <w:pPr>
        <w:spacing w:before="40" w:after="20"/>
        <w:ind w:right="57"/>
        <w:jc w:val="right"/>
        <w:rPr>
          <w:rFonts w:ascii="Arial Narrow" w:hAnsi="Arial Narrow" w:cs="Arial"/>
          <w:sz w:val="18"/>
          <w:szCs w:val="18"/>
        </w:rPr>
      </w:pPr>
    </w:p>
    <w:p w:rsidR="003167C5" w:rsidRDefault="003167C5" w:rsidP="00251264">
      <w:pPr>
        <w:spacing w:after="120"/>
        <w:jc w:val="both"/>
        <w:rPr>
          <w:rFonts w:ascii="Arial" w:hAnsi="Arial" w:cs="Arial"/>
          <w:color w:val="808080"/>
          <w:sz w:val="28"/>
          <w:szCs w:val="28"/>
        </w:rPr>
      </w:pPr>
    </w:p>
    <w:p w:rsidR="00165090" w:rsidRDefault="00165090" w:rsidP="0077570D">
      <w:pPr>
        <w:spacing w:after="120"/>
        <w:ind w:left="1814"/>
        <w:jc w:val="both"/>
        <w:rPr>
          <w:rFonts w:ascii="Arial" w:hAnsi="Arial" w:cs="Arial"/>
          <w:color w:val="808080"/>
          <w:sz w:val="28"/>
          <w:szCs w:val="28"/>
        </w:rPr>
      </w:pPr>
      <w:r>
        <w:rPr>
          <w:rFonts w:ascii="Arial" w:hAnsi="Arial" w:cs="Arial"/>
          <w:color w:val="808080"/>
          <w:sz w:val="28"/>
          <w:szCs w:val="28"/>
        </w:rPr>
        <w:t>METODOLOGIA</w:t>
      </w:r>
    </w:p>
    <w:p w:rsidR="00C976ED" w:rsidRPr="00D523EF" w:rsidRDefault="00C976ED" w:rsidP="00165090">
      <w:pPr>
        <w:spacing w:after="120"/>
        <w:ind w:left="1814"/>
        <w:jc w:val="both"/>
        <w:rPr>
          <w:rFonts w:ascii="Arial" w:hAnsi="Arial" w:cs="Arial"/>
          <w:b/>
          <w:sz w:val="20"/>
          <w:szCs w:val="20"/>
        </w:rPr>
      </w:pPr>
    </w:p>
    <w:p w:rsidR="00165090" w:rsidRPr="007D43D9" w:rsidRDefault="009E1BB2" w:rsidP="00165090">
      <w:pPr>
        <w:spacing w:after="120"/>
        <w:ind w:left="1814"/>
        <w:jc w:val="both"/>
        <w:rPr>
          <w:rFonts w:ascii="Arial" w:hAnsi="Arial" w:cs="Arial"/>
          <w:b/>
          <w:sz w:val="22"/>
          <w:szCs w:val="22"/>
        </w:rPr>
      </w:pPr>
      <w:r>
        <w:rPr>
          <w:rFonts w:ascii="Arial" w:hAnsi="Arial" w:cs="Arial"/>
          <w:b/>
          <w:sz w:val="22"/>
          <w:szCs w:val="22"/>
        </w:rPr>
        <w:t>4</w:t>
      </w:r>
      <w:r w:rsidR="00165090">
        <w:rPr>
          <w:rFonts w:ascii="Arial" w:hAnsi="Arial" w:cs="Arial"/>
          <w:b/>
          <w:sz w:val="22"/>
          <w:szCs w:val="22"/>
        </w:rPr>
        <w:t>. Indici in base di calcolo e indici concatenati</w:t>
      </w:r>
    </w:p>
    <w:p w:rsidR="00125D8C" w:rsidRDefault="00125D8C" w:rsidP="00165090">
      <w:pPr>
        <w:spacing w:after="120"/>
        <w:ind w:left="1814"/>
        <w:jc w:val="both"/>
        <w:rPr>
          <w:rFonts w:ascii="Arial" w:hAnsi="Arial" w:cs="Arial"/>
          <w:b/>
          <w:bCs/>
          <w:sz w:val="20"/>
          <w:szCs w:val="20"/>
        </w:rPr>
      </w:pPr>
    </w:p>
    <w:p w:rsidR="00165090" w:rsidRDefault="00A650DD" w:rsidP="00165090">
      <w:pPr>
        <w:spacing w:after="120"/>
        <w:ind w:left="1814"/>
        <w:jc w:val="both"/>
        <w:rPr>
          <w:rFonts w:ascii="Arial" w:hAnsi="Arial" w:cs="Arial"/>
          <w:bCs/>
          <w:sz w:val="20"/>
          <w:szCs w:val="20"/>
        </w:rPr>
      </w:pPr>
      <w:r>
        <w:rPr>
          <w:rFonts w:ascii="Arial" w:hAnsi="Arial" w:cs="Arial"/>
          <w:b/>
          <w:bCs/>
          <w:sz w:val="20"/>
          <w:szCs w:val="20"/>
        </w:rPr>
        <w:t xml:space="preserve">La </w:t>
      </w:r>
      <w:r w:rsidR="00165090" w:rsidRPr="00D96CEF">
        <w:rPr>
          <w:rFonts w:ascii="Arial" w:hAnsi="Arial" w:cs="Arial"/>
          <w:b/>
          <w:bCs/>
          <w:sz w:val="20"/>
          <w:szCs w:val="20"/>
        </w:rPr>
        <w:t>struttura ponderale</w:t>
      </w:r>
      <w:r w:rsidR="00165090">
        <w:rPr>
          <w:rFonts w:ascii="Arial" w:hAnsi="Arial" w:cs="Arial"/>
          <w:bCs/>
          <w:sz w:val="20"/>
          <w:szCs w:val="20"/>
        </w:rPr>
        <w:t xml:space="preserve">. </w:t>
      </w:r>
      <w:r w:rsidR="00165090" w:rsidRPr="00244036">
        <w:rPr>
          <w:rFonts w:ascii="Arial" w:hAnsi="Arial" w:cs="Arial"/>
          <w:bCs/>
          <w:sz w:val="20"/>
          <w:szCs w:val="20"/>
        </w:rPr>
        <w:t>Il sistema degli indici dei prezzi alla produzione è costituito da variabili rilevate</w:t>
      </w:r>
      <w:r w:rsidR="00165090">
        <w:rPr>
          <w:rFonts w:ascii="Arial" w:hAnsi="Arial" w:cs="Arial"/>
          <w:bCs/>
          <w:sz w:val="20"/>
          <w:szCs w:val="20"/>
        </w:rPr>
        <w:t xml:space="preserve">, </w:t>
      </w:r>
      <w:r w:rsidR="00165090" w:rsidRPr="00AD2539">
        <w:rPr>
          <w:rFonts w:ascii="Arial" w:hAnsi="Arial" w:cs="Arial"/>
          <w:bCs/>
          <w:position w:val="-6"/>
          <w:sz w:val="20"/>
          <w:szCs w:val="20"/>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2.6pt" o:ole="">
            <v:imagedata r:id="rId13" o:title=""/>
          </v:shape>
          <o:OLEObject Type="Embed" ProgID="Equation.3" ShapeID="_x0000_i1025" DrawAspect="Content" ObjectID="_1457423397" r:id="rId14"/>
        </w:object>
      </w:r>
      <w:r w:rsidR="00165090">
        <w:rPr>
          <w:rFonts w:ascii="Arial" w:hAnsi="Arial" w:cs="Arial"/>
          <w:bCs/>
          <w:sz w:val="20"/>
          <w:szCs w:val="20"/>
        </w:rPr>
        <w:t>,</w:t>
      </w:r>
      <w:r w:rsidR="00165090" w:rsidRPr="00244036">
        <w:rPr>
          <w:rFonts w:ascii="Arial" w:hAnsi="Arial" w:cs="Arial"/>
          <w:bCs/>
          <w:sz w:val="20"/>
          <w:szCs w:val="20"/>
        </w:rPr>
        <w:t xml:space="preserve"> e da variabili di sintesi</w:t>
      </w:r>
      <w:r w:rsidR="00165090">
        <w:rPr>
          <w:rFonts w:ascii="Arial" w:hAnsi="Arial" w:cs="Arial"/>
          <w:bCs/>
          <w:sz w:val="20"/>
          <w:szCs w:val="20"/>
        </w:rPr>
        <w:t xml:space="preserve">, </w:t>
      </w:r>
      <w:r w:rsidR="00165090" w:rsidRPr="00AD2539">
        <w:rPr>
          <w:rFonts w:ascii="Arial" w:hAnsi="Arial" w:cs="Arial"/>
          <w:bCs/>
          <w:position w:val="-4"/>
          <w:sz w:val="20"/>
          <w:szCs w:val="20"/>
        </w:rPr>
        <w:object w:dxaOrig="240" w:dyaOrig="260">
          <v:shape id="_x0000_i1026" type="#_x0000_t75" style="width:10.3pt;height:12.15pt" o:ole="">
            <v:imagedata r:id="rId15" o:title=""/>
          </v:shape>
          <o:OLEObject Type="Embed" ProgID="Equation.3" ShapeID="_x0000_i1026" DrawAspect="Content" ObjectID="_1457423398" r:id="rId16"/>
        </w:object>
      </w:r>
      <w:r w:rsidR="00165090" w:rsidRPr="00244036">
        <w:rPr>
          <w:rFonts w:ascii="Arial" w:hAnsi="Arial" w:cs="Arial"/>
          <w:bCs/>
          <w:sz w:val="20"/>
          <w:szCs w:val="20"/>
        </w:rPr>
        <w:t xml:space="preserve">. </w:t>
      </w:r>
      <w:r w:rsidR="00165090">
        <w:rPr>
          <w:rFonts w:ascii="Arial" w:hAnsi="Arial" w:cs="Arial"/>
          <w:bCs/>
          <w:sz w:val="20"/>
          <w:szCs w:val="20"/>
        </w:rPr>
        <w:t xml:space="preserve">Le prime riguardano gli indici dei prezzi alla produzione dei prodotti industriali i) venduti sul mercato interno, </w:t>
      </w:r>
      <w:r w:rsidR="00165090" w:rsidRPr="008C05F4">
        <w:rPr>
          <w:rFonts w:ascii="Arial" w:hAnsi="Arial" w:cs="Arial"/>
          <w:bCs/>
          <w:position w:val="-4"/>
          <w:sz w:val="20"/>
          <w:szCs w:val="20"/>
        </w:rPr>
        <w:object w:dxaOrig="260" w:dyaOrig="260">
          <v:shape id="_x0000_i1027" type="#_x0000_t75" style="width:11.2pt;height:11.2pt" o:ole="">
            <v:imagedata r:id="rId17" o:title=""/>
          </v:shape>
          <o:OLEObject Type="Embed" ProgID="Equation.3" ShapeID="_x0000_i1027" DrawAspect="Content" ObjectID="_1457423399" r:id="rId18"/>
        </w:object>
      </w:r>
      <w:r w:rsidR="00165090">
        <w:rPr>
          <w:rFonts w:ascii="Arial" w:hAnsi="Arial" w:cs="Arial"/>
          <w:bCs/>
          <w:sz w:val="20"/>
          <w:szCs w:val="20"/>
        </w:rPr>
        <w:t xml:space="preserve">; ii) sul mercato estero area euro, </w:t>
      </w:r>
      <w:r w:rsidR="00165090" w:rsidRPr="008C05F4">
        <w:rPr>
          <w:rFonts w:ascii="Arial" w:hAnsi="Arial" w:cs="Arial"/>
          <w:bCs/>
          <w:position w:val="-4"/>
          <w:sz w:val="20"/>
          <w:szCs w:val="20"/>
        </w:rPr>
        <w:object w:dxaOrig="240" w:dyaOrig="260">
          <v:shape id="_x0000_i1028" type="#_x0000_t75" style="width:10.3pt;height:12.15pt" o:ole="">
            <v:imagedata r:id="rId19" o:title=""/>
          </v:shape>
          <o:OLEObject Type="Embed" ProgID="Equation.3" ShapeID="_x0000_i1028" DrawAspect="Content" ObjectID="_1457423400" r:id="rId20"/>
        </w:object>
      </w:r>
      <w:r w:rsidR="00165090">
        <w:rPr>
          <w:rFonts w:ascii="Arial" w:hAnsi="Arial" w:cs="Arial"/>
          <w:bCs/>
          <w:sz w:val="20"/>
          <w:szCs w:val="20"/>
        </w:rPr>
        <w:t xml:space="preserve">, e sul mercato estero area non euro, </w:t>
      </w:r>
      <w:r w:rsidR="00165090" w:rsidRPr="008C05F4">
        <w:rPr>
          <w:rFonts w:ascii="Arial" w:hAnsi="Arial" w:cs="Arial"/>
          <w:bCs/>
          <w:position w:val="-4"/>
          <w:sz w:val="20"/>
          <w:szCs w:val="20"/>
        </w:rPr>
        <w:object w:dxaOrig="279" w:dyaOrig="260">
          <v:shape id="_x0000_i1029" type="#_x0000_t75" style="width:12.6pt;height:11.2pt" o:ole="">
            <v:imagedata r:id="rId21" o:title=""/>
          </v:shape>
          <o:OLEObject Type="Embed" ProgID="Equation.3" ShapeID="_x0000_i1029" DrawAspect="Content" ObjectID="_1457423401" r:id="rId22"/>
        </w:object>
      </w:r>
      <w:r w:rsidR="00165090">
        <w:rPr>
          <w:rFonts w:ascii="Arial" w:hAnsi="Arial" w:cs="Arial"/>
          <w:bCs/>
          <w:sz w:val="20"/>
          <w:szCs w:val="20"/>
        </w:rPr>
        <w:t xml:space="preserve">. Le variabili di sintesi o derivate in media aritmetica ponderata, sono quelle del mercato estero, </w:t>
      </w:r>
      <w:r w:rsidR="00165090" w:rsidRPr="008A6F98">
        <w:rPr>
          <w:rFonts w:ascii="Arial" w:hAnsi="Arial" w:cs="Arial"/>
          <w:bCs/>
          <w:position w:val="-6"/>
          <w:sz w:val="20"/>
          <w:szCs w:val="20"/>
        </w:rPr>
        <w:object w:dxaOrig="279" w:dyaOrig="279">
          <v:shape id="_x0000_i1030" type="#_x0000_t75" style="width:12.6pt;height:12.6pt" o:ole="">
            <v:imagedata r:id="rId23" o:title=""/>
          </v:shape>
          <o:OLEObject Type="Embed" ProgID="Equation.3" ShapeID="_x0000_i1030" DrawAspect="Content" ObjectID="_1457423402" r:id="rId24"/>
        </w:object>
      </w:r>
      <w:r w:rsidR="00165090">
        <w:rPr>
          <w:rFonts w:ascii="Arial" w:hAnsi="Arial" w:cs="Arial"/>
          <w:bCs/>
          <w:sz w:val="20"/>
          <w:szCs w:val="20"/>
        </w:rPr>
        <w:t xml:space="preserve">, e dell’indice totale, </w:t>
      </w:r>
      <w:r w:rsidR="00165090" w:rsidRPr="008A6F98">
        <w:rPr>
          <w:rFonts w:ascii="Arial" w:hAnsi="Arial" w:cs="Arial"/>
          <w:bCs/>
          <w:position w:val="-4"/>
          <w:sz w:val="20"/>
          <w:szCs w:val="20"/>
        </w:rPr>
        <w:object w:dxaOrig="220" w:dyaOrig="260">
          <v:shape id="_x0000_i1031" type="#_x0000_t75" style="width:9.8pt;height:12.15pt" o:ole="">
            <v:imagedata r:id="rId25" o:title=""/>
          </v:shape>
          <o:OLEObject Type="Embed" ProgID="Equation.3" ShapeID="_x0000_i1031" DrawAspect="Content" ObjectID="_1457423403" r:id="rId26"/>
        </w:object>
      </w:r>
      <w:r w:rsidR="00165090">
        <w:rPr>
          <w:rFonts w:ascii="Arial" w:hAnsi="Arial" w:cs="Arial"/>
          <w:bCs/>
          <w:sz w:val="20"/>
          <w:szCs w:val="20"/>
        </w:rPr>
        <w:t xml:space="preserve">; la prima è derivata dalle componenti </w:t>
      </w:r>
      <w:r>
        <w:rPr>
          <w:rFonts w:ascii="Arial" w:hAnsi="Arial" w:cs="Arial"/>
          <w:bCs/>
          <w:sz w:val="20"/>
          <w:szCs w:val="20"/>
        </w:rPr>
        <w:t>(</w:t>
      </w:r>
      <w:r w:rsidR="00165090">
        <w:rPr>
          <w:rFonts w:ascii="Arial" w:hAnsi="Arial" w:cs="Arial"/>
          <w:bCs/>
          <w:sz w:val="20"/>
          <w:szCs w:val="20"/>
        </w:rPr>
        <w:t>aree euro e non euro</w:t>
      </w:r>
      <w:r>
        <w:rPr>
          <w:rFonts w:ascii="Arial" w:hAnsi="Arial" w:cs="Arial"/>
          <w:bCs/>
          <w:sz w:val="20"/>
          <w:szCs w:val="20"/>
        </w:rPr>
        <w:t>)</w:t>
      </w:r>
      <w:r w:rsidR="00165090">
        <w:rPr>
          <w:rFonts w:ascii="Arial" w:hAnsi="Arial" w:cs="Arial"/>
          <w:bCs/>
          <w:sz w:val="20"/>
          <w:szCs w:val="20"/>
        </w:rPr>
        <w:t>, la seconda da quelle dei mercati interno ed estero.</w:t>
      </w:r>
    </w:p>
    <w:p w:rsidR="00165090" w:rsidRDefault="00165090" w:rsidP="00D523EF">
      <w:pPr>
        <w:spacing w:after="120"/>
        <w:ind w:left="1814"/>
        <w:jc w:val="both"/>
        <w:rPr>
          <w:rFonts w:ascii="Arial" w:hAnsi="Arial" w:cs="Arial"/>
          <w:bCs/>
          <w:sz w:val="20"/>
          <w:szCs w:val="20"/>
        </w:rPr>
      </w:pPr>
      <w:r>
        <w:rPr>
          <w:rFonts w:ascii="Arial" w:hAnsi="Arial" w:cs="Arial"/>
          <w:bCs/>
          <w:sz w:val="20"/>
          <w:szCs w:val="20"/>
        </w:rPr>
        <w:t>La relazione che lega le variabili rilevate e di sintesi del sistema può essere formalizzata algebricamente (utilizzando i simboli sopra introdotti) come segue:</w:t>
      </w:r>
      <w:r w:rsidR="00D523EF">
        <w:rPr>
          <w:rFonts w:ascii="Arial" w:hAnsi="Arial" w:cs="Arial"/>
          <w:bCs/>
          <w:sz w:val="20"/>
          <w:szCs w:val="20"/>
        </w:rPr>
        <w:t xml:space="preserve"> </w:t>
      </w:r>
      <w:r w:rsidRPr="0077264D">
        <w:rPr>
          <w:rFonts w:ascii="Arial" w:hAnsi="Arial" w:cs="Arial"/>
          <w:bCs/>
          <w:position w:val="-10"/>
          <w:sz w:val="20"/>
          <w:szCs w:val="20"/>
        </w:rPr>
        <w:object w:dxaOrig="1140" w:dyaOrig="320">
          <v:shape id="_x0000_i1032" type="#_x0000_t75" style="width:51.9pt;height:14.05pt" o:ole="">
            <v:imagedata r:id="rId27" o:title=""/>
          </v:shape>
          <o:OLEObject Type="Embed" ProgID="Equation.3" ShapeID="_x0000_i1032" DrawAspect="Content" ObjectID="_1457423404" r:id="rId28"/>
        </w:object>
      </w:r>
      <w:r w:rsidR="00D523EF">
        <w:rPr>
          <w:rFonts w:ascii="Arial" w:hAnsi="Arial" w:cs="Arial"/>
          <w:bCs/>
          <w:sz w:val="20"/>
          <w:szCs w:val="20"/>
        </w:rPr>
        <w:t xml:space="preserve">; </w:t>
      </w:r>
      <w:r w:rsidRPr="0077264D">
        <w:rPr>
          <w:rFonts w:ascii="Arial" w:hAnsi="Arial" w:cs="Arial"/>
          <w:bCs/>
          <w:position w:val="-10"/>
          <w:sz w:val="20"/>
          <w:szCs w:val="20"/>
        </w:rPr>
        <w:object w:dxaOrig="1100" w:dyaOrig="320">
          <v:shape id="_x0000_i1033" type="#_x0000_t75" style="width:49.55pt;height:14.05pt" o:ole="">
            <v:imagedata r:id="rId29" o:title=""/>
          </v:shape>
          <o:OLEObject Type="Embed" ProgID="Equation.3" ShapeID="_x0000_i1033" DrawAspect="Content" ObjectID="_1457423405" r:id="rId30"/>
        </w:object>
      </w:r>
      <w:r w:rsidR="00D523EF">
        <w:rPr>
          <w:rFonts w:ascii="Arial" w:hAnsi="Arial" w:cs="Arial"/>
          <w:bCs/>
          <w:sz w:val="20"/>
          <w:szCs w:val="20"/>
        </w:rPr>
        <w:t xml:space="preserve"> </w:t>
      </w:r>
      <w:r>
        <w:rPr>
          <w:rFonts w:ascii="Arial" w:hAnsi="Arial" w:cs="Arial"/>
          <w:bCs/>
          <w:sz w:val="20"/>
          <w:szCs w:val="20"/>
        </w:rPr>
        <w:t>da cui, associando a ciascuna variabile il peso assoluto così come è derivato dalle fonti statistiche</w:t>
      </w:r>
      <w:r>
        <w:rPr>
          <w:rStyle w:val="Rimandonotaapidipagina"/>
          <w:rFonts w:ascii="Arial" w:hAnsi="Arial" w:cs="Arial"/>
          <w:bCs/>
          <w:sz w:val="20"/>
          <w:szCs w:val="20"/>
        </w:rPr>
        <w:footnoteReference w:id="10"/>
      </w:r>
      <w:r>
        <w:rPr>
          <w:rFonts w:ascii="Arial" w:hAnsi="Arial" w:cs="Arial"/>
          <w:bCs/>
          <w:sz w:val="20"/>
          <w:szCs w:val="20"/>
        </w:rPr>
        <w:t xml:space="preserve"> si ottiene</w:t>
      </w:r>
      <w:r w:rsidR="00D523EF">
        <w:rPr>
          <w:rFonts w:ascii="Arial" w:hAnsi="Arial" w:cs="Arial"/>
          <w:bCs/>
          <w:sz w:val="20"/>
          <w:szCs w:val="20"/>
        </w:rPr>
        <w:t xml:space="preserve">: i) </w:t>
      </w:r>
      <w:r w:rsidRPr="0077264D">
        <w:rPr>
          <w:rFonts w:ascii="Arial" w:hAnsi="Arial" w:cs="Arial"/>
          <w:bCs/>
          <w:position w:val="-10"/>
          <w:sz w:val="20"/>
          <w:szCs w:val="20"/>
        </w:rPr>
        <w:object w:dxaOrig="2140" w:dyaOrig="320">
          <v:shape id="_x0000_i1034" type="#_x0000_t75" style="width:96.8pt;height:14.05pt" o:ole="">
            <v:imagedata r:id="rId31" o:title=""/>
          </v:shape>
          <o:OLEObject Type="Embed" ProgID="Equation.3" ShapeID="_x0000_i1034" DrawAspect="Content" ObjectID="_1457423406" r:id="rId32"/>
        </w:object>
      </w:r>
      <w:r w:rsidR="00D523EF">
        <w:rPr>
          <w:rFonts w:ascii="Arial" w:hAnsi="Arial" w:cs="Arial"/>
          <w:bCs/>
          <w:sz w:val="20"/>
          <w:szCs w:val="20"/>
        </w:rPr>
        <w:t xml:space="preserve">; ii) </w:t>
      </w:r>
      <w:r w:rsidRPr="0077264D">
        <w:rPr>
          <w:rFonts w:ascii="Arial" w:hAnsi="Arial" w:cs="Arial"/>
          <w:bCs/>
          <w:position w:val="-10"/>
          <w:sz w:val="20"/>
          <w:szCs w:val="20"/>
        </w:rPr>
        <w:object w:dxaOrig="2100" w:dyaOrig="320">
          <v:shape id="_x0000_i1035" type="#_x0000_t75" style="width:95.4pt;height:14.05pt" o:ole="">
            <v:imagedata r:id="rId33" o:title=""/>
          </v:shape>
          <o:OLEObject Type="Embed" ProgID="Equation.3" ShapeID="_x0000_i1035" DrawAspect="Content" ObjectID="_1457423407" r:id="rId34"/>
        </w:object>
      </w:r>
      <w:r w:rsidR="00D523EF">
        <w:rPr>
          <w:rFonts w:ascii="Arial" w:hAnsi="Arial" w:cs="Arial"/>
          <w:bCs/>
          <w:sz w:val="20"/>
          <w:szCs w:val="20"/>
        </w:rPr>
        <w:t xml:space="preserve">. </w:t>
      </w:r>
      <w:r>
        <w:rPr>
          <w:rFonts w:ascii="Arial" w:hAnsi="Arial" w:cs="Arial"/>
          <w:bCs/>
          <w:sz w:val="20"/>
          <w:szCs w:val="20"/>
        </w:rPr>
        <w:t>Relativizzando, cioè esprimendo in termini unitari il peso della variabile a sinistra del segno di uguaglianza e in rapporti di composizione il peso delle variabili a destra dell’uguaglianz</w:t>
      </w:r>
      <w:r w:rsidR="00D523EF">
        <w:rPr>
          <w:rFonts w:ascii="Arial" w:hAnsi="Arial" w:cs="Arial"/>
          <w:bCs/>
          <w:sz w:val="20"/>
          <w:szCs w:val="20"/>
        </w:rPr>
        <w:t xml:space="preserve">a, dalla prima uguaglianza seguono: i) </w:t>
      </w:r>
      <w:r w:rsidR="00D523EF" w:rsidRPr="00D523EF">
        <w:rPr>
          <w:rFonts w:ascii="Arial" w:hAnsi="Arial" w:cs="Arial"/>
          <w:bCs/>
          <w:position w:val="-10"/>
          <w:sz w:val="20"/>
          <w:szCs w:val="20"/>
        </w:rPr>
        <w:object w:dxaOrig="3120" w:dyaOrig="320">
          <v:shape id="_x0000_i1036" type="#_x0000_t75" style="width:141.2pt;height:14.05pt" o:ole="">
            <v:imagedata r:id="rId35" o:title=""/>
          </v:shape>
          <o:OLEObject Type="Embed" ProgID="Equation.3" ShapeID="_x0000_i1036" DrawAspect="Content" ObjectID="_1457423408" r:id="rId36"/>
        </w:object>
      </w:r>
      <w:r w:rsidR="00D523EF">
        <w:rPr>
          <w:rFonts w:ascii="Arial" w:hAnsi="Arial" w:cs="Arial"/>
          <w:bCs/>
          <w:sz w:val="20"/>
          <w:szCs w:val="20"/>
        </w:rPr>
        <w:t xml:space="preserve">; ii) </w:t>
      </w:r>
      <w:r w:rsidR="00D523EF" w:rsidRPr="00D523EF">
        <w:rPr>
          <w:rFonts w:ascii="Arial" w:hAnsi="Arial" w:cs="Arial"/>
          <w:bCs/>
          <w:position w:val="-10"/>
          <w:sz w:val="20"/>
          <w:szCs w:val="20"/>
        </w:rPr>
        <w:object w:dxaOrig="3200" w:dyaOrig="320">
          <v:shape id="_x0000_i1037" type="#_x0000_t75" style="width:144.95pt;height:14.05pt" o:ole="">
            <v:imagedata r:id="rId37" o:title=""/>
          </v:shape>
          <o:OLEObject Type="Embed" ProgID="Equation.3" ShapeID="_x0000_i1037" DrawAspect="Content" ObjectID="_1457423409" r:id="rId38"/>
        </w:object>
      </w:r>
      <w:r w:rsidR="00D523EF">
        <w:rPr>
          <w:rFonts w:ascii="Arial" w:hAnsi="Arial" w:cs="Arial"/>
          <w:bCs/>
          <w:sz w:val="20"/>
          <w:szCs w:val="20"/>
        </w:rPr>
        <w:t xml:space="preserve">; iii) </w:t>
      </w:r>
      <w:r w:rsidR="00D523EF" w:rsidRPr="00D523EF">
        <w:rPr>
          <w:rFonts w:ascii="Arial" w:hAnsi="Arial" w:cs="Arial"/>
          <w:bCs/>
          <w:position w:val="-10"/>
          <w:sz w:val="20"/>
          <w:szCs w:val="20"/>
        </w:rPr>
        <w:object w:dxaOrig="999" w:dyaOrig="320">
          <v:shape id="_x0000_i1038" type="#_x0000_t75" style="width:44.9pt;height:14.05pt" o:ole="">
            <v:imagedata r:id="rId39" o:title=""/>
          </v:shape>
          <o:OLEObject Type="Embed" ProgID="Equation.3" ShapeID="_x0000_i1038" DrawAspect="Content" ObjectID="_1457423410" r:id="rId40"/>
        </w:object>
      </w:r>
      <w:r w:rsidR="00D523EF">
        <w:rPr>
          <w:rFonts w:ascii="Arial" w:hAnsi="Arial" w:cs="Arial"/>
          <w:bCs/>
          <w:sz w:val="20"/>
          <w:szCs w:val="20"/>
        </w:rPr>
        <w:t>. D</w:t>
      </w:r>
      <w:r>
        <w:rPr>
          <w:rFonts w:ascii="Arial" w:hAnsi="Arial" w:cs="Arial"/>
          <w:bCs/>
          <w:sz w:val="20"/>
          <w:szCs w:val="20"/>
        </w:rPr>
        <w:t>alla seconda si ha</w:t>
      </w:r>
      <w:r w:rsidR="00D523EF">
        <w:rPr>
          <w:rFonts w:ascii="Arial" w:hAnsi="Arial" w:cs="Arial"/>
          <w:bCs/>
          <w:sz w:val="20"/>
          <w:szCs w:val="20"/>
        </w:rPr>
        <w:t xml:space="preserve">: i) </w:t>
      </w:r>
      <w:r w:rsidR="00D523EF" w:rsidRPr="00D523EF">
        <w:rPr>
          <w:rFonts w:ascii="Arial" w:hAnsi="Arial" w:cs="Arial"/>
          <w:bCs/>
          <w:position w:val="-10"/>
          <w:sz w:val="20"/>
          <w:szCs w:val="20"/>
        </w:rPr>
        <w:object w:dxaOrig="3220" w:dyaOrig="320">
          <v:shape id="_x0000_i1039" type="#_x0000_t75" style="width:145.4pt;height:14.05pt" o:ole="">
            <v:imagedata r:id="rId41" o:title=""/>
          </v:shape>
          <o:OLEObject Type="Embed" ProgID="Equation.3" ShapeID="_x0000_i1039" DrawAspect="Content" ObjectID="_1457423411" r:id="rId42"/>
        </w:object>
      </w:r>
      <w:r w:rsidR="00D523EF">
        <w:rPr>
          <w:rFonts w:ascii="Arial" w:hAnsi="Arial" w:cs="Arial"/>
          <w:bCs/>
          <w:sz w:val="20"/>
          <w:szCs w:val="20"/>
        </w:rPr>
        <w:t xml:space="preserve">; ii) </w:t>
      </w:r>
      <w:r w:rsidR="00D523EF" w:rsidRPr="00D523EF">
        <w:rPr>
          <w:rFonts w:ascii="Arial" w:hAnsi="Arial" w:cs="Arial"/>
          <w:bCs/>
          <w:position w:val="-10"/>
          <w:sz w:val="20"/>
          <w:szCs w:val="20"/>
        </w:rPr>
        <w:object w:dxaOrig="3200" w:dyaOrig="320">
          <v:shape id="_x0000_i1040" type="#_x0000_t75" style="width:144.95pt;height:14.05pt" o:ole="">
            <v:imagedata r:id="rId43" o:title=""/>
          </v:shape>
          <o:OLEObject Type="Embed" ProgID="Equation.3" ShapeID="_x0000_i1040" DrawAspect="Content" ObjectID="_1457423412" r:id="rId44"/>
        </w:object>
      </w:r>
      <w:r w:rsidR="00D523EF">
        <w:rPr>
          <w:rFonts w:ascii="Arial" w:hAnsi="Arial" w:cs="Arial"/>
          <w:bCs/>
          <w:sz w:val="20"/>
          <w:szCs w:val="20"/>
        </w:rPr>
        <w:t xml:space="preserve">; iii) </w:t>
      </w:r>
      <w:r w:rsidR="00D523EF" w:rsidRPr="00D523EF">
        <w:rPr>
          <w:rFonts w:ascii="Arial" w:hAnsi="Arial" w:cs="Arial"/>
          <w:bCs/>
          <w:position w:val="-10"/>
          <w:sz w:val="20"/>
          <w:szCs w:val="20"/>
        </w:rPr>
        <w:object w:dxaOrig="960" w:dyaOrig="320">
          <v:shape id="_x0000_i1041" type="#_x0000_t75" style="width:43.5pt;height:14.05pt" o:ole="">
            <v:imagedata r:id="rId45" o:title=""/>
          </v:shape>
          <o:OLEObject Type="Embed" ProgID="Equation.3" ShapeID="_x0000_i1041" DrawAspect="Content" ObjectID="_1457423413" r:id="rId46"/>
        </w:object>
      </w:r>
      <w:r w:rsidR="00D523EF">
        <w:rPr>
          <w:rFonts w:ascii="Arial" w:hAnsi="Arial" w:cs="Arial"/>
          <w:bCs/>
          <w:sz w:val="20"/>
          <w:szCs w:val="20"/>
        </w:rPr>
        <w:t xml:space="preserve">. </w:t>
      </w:r>
      <w:r>
        <w:rPr>
          <w:rFonts w:ascii="Arial" w:hAnsi="Arial" w:cs="Arial"/>
          <w:bCs/>
          <w:sz w:val="20"/>
          <w:szCs w:val="20"/>
        </w:rPr>
        <w:lastRenderedPageBreak/>
        <w:t>Queste uguaglianze valgono per qualsiasi livello di aggregazione</w:t>
      </w:r>
      <w:r w:rsidR="00D523EF">
        <w:rPr>
          <w:rFonts w:ascii="Arial" w:hAnsi="Arial" w:cs="Arial"/>
          <w:bCs/>
          <w:sz w:val="20"/>
          <w:szCs w:val="20"/>
        </w:rPr>
        <w:t xml:space="preserve">. </w:t>
      </w:r>
      <w:r w:rsidRPr="00244036">
        <w:rPr>
          <w:rFonts w:ascii="Arial" w:hAnsi="Arial" w:cs="Arial"/>
          <w:bCs/>
          <w:sz w:val="20"/>
          <w:szCs w:val="20"/>
        </w:rPr>
        <w:t>Le variabili rilevate</w:t>
      </w:r>
      <w:r>
        <w:rPr>
          <w:rFonts w:ascii="Arial" w:hAnsi="Arial" w:cs="Arial"/>
          <w:bCs/>
          <w:sz w:val="20"/>
          <w:szCs w:val="20"/>
        </w:rPr>
        <w:t>,</w:t>
      </w:r>
      <w:r w:rsidRPr="00244036">
        <w:rPr>
          <w:rFonts w:ascii="Arial" w:hAnsi="Arial" w:cs="Arial"/>
          <w:bCs/>
          <w:sz w:val="20"/>
          <w:szCs w:val="20"/>
        </w:rPr>
        <w:t xml:space="preserve"> si calcolano prima longitudinalmente (o per colonna: indici in base di calcolo) quindi per riga (indici in base di riferimento). Le variabili di sintesi si calcolano direttamente per riga (indici in base di riferimento).</w:t>
      </w:r>
      <w:r w:rsidR="00D523EF">
        <w:rPr>
          <w:rFonts w:ascii="Arial" w:hAnsi="Arial" w:cs="Arial"/>
          <w:bCs/>
          <w:sz w:val="20"/>
          <w:szCs w:val="20"/>
        </w:rPr>
        <w:t xml:space="preserve"> </w:t>
      </w:r>
      <w:r>
        <w:rPr>
          <w:rFonts w:ascii="Arial" w:hAnsi="Arial" w:cs="Arial"/>
          <w:bCs/>
          <w:sz w:val="20"/>
          <w:szCs w:val="20"/>
        </w:rPr>
        <w:t xml:space="preserve">Data la generica variabile </w:t>
      </w:r>
      <w:r w:rsidRPr="00AD2539">
        <w:rPr>
          <w:rFonts w:ascii="Arial" w:hAnsi="Arial" w:cs="Arial"/>
          <w:bCs/>
          <w:position w:val="-6"/>
          <w:sz w:val="20"/>
          <w:szCs w:val="20"/>
        </w:rPr>
        <w:object w:dxaOrig="240" w:dyaOrig="279">
          <v:shape id="_x0000_i1042" type="#_x0000_t75" style="width:11.2pt;height:12.6pt" o:ole="">
            <v:imagedata r:id="rId13" o:title=""/>
          </v:shape>
          <o:OLEObject Type="Embed" ProgID="Equation.3" ShapeID="_x0000_i1042" DrawAspect="Content" ObjectID="_1457423414" r:id="rId47"/>
        </w:object>
      </w:r>
      <w:r>
        <w:rPr>
          <w:rFonts w:ascii="Arial" w:hAnsi="Arial" w:cs="Arial"/>
          <w:bCs/>
          <w:sz w:val="20"/>
          <w:szCs w:val="20"/>
        </w:rPr>
        <w:t xml:space="preserve">, la struttura ponderale è un vettore di valori (pesi): ogni aggregato elementare della variabile, </w:t>
      </w:r>
      <w:r w:rsidRPr="00686EF5">
        <w:rPr>
          <w:rFonts w:ascii="Arial" w:hAnsi="Arial" w:cs="Arial"/>
          <w:bCs/>
          <w:position w:val="-12"/>
          <w:sz w:val="20"/>
          <w:szCs w:val="20"/>
        </w:rPr>
        <w:object w:dxaOrig="320" w:dyaOrig="360">
          <v:shape id="_x0000_i1043" type="#_x0000_t75" style="width:14.05pt;height:16.35pt" o:ole="">
            <v:imagedata r:id="rId48" o:title=""/>
          </v:shape>
          <o:OLEObject Type="Embed" ProgID="Equation.3" ShapeID="_x0000_i1043" DrawAspect="Content" ObjectID="_1457423415" r:id="rId49"/>
        </w:object>
      </w:r>
      <w:r>
        <w:rPr>
          <w:rFonts w:ascii="Arial" w:hAnsi="Arial" w:cs="Arial"/>
          <w:bCs/>
          <w:sz w:val="20"/>
          <w:szCs w:val="20"/>
        </w:rPr>
        <w:t xml:space="preserve">, ha il corrispondente peso assoluto </w:t>
      </w:r>
      <w:r w:rsidRPr="00686EF5">
        <w:rPr>
          <w:rFonts w:ascii="Arial" w:hAnsi="Arial" w:cs="Arial"/>
          <w:bCs/>
          <w:position w:val="-12"/>
          <w:sz w:val="20"/>
          <w:szCs w:val="20"/>
        </w:rPr>
        <w:object w:dxaOrig="680" w:dyaOrig="360">
          <v:shape id="_x0000_i1044" type="#_x0000_t75" style="width:30.85pt;height:16.35pt" o:ole="">
            <v:imagedata r:id="rId50" o:title=""/>
          </v:shape>
          <o:OLEObject Type="Embed" ProgID="Equation.3" ShapeID="_x0000_i1044" DrawAspect="Content" ObjectID="_1457423416" r:id="rId51"/>
        </w:object>
      </w:r>
      <w:r>
        <w:rPr>
          <w:rFonts w:ascii="Arial" w:hAnsi="Arial" w:cs="Arial"/>
          <w:bCs/>
          <w:sz w:val="20"/>
          <w:szCs w:val="20"/>
        </w:rPr>
        <w:t xml:space="preserve"> che viene normalizzato, cioè espresso in termini unitari rapportandolo alla somma dei pesi assoluti: </w:t>
      </w:r>
      <w:r w:rsidRPr="007C64B1">
        <w:rPr>
          <w:rFonts w:ascii="Arial" w:hAnsi="Arial" w:cs="Arial"/>
          <w:bCs/>
          <w:position w:val="-32"/>
          <w:sz w:val="20"/>
          <w:szCs w:val="20"/>
        </w:rPr>
        <w:object w:dxaOrig="1880" w:dyaOrig="700">
          <v:shape id="_x0000_i1045" type="#_x0000_t75" style="width:84.6pt;height:31.3pt" o:ole="">
            <v:imagedata r:id="rId52" o:title=""/>
          </v:shape>
          <o:OLEObject Type="Embed" ProgID="Equation.3" ShapeID="_x0000_i1045" DrawAspect="Content" ObjectID="_1457423417" r:id="rId53"/>
        </w:object>
      </w:r>
      <w:r>
        <w:rPr>
          <w:rFonts w:ascii="Arial" w:hAnsi="Arial" w:cs="Arial"/>
          <w:bCs/>
          <w:sz w:val="20"/>
          <w:szCs w:val="20"/>
        </w:rPr>
        <w:t xml:space="preserve"> da cui </w:t>
      </w:r>
      <w:r w:rsidRPr="00CB4B70">
        <w:rPr>
          <w:rFonts w:ascii="Arial" w:hAnsi="Arial" w:cs="Arial"/>
          <w:bCs/>
          <w:position w:val="-16"/>
          <w:sz w:val="20"/>
          <w:szCs w:val="20"/>
        </w:rPr>
        <w:object w:dxaOrig="1540" w:dyaOrig="420">
          <v:shape id="_x0000_i1046" type="#_x0000_t75" style="width:69.2pt;height:18.7pt" o:ole="">
            <v:imagedata r:id="rId54" o:title=""/>
          </v:shape>
          <o:OLEObject Type="Embed" ProgID="Equation.3" ShapeID="_x0000_i1046" DrawAspect="Content" ObjectID="_1457423418" r:id="rId55"/>
        </w:object>
      </w:r>
      <w:r>
        <w:rPr>
          <w:rFonts w:ascii="Arial" w:hAnsi="Arial" w:cs="Arial"/>
          <w:bCs/>
          <w:sz w:val="20"/>
          <w:szCs w:val="20"/>
        </w:rPr>
        <w:t xml:space="preserve">. La struttura di ponderazione è nidificata: questa caratteristica deriva direttamente dalla classificazione. Da ciò segue che dati due aggregati, </w:t>
      </w:r>
      <w:r w:rsidRPr="00CB4B70">
        <w:rPr>
          <w:rFonts w:ascii="Arial" w:hAnsi="Arial" w:cs="Arial"/>
          <w:bCs/>
          <w:position w:val="-10"/>
          <w:sz w:val="20"/>
          <w:szCs w:val="20"/>
        </w:rPr>
        <w:object w:dxaOrig="1260" w:dyaOrig="320">
          <v:shape id="_x0000_i1047" type="#_x0000_t75" style="width:57.05pt;height:14.05pt" o:ole="">
            <v:imagedata r:id="rId56" o:title=""/>
          </v:shape>
          <o:OLEObject Type="Embed" ProgID="Equation.3" ShapeID="_x0000_i1047" DrawAspect="Content" ObjectID="_1457423419" r:id="rId57"/>
        </w:object>
      </w:r>
      <w:r>
        <w:rPr>
          <w:rFonts w:ascii="Arial" w:hAnsi="Arial" w:cs="Arial"/>
          <w:bCs/>
          <w:sz w:val="20"/>
          <w:szCs w:val="20"/>
        </w:rPr>
        <w:t xml:space="preserve">, </w:t>
      </w:r>
      <w:r w:rsidRPr="00446760">
        <w:rPr>
          <w:rFonts w:ascii="Arial" w:hAnsi="Arial" w:cs="Arial"/>
          <w:bCs/>
          <w:position w:val="-16"/>
          <w:sz w:val="20"/>
          <w:szCs w:val="20"/>
        </w:rPr>
        <w:object w:dxaOrig="2840" w:dyaOrig="420">
          <v:shape id="_x0000_i1048" type="#_x0000_t75" style="width:127.65pt;height:18.7pt" o:ole="">
            <v:imagedata r:id="rId58" o:title=""/>
          </v:shape>
          <o:OLEObject Type="Embed" ProgID="Equation.3" ShapeID="_x0000_i1048" DrawAspect="Content" ObjectID="_1457423420" r:id="rId59"/>
        </w:object>
      </w:r>
      <w:r>
        <w:rPr>
          <w:rFonts w:ascii="Arial" w:hAnsi="Arial" w:cs="Arial"/>
          <w:bCs/>
          <w:sz w:val="20"/>
          <w:szCs w:val="20"/>
        </w:rPr>
        <w:t xml:space="preserve"> cioè gli indici calcolati longitudinalmente sono, per costruzione, additivi.</w:t>
      </w:r>
      <w:r w:rsidR="00D523EF">
        <w:rPr>
          <w:rFonts w:ascii="Arial" w:hAnsi="Arial" w:cs="Arial"/>
          <w:bCs/>
          <w:sz w:val="20"/>
          <w:szCs w:val="20"/>
        </w:rPr>
        <w:t xml:space="preserve"> </w:t>
      </w:r>
      <w:r>
        <w:rPr>
          <w:rFonts w:ascii="Arial" w:hAnsi="Arial" w:cs="Arial"/>
          <w:bCs/>
          <w:sz w:val="20"/>
          <w:szCs w:val="20"/>
        </w:rPr>
        <w:t xml:space="preserve">Con riferimento al livello di aggregazione </w:t>
      </w:r>
      <w:r w:rsidRPr="00574483">
        <w:rPr>
          <w:rFonts w:ascii="Arial" w:hAnsi="Arial" w:cs="Arial"/>
          <w:bCs/>
          <w:position w:val="-6"/>
          <w:sz w:val="20"/>
          <w:szCs w:val="20"/>
        </w:rPr>
        <w:object w:dxaOrig="200" w:dyaOrig="220">
          <v:shape id="_x0000_i1049" type="#_x0000_t75" style="width:8.9pt;height:9.8pt" o:ole="">
            <v:imagedata r:id="rId60" o:title=""/>
          </v:shape>
          <o:OLEObject Type="Embed" ProgID="Equation.3" ShapeID="_x0000_i1049" DrawAspect="Content" ObjectID="_1457423421" r:id="rId61"/>
        </w:object>
      </w:r>
      <w:r>
        <w:rPr>
          <w:rFonts w:ascii="Arial" w:hAnsi="Arial" w:cs="Arial"/>
          <w:bCs/>
          <w:sz w:val="20"/>
          <w:szCs w:val="20"/>
        </w:rPr>
        <w:t>, dalle uguaglianze definite sopra, segue che:</w:t>
      </w:r>
    </w:p>
    <w:p w:rsidR="00165090" w:rsidRDefault="00165090" w:rsidP="00D523EF">
      <w:pPr>
        <w:spacing w:after="120"/>
        <w:ind w:left="1814"/>
        <w:jc w:val="both"/>
        <w:rPr>
          <w:rFonts w:ascii="Arial" w:hAnsi="Arial" w:cs="Arial"/>
          <w:bCs/>
          <w:sz w:val="20"/>
          <w:szCs w:val="20"/>
        </w:rPr>
      </w:pPr>
      <w:r w:rsidRPr="00593D5A">
        <w:rPr>
          <w:rFonts w:ascii="Arial" w:hAnsi="Arial" w:cs="Arial"/>
          <w:bCs/>
          <w:position w:val="-12"/>
          <w:sz w:val="20"/>
          <w:szCs w:val="20"/>
        </w:rPr>
        <w:object w:dxaOrig="2640" w:dyaOrig="360">
          <v:shape id="_x0000_i1050" type="#_x0000_t75" style="width:119.2pt;height:16.35pt" o:ole="">
            <v:imagedata r:id="rId62" o:title=""/>
          </v:shape>
          <o:OLEObject Type="Embed" ProgID="Equation.3" ShapeID="_x0000_i1050" DrawAspect="Content" ObjectID="_1457423422" r:id="rId63"/>
        </w:object>
      </w:r>
      <w:r w:rsidR="00D523EF">
        <w:rPr>
          <w:rFonts w:ascii="Arial" w:hAnsi="Arial" w:cs="Arial"/>
          <w:bCs/>
          <w:sz w:val="20"/>
          <w:szCs w:val="20"/>
        </w:rPr>
        <w:t xml:space="preserve">, </w:t>
      </w:r>
      <w:r>
        <w:rPr>
          <w:rFonts w:ascii="Arial" w:hAnsi="Arial" w:cs="Arial"/>
          <w:bCs/>
          <w:sz w:val="20"/>
          <w:szCs w:val="20"/>
        </w:rPr>
        <w:t xml:space="preserve">dove, utilizzando la notazione introdotta, se </w:t>
      </w:r>
      <w:r w:rsidRPr="00CC3BD5">
        <w:rPr>
          <w:rFonts w:ascii="Arial" w:hAnsi="Arial" w:cs="Arial"/>
          <w:bCs/>
          <w:position w:val="-10"/>
          <w:sz w:val="20"/>
          <w:szCs w:val="20"/>
        </w:rPr>
        <w:object w:dxaOrig="2360" w:dyaOrig="320">
          <v:shape id="_x0000_i1051" type="#_x0000_t75" style="width:106.6pt;height:14.05pt" o:ole="">
            <v:imagedata r:id="rId64" o:title=""/>
          </v:shape>
          <o:OLEObject Type="Embed" ProgID="Equation.3" ShapeID="_x0000_i1051" DrawAspect="Content" ObjectID="_1457423423" r:id="rId65"/>
        </w:object>
      </w:r>
      <w:r>
        <w:rPr>
          <w:rFonts w:ascii="Arial" w:hAnsi="Arial" w:cs="Arial"/>
          <w:bCs/>
          <w:sz w:val="20"/>
          <w:szCs w:val="20"/>
        </w:rPr>
        <w:t xml:space="preserve"> cioè se </w:t>
      </w:r>
      <w:r w:rsidRPr="00AD2539">
        <w:rPr>
          <w:rFonts w:ascii="Arial" w:hAnsi="Arial" w:cs="Arial"/>
          <w:bCs/>
          <w:position w:val="-4"/>
          <w:sz w:val="20"/>
          <w:szCs w:val="20"/>
        </w:rPr>
        <w:object w:dxaOrig="240" w:dyaOrig="260">
          <v:shape id="_x0000_i1052" type="#_x0000_t75" style="width:10.3pt;height:12.15pt" o:ole="">
            <v:imagedata r:id="rId15" o:title=""/>
          </v:shape>
          <o:OLEObject Type="Embed" ProgID="Equation.3" ShapeID="_x0000_i1052" DrawAspect="Content" ObjectID="_1457423424" r:id="rId66"/>
        </w:object>
      </w:r>
      <w:r>
        <w:rPr>
          <w:rFonts w:ascii="Arial" w:hAnsi="Arial" w:cs="Arial"/>
          <w:bCs/>
          <w:sz w:val="20"/>
          <w:szCs w:val="20"/>
        </w:rPr>
        <w:t xml:space="preserve"> indica la sintesi mercato estero, allora la coppia </w:t>
      </w:r>
      <w:r w:rsidRPr="00CC3BD5">
        <w:rPr>
          <w:rFonts w:ascii="Arial" w:hAnsi="Arial" w:cs="Arial"/>
          <w:bCs/>
          <w:position w:val="-10"/>
          <w:sz w:val="20"/>
          <w:szCs w:val="20"/>
        </w:rPr>
        <w:object w:dxaOrig="940" w:dyaOrig="320">
          <v:shape id="_x0000_i1053" type="#_x0000_t75" style="width:42.55pt;height:14.05pt" o:ole="">
            <v:imagedata r:id="rId67" o:title=""/>
          </v:shape>
          <o:OLEObject Type="Embed" ProgID="Equation.3" ShapeID="_x0000_i1053" DrawAspect="Content" ObjectID="_1457423425" r:id="rId68"/>
        </w:object>
      </w:r>
      <w:r>
        <w:rPr>
          <w:rFonts w:ascii="Arial" w:hAnsi="Arial" w:cs="Arial"/>
          <w:bCs/>
          <w:sz w:val="20"/>
          <w:szCs w:val="20"/>
        </w:rPr>
        <w:t xml:space="preserve"> indica le aree euro e non euro; se </w:t>
      </w:r>
      <w:r w:rsidRPr="00CC3BD5">
        <w:rPr>
          <w:rFonts w:ascii="Arial" w:hAnsi="Arial" w:cs="Arial"/>
          <w:bCs/>
          <w:position w:val="-10"/>
          <w:sz w:val="20"/>
          <w:szCs w:val="20"/>
        </w:rPr>
        <w:object w:dxaOrig="2400" w:dyaOrig="320">
          <v:shape id="_x0000_i1054" type="#_x0000_t75" style="width:108pt;height:14.05pt" o:ole="">
            <v:imagedata r:id="rId69" o:title=""/>
          </v:shape>
          <o:OLEObject Type="Embed" ProgID="Equation.3" ShapeID="_x0000_i1054" DrawAspect="Content" ObjectID="_1457423426" r:id="rId70"/>
        </w:object>
      </w:r>
      <w:r>
        <w:rPr>
          <w:rFonts w:ascii="Arial" w:hAnsi="Arial" w:cs="Arial"/>
          <w:bCs/>
          <w:sz w:val="20"/>
          <w:szCs w:val="20"/>
        </w:rPr>
        <w:t xml:space="preserve"> cioè se</w:t>
      </w:r>
      <w:r w:rsidRPr="00AD2539">
        <w:rPr>
          <w:rFonts w:ascii="Arial" w:hAnsi="Arial" w:cs="Arial"/>
          <w:bCs/>
          <w:position w:val="-4"/>
          <w:sz w:val="20"/>
          <w:szCs w:val="20"/>
        </w:rPr>
        <w:object w:dxaOrig="240" w:dyaOrig="260">
          <v:shape id="_x0000_i1055" type="#_x0000_t75" style="width:10.3pt;height:12.15pt" o:ole="">
            <v:imagedata r:id="rId15" o:title=""/>
          </v:shape>
          <o:OLEObject Type="Embed" ProgID="Equation.3" ShapeID="_x0000_i1055" DrawAspect="Content" ObjectID="_1457423427" r:id="rId71"/>
        </w:object>
      </w:r>
      <w:r>
        <w:rPr>
          <w:rFonts w:ascii="Arial" w:hAnsi="Arial" w:cs="Arial"/>
          <w:bCs/>
          <w:sz w:val="20"/>
          <w:szCs w:val="20"/>
        </w:rPr>
        <w:t xml:space="preserve"> indica la sintesi totale, allora la coppia </w:t>
      </w:r>
      <w:r w:rsidRPr="00CC3BD5">
        <w:rPr>
          <w:rFonts w:ascii="Arial" w:hAnsi="Arial" w:cs="Arial"/>
          <w:bCs/>
          <w:position w:val="-10"/>
          <w:sz w:val="20"/>
          <w:szCs w:val="20"/>
        </w:rPr>
        <w:object w:dxaOrig="940" w:dyaOrig="320">
          <v:shape id="_x0000_i1056" type="#_x0000_t75" style="width:42.55pt;height:14.05pt" o:ole="">
            <v:imagedata r:id="rId67" o:title=""/>
          </v:shape>
          <o:OLEObject Type="Embed" ProgID="Equation.3" ShapeID="_x0000_i1056" DrawAspect="Content" ObjectID="_1457423428" r:id="rId72"/>
        </w:object>
      </w:r>
      <w:r>
        <w:rPr>
          <w:rFonts w:ascii="Arial" w:hAnsi="Arial" w:cs="Arial"/>
          <w:bCs/>
          <w:sz w:val="20"/>
          <w:szCs w:val="20"/>
        </w:rPr>
        <w:t xml:space="preserve"> indica i mercati interno ed estero.</w:t>
      </w:r>
      <w:r w:rsidR="00D523EF">
        <w:rPr>
          <w:rFonts w:ascii="Arial" w:hAnsi="Arial" w:cs="Arial"/>
          <w:bCs/>
          <w:sz w:val="20"/>
          <w:szCs w:val="20"/>
        </w:rPr>
        <w:t xml:space="preserve"> </w:t>
      </w:r>
      <w:r w:rsidR="00507329">
        <w:rPr>
          <w:rFonts w:ascii="Arial" w:hAnsi="Arial" w:cs="Arial"/>
          <w:bCs/>
          <w:sz w:val="20"/>
          <w:szCs w:val="20"/>
        </w:rPr>
        <w:t xml:space="preserve">Banalmente, </w:t>
      </w:r>
      <w:r>
        <w:rPr>
          <w:rFonts w:ascii="Arial" w:hAnsi="Arial" w:cs="Arial"/>
          <w:bCs/>
          <w:sz w:val="20"/>
          <w:szCs w:val="20"/>
        </w:rPr>
        <w:t xml:space="preserve">dato </w:t>
      </w:r>
      <w:r w:rsidRPr="00574483">
        <w:rPr>
          <w:rFonts w:ascii="Arial" w:hAnsi="Arial" w:cs="Arial"/>
          <w:bCs/>
          <w:position w:val="-6"/>
          <w:sz w:val="20"/>
          <w:szCs w:val="20"/>
        </w:rPr>
        <w:object w:dxaOrig="200" w:dyaOrig="220">
          <v:shape id="_x0000_i1057" type="#_x0000_t75" style="width:8.9pt;height:9.8pt" o:ole="">
            <v:imagedata r:id="rId60" o:title=""/>
          </v:shape>
          <o:OLEObject Type="Embed" ProgID="Equation.3" ShapeID="_x0000_i1057" DrawAspect="Content" ObjectID="_1457423429" r:id="rId73"/>
        </w:object>
      </w:r>
      <w:r>
        <w:rPr>
          <w:rFonts w:ascii="Arial" w:hAnsi="Arial" w:cs="Arial"/>
          <w:bCs/>
          <w:sz w:val="20"/>
          <w:szCs w:val="20"/>
        </w:rPr>
        <w:t xml:space="preserve">, se </w:t>
      </w:r>
      <w:r w:rsidRPr="004443E7">
        <w:rPr>
          <w:rFonts w:ascii="Arial" w:hAnsi="Arial" w:cs="Arial"/>
          <w:bCs/>
          <w:position w:val="-12"/>
          <w:sz w:val="20"/>
          <w:szCs w:val="20"/>
        </w:rPr>
        <w:object w:dxaOrig="3120" w:dyaOrig="360">
          <v:shape id="_x0000_i1058" type="#_x0000_t75" style="width:141.2pt;height:16.35pt" o:ole="">
            <v:imagedata r:id="rId74" o:title=""/>
          </v:shape>
          <o:OLEObject Type="Embed" ProgID="Equation.3" ShapeID="_x0000_i1058" DrawAspect="Content" ObjectID="_1457423430" r:id="rId75"/>
        </w:object>
      </w:r>
      <w:r>
        <w:rPr>
          <w:rFonts w:ascii="Arial" w:hAnsi="Arial" w:cs="Arial"/>
          <w:bCs/>
          <w:sz w:val="20"/>
          <w:szCs w:val="20"/>
        </w:rPr>
        <w:t>; esprimendo i pesi relativi in termini unitari otteniamo la seguente</w:t>
      </w:r>
      <w:r w:rsidRPr="00AD3B98">
        <w:rPr>
          <w:rFonts w:ascii="Arial" w:hAnsi="Arial" w:cs="Arial"/>
          <w:bCs/>
          <w:position w:val="-12"/>
          <w:sz w:val="20"/>
          <w:szCs w:val="20"/>
        </w:rPr>
        <w:object w:dxaOrig="3019" w:dyaOrig="360">
          <v:shape id="_x0000_i1059" type="#_x0000_t75" style="width:136.5pt;height:16.35pt" o:ole="">
            <v:imagedata r:id="rId76" o:title=""/>
          </v:shape>
          <o:OLEObject Type="Embed" ProgID="Equation.3" ShapeID="_x0000_i1059" DrawAspect="Content" ObjectID="_1457423431" r:id="rId77"/>
        </w:object>
      </w:r>
      <w:r>
        <w:rPr>
          <w:rFonts w:ascii="Arial" w:hAnsi="Arial" w:cs="Arial"/>
          <w:bCs/>
          <w:sz w:val="20"/>
          <w:szCs w:val="20"/>
        </w:rPr>
        <w:t>e quindi:</w:t>
      </w:r>
      <w:r w:rsidRPr="00AD3B98">
        <w:rPr>
          <w:rFonts w:ascii="Arial" w:hAnsi="Arial" w:cs="Arial"/>
          <w:bCs/>
          <w:position w:val="-12"/>
          <w:sz w:val="20"/>
          <w:szCs w:val="20"/>
        </w:rPr>
        <w:object w:dxaOrig="2120" w:dyaOrig="360">
          <v:shape id="_x0000_i1060" type="#_x0000_t75" style="width:95.85pt;height:16.35pt" o:ole="">
            <v:imagedata r:id="rId78" o:title=""/>
          </v:shape>
          <o:OLEObject Type="Embed" ProgID="Equation.3" ShapeID="_x0000_i1060" DrawAspect="Content" ObjectID="_1457423432" r:id="rId79"/>
        </w:object>
      </w:r>
      <w:r>
        <w:rPr>
          <w:rFonts w:ascii="Arial" w:hAnsi="Arial" w:cs="Arial"/>
          <w:bCs/>
          <w:sz w:val="20"/>
          <w:szCs w:val="20"/>
        </w:rPr>
        <w:t xml:space="preserve"> ovvero </w:t>
      </w:r>
      <w:r w:rsidRPr="00AD3B98">
        <w:rPr>
          <w:rFonts w:ascii="Arial" w:hAnsi="Arial" w:cs="Arial"/>
          <w:bCs/>
          <w:position w:val="-12"/>
          <w:sz w:val="20"/>
          <w:szCs w:val="20"/>
        </w:rPr>
        <w:object w:dxaOrig="2120" w:dyaOrig="360">
          <v:shape id="_x0000_i1061" type="#_x0000_t75" style="width:95.85pt;height:16.35pt" o:ole="">
            <v:imagedata r:id="rId80" o:title=""/>
          </v:shape>
          <o:OLEObject Type="Embed" ProgID="Equation.3" ShapeID="_x0000_i1061" DrawAspect="Content" ObjectID="_1457423433" r:id="rId81"/>
        </w:object>
      </w:r>
      <w:r>
        <w:rPr>
          <w:rFonts w:ascii="Arial" w:hAnsi="Arial" w:cs="Arial"/>
          <w:bCs/>
          <w:sz w:val="20"/>
          <w:szCs w:val="20"/>
        </w:rPr>
        <w:t xml:space="preserve"> con </w:t>
      </w:r>
      <w:r w:rsidRPr="00AD3B98">
        <w:rPr>
          <w:rFonts w:ascii="Arial" w:hAnsi="Arial" w:cs="Arial"/>
          <w:bCs/>
          <w:position w:val="-12"/>
          <w:sz w:val="20"/>
          <w:szCs w:val="20"/>
        </w:rPr>
        <w:object w:dxaOrig="2000" w:dyaOrig="360">
          <v:shape id="_x0000_i1062" type="#_x0000_t75" style="width:90.25pt;height:16.35pt" o:ole="">
            <v:imagedata r:id="rId82" o:title=""/>
          </v:shape>
          <o:OLEObject Type="Embed" ProgID="Equation.3" ShapeID="_x0000_i1062" DrawAspect="Content" ObjectID="_1457423434" r:id="rId83"/>
        </w:object>
      </w:r>
      <w:r>
        <w:rPr>
          <w:rFonts w:ascii="Arial" w:hAnsi="Arial" w:cs="Arial"/>
          <w:bCs/>
          <w:sz w:val="20"/>
          <w:szCs w:val="20"/>
        </w:rPr>
        <w:t xml:space="preserve">. Segue che se: </w:t>
      </w:r>
      <w:r w:rsidRPr="00AD3B98">
        <w:rPr>
          <w:rFonts w:ascii="Arial" w:hAnsi="Arial" w:cs="Arial"/>
          <w:bCs/>
          <w:position w:val="-12"/>
          <w:sz w:val="20"/>
          <w:szCs w:val="20"/>
        </w:rPr>
        <w:object w:dxaOrig="2620" w:dyaOrig="360">
          <v:shape id="_x0000_i1063" type="#_x0000_t75" style="width:118.75pt;height:16.35pt" o:ole="">
            <v:imagedata r:id="rId84" o:title=""/>
          </v:shape>
          <o:OLEObject Type="Embed" ProgID="Equation.3" ShapeID="_x0000_i1063" DrawAspect="Content" ObjectID="_1457423435" r:id="rId85"/>
        </w:object>
      </w:r>
      <w:r>
        <w:rPr>
          <w:rFonts w:ascii="Arial" w:hAnsi="Arial" w:cs="Arial"/>
          <w:bCs/>
          <w:sz w:val="20"/>
          <w:szCs w:val="20"/>
        </w:rPr>
        <w:t xml:space="preserve">; </w:t>
      </w:r>
      <w:r w:rsidRPr="00AD3B98">
        <w:rPr>
          <w:rFonts w:ascii="Arial" w:hAnsi="Arial" w:cs="Arial"/>
          <w:bCs/>
          <w:position w:val="-12"/>
          <w:sz w:val="20"/>
          <w:szCs w:val="20"/>
        </w:rPr>
        <w:object w:dxaOrig="2620" w:dyaOrig="360">
          <v:shape id="_x0000_i1064" type="#_x0000_t75" style="width:118.75pt;height:16.35pt" o:ole="">
            <v:imagedata r:id="rId86" o:title=""/>
          </v:shape>
          <o:OLEObject Type="Embed" ProgID="Equation.3" ShapeID="_x0000_i1064" DrawAspect="Content" ObjectID="_1457423436" r:id="rId87"/>
        </w:object>
      </w:r>
      <w:r>
        <w:rPr>
          <w:rFonts w:ascii="Arial" w:hAnsi="Arial" w:cs="Arial"/>
          <w:bCs/>
          <w:sz w:val="20"/>
          <w:szCs w:val="20"/>
        </w:rPr>
        <w:t>.</w:t>
      </w:r>
    </w:p>
    <w:p w:rsidR="00D84B66" w:rsidRPr="0074653D" w:rsidRDefault="00D84B66" w:rsidP="00D84B66">
      <w:pPr>
        <w:spacing w:after="120"/>
        <w:jc w:val="both"/>
        <w:rPr>
          <w:rFonts w:ascii="Arial" w:hAnsi="Arial" w:cs="Arial"/>
          <w:bCs/>
          <w:sz w:val="20"/>
          <w:szCs w:val="20"/>
        </w:rPr>
      </w:pPr>
    </w:p>
    <w:p w:rsidR="00D84B66" w:rsidRDefault="00E943CF" w:rsidP="00D84B66">
      <w:pPr>
        <w:spacing w:after="120"/>
        <w:ind w:left="1814"/>
        <w:jc w:val="both"/>
        <w:rPr>
          <w:rFonts w:ascii="Arial" w:hAnsi="Arial" w:cs="Arial"/>
          <w:bCs/>
          <w:sz w:val="20"/>
          <w:szCs w:val="20"/>
        </w:rPr>
      </w:pPr>
      <w:r w:rsidRPr="00E943CF">
        <w:rPr>
          <w:rFonts w:ascii="Arial" w:hAnsi="Arial" w:cs="Arial"/>
          <w:b/>
          <w:bCs/>
          <w:sz w:val="20"/>
          <w:szCs w:val="20"/>
        </w:rPr>
        <w:t xml:space="preserve">Attualizzazione della struttura ponderale: il metodo </w:t>
      </w:r>
      <w:proofErr w:type="spellStart"/>
      <w:r w:rsidRPr="0074653D">
        <w:rPr>
          <w:rFonts w:ascii="Arial" w:hAnsi="Arial" w:cs="Arial"/>
          <w:b/>
          <w:bCs/>
          <w:sz w:val="20"/>
          <w:szCs w:val="20"/>
        </w:rPr>
        <w:t>p</w:t>
      </w:r>
      <w:r w:rsidR="00D84B66" w:rsidRPr="0074653D">
        <w:rPr>
          <w:rFonts w:ascii="Arial" w:hAnsi="Arial" w:cs="Arial"/>
          <w:b/>
          <w:bCs/>
          <w:sz w:val="20"/>
          <w:szCs w:val="20"/>
        </w:rPr>
        <w:t>rice-updating</w:t>
      </w:r>
      <w:proofErr w:type="spellEnd"/>
      <w:r w:rsidR="00D84B66">
        <w:rPr>
          <w:rFonts w:ascii="Arial" w:hAnsi="Arial" w:cs="Arial"/>
          <w:b/>
          <w:bCs/>
          <w:sz w:val="20"/>
          <w:szCs w:val="20"/>
        </w:rPr>
        <w:t>.</w:t>
      </w:r>
      <w:r w:rsidR="00D84B66" w:rsidRPr="008E61AC">
        <w:rPr>
          <w:rFonts w:ascii="Arial" w:hAnsi="Arial" w:cs="Arial"/>
          <w:bCs/>
          <w:sz w:val="20"/>
          <w:szCs w:val="20"/>
        </w:rPr>
        <w:t xml:space="preserve"> </w:t>
      </w:r>
      <w:r w:rsidR="00D84B66">
        <w:rPr>
          <w:rFonts w:ascii="Arial" w:hAnsi="Arial" w:cs="Arial"/>
          <w:bCs/>
          <w:sz w:val="20"/>
          <w:szCs w:val="20"/>
        </w:rPr>
        <w:t xml:space="preserve">A partire </w:t>
      </w:r>
      <w:r w:rsidR="00EA315D">
        <w:rPr>
          <w:rFonts w:ascii="Arial" w:hAnsi="Arial" w:cs="Arial"/>
          <w:bCs/>
          <w:sz w:val="20"/>
          <w:szCs w:val="20"/>
        </w:rPr>
        <w:t>dal 2014, l’algoritmo per attualizzare la struttura ponderale annuale alla base di calcolo mensile (nel caso specifico il mese di dicembre 2013) si allinea a quello previsto per gli indici dei prezzi al consumo</w:t>
      </w:r>
      <w:r w:rsidR="00D84B66">
        <w:rPr>
          <w:rFonts w:ascii="Arial" w:hAnsi="Arial" w:cs="Arial"/>
          <w:bCs/>
          <w:sz w:val="20"/>
          <w:szCs w:val="20"/>
        </w:rPr>
        <w:t xml:space="preserve">. La differenza con questi ultimi riguarda la distanza che separa la base di calcolo mensile dai dati finali della struttura di ponderazione: nel caso degli indici dei prezzi alla produzione, i dati finali delle statistiche strutturali disponibili si riferiscono all’anno (y-2). L’attualizzazione </w:t>
      </w:r>
      <w:r w:rsidR="00084E6C">
        <w:rPr>
          <w:rFonts w:ascii="Arial" w:hAnsi="Arial" w:cs="Arial"/>
          <w:bCs/>
          <w:sz w:val="20"/>
          <w:szCs w:val="20"/>
        </w:rPr>
        <w:t xml:space="preserve">del peso </w:t>
      </w:r>
      <w:r w:rsidR="00D84B66">
        <w:rPr>
          <w:rFonts w:ascii="Arial" w:hAnsi="Arial" w:cs="Arial"/>
          <w:bCs/>
          <w:sz w:val="20"/>
          <w:szCs w:val="20"/>
        </w:rPr>
        <w:t>da (y-2) a y viene effettuata in due fasi: da (y-2) a (y-1) e da (y-1) a y</w:t>
      </w:r>
      <w:r w:rsidR="00D84B66">
        <w:rPr>
          <w:rStyle w:val="Rimandonotaapidipagina"/>
          <w:rFonts w:ascii="Arial" w:hAnsi="Arial" w:cs="Arial"/>
          <w:bCs/>
          <w:sz w:val="20"/>
          <w:szCs w:val="20"/>
        </w:rPr>
        <w:footnoteReference w:id="11"/>
      </w:r>
      <w:r w:rsidR="00D84B66">
        <w:rPr>
          <w:rFonts w:ascii="Arial" w:hAnsi="Arial" w:cs="Arial"/>
          <w:bCs/>
          <w:sz w:val="20"/>
          <w:szCs w:val="20"/>
        </w:rPr>
        <w:t>.</w:t>
      </w:r>
    </w:p>
    <w:p w:rsidR="00D84B66" w:rsidRPr="00551564" w:rsidRDefault="00D84B66" w:rsidP="00D84B66">
      <w:pPr>
        <w:spacing w:after="120"/>
        <w:ind w:left="1814"/>
        <w:jc w:val="both"/>
        <w:rPr>
          <w:rFonts w:ascii="Arial" w:hAnsi="Arial" w:cs="Arial"/>
          <w:bCs/>
          <w:sz w:val="20"/>
          <w:szCs w:val="20"/>
        </w:rPr>
      </w:pPr>
      <w:r>
        <w:rPr>
          <w:rFonts w:ascii="Arial" w:hAnsi="Arial" w:cs="Arial"/>
          <w:bCs/>
          <w:sz w:val="20"/>
          <w:szCs w:val="20"/>
        </w:rPr>
        <w:t xml:space="preserve">Con riferimento al generico aggregato k, indicando con y l’anno della base di calcolo, il peso annuale al tempo (y-2) è attualizzato </w:t>
      </w:r>
      <w:r w:rsidR="00EA315D">
        <w:rPr>
          <w:rFonts w:ascii="Arial" w:hAnsi="Arial" w:cs="Arial"/>
          <w:bCs/>
          <w:sz w:val="20"/>
          <w:szCs w:val="20"/>
        </w:rPr>
        <w:t>al mese di dicembre dell’anno</w:t>
      </w:r>
      <w:r>
        <w:rPr>
          <w:rFonts w:ascii="Arial" w:hAnsi="Arial" w:cs="Arial"/>
          <w:bCs/>
          <w:sz w:val="20"/>
          <w:szCs w:val="20"/>
        </w:rPr>
        <w:t xml:space="preserve"> (y-1) attraverso un coefficiente composto da due fattori: l’indice di prezzo nel mese di dicembre dell’anno (y-1) e il rapporto tra l’indice del mese di dicembre dell’anno (y-2) e quello medio annuo dell’anno (y-2). E’ il caso di osservare che gli indici di prezzo sono quelli in base di calcolo. </w:t>
      </w:r>
    </w:p>
    <w:p w:rsidR="00D84B66" w:rsidRPr="00551564" w:rsidRDefault="00D84B66" w:rsidP="00D84B66">
      <w:pPr>
        <w:spacing w:after="120"/>
        <w:ind w:left="1814"/>
        <w:jc w:val="both"/>
        <w:rPr>
          <w:rFonts w:ascii="Arial" w:hAnsi="Arial" w:cs="Arial"/>
          <w:bCs/>
          <w:sz w:val="20"/>
          <w:szCs w:val="20"/>
        </w:rPr>
      </w:pPr>
    </w:p>
    <w:bookmarkStart w:id="1" w:name="_MON_1455607096"/>
    <w:bookmarkEnd w:id="1"/>
    <w:p w:rsidR="00D84B66" w:rsidRDefault="00D84B66" w:rsidP="00D84B66">
      <w:pPr>
        <w:spacing w:after="120"/>
        <w:ind w:left="1814"/>
        <w:jc w:val="both"/>
      </w:pPr>
      <w:r w:rsidRPr="00BC701E">
        <w:object w:dxaOrig="5003" w:dyaOrig="904">
          <v:shape id="_x0000_i1065" type="#_x0000_t75" style="width:250.6pt;height:44.9pt" o:ole="">
            <v:imagedata r:id="rId88" o:title=""/>
          </v:shape>
          <o:OLEObject Type="Embed" ProgID="Word.Document.12" ShapeID="_x0000_i1065" DrawAspect="Content" ObjectID="_1457423437" r:id="rId89">
            <o:FieldCodes>\s</o:FieldCodes>
          </o:OLEObject>
        </w:object>
      </w:r>
    </w:p>
    <w:p w:rsidR="00D84B66" w:rsidRDefault="00D84B66" w:rsidP="00D84B66">
      <w:pPr>
        <w:spacing w:after="120"/>
        <w:ind w:left="1814"/>
        <w:jc w:val="both"/>
        <w:rPr>
          <w:rFonts w:ascii="Arial" w:hAnsi="Arial" w:cs="Arial"/>
          <w:bCs/>
          <w:sz w:val="20"/>
          <w:szCs w:val="20"/>
        </w:rPr>
      </w:pPr>
      <w:r>
        <w:rPr>
          <w:rFonts w:ascii="Arial" w:hAnsi="Arial" w:cs="Arial"/>
          <w:bCs/>
          <w:sz w:val="20"/>
          <w:szCs w:val="20"/>
        </w:rPr>
        <w:t>Una volta attualizzato il peso al mese di dicembre dell’anno (y-1), si effettua l’attualizzazione al mese di dicembre dell’anno y, procedendo in modo analogo.</w:t>
      </w:r>
    </w:p>
    <w:p w:rsidR="00D84B66" w:rsidRDefault="00D84B66" w:rsidP="00D84B66">
      <w:pPr>
        <w:spacing w:after="120"/>
        <w:ind w:left="1814"/>
        <w:jc w:val="both"/>
        <w:rPr>
          <w:rFonts w:ascii="Arial" w:hAnsi="Arial" w:cs="Arial"/>
          <w:bCs/>
          <w:sz w:val="20"/>
          <w:szCs w:val="20"/>
        </w:rPr>
      </w:pPr>
    </w:p>
    <w:bookmarkStart w:id="2" w:name="_MON_1455607145"/>
    <w:bookmarkEnd w:id="2"/>
    <w:p w:rsidR="00D84B66" w:rsidRPr="00B77A0A" w:rsidRDefault="00D84B66" w:rsidP="00D84B66">
      <w:pPr>
        <w:spacing w:after="120"/>
        <w:ind w:left="1814"/>
        <w:jc w:val="both"/>
      </w:pPr>
      <w:r>
        <w:object w:dxaOrig="3938" w:dyaOrig="920">
          <v:shape id="_x0000_i1066" type="#_x0000_t75" style="width:197.3pt;height:45.8pt" o:ole="">
            <v:imagedata r:id="rId90" o:title=""/>
          </v:shape>
          <o:OLEObject Type="Embed" ProgID="Word.Document.12" ShapeID="_x0000_i1066" DrawAspect="Content" ObjectID="_1457423438" r:id="rId91">
            <o:FieldCodes>\s</o:FieldCodes>
          </o:OLEObject>
        </w:object>
      </w:r>
    </w:p>
    <w:p w:rsidR="00D84B66" w:rsidRDefault="00D84B66" w:rsidP="00D84B66">
      <w:pPr>
        <w:spacing w:after="120"/>
        <w:jc w:val="both"/>
        <w:rPr>
          <w:rFonts w:ascii="Arial" w:hAnsi="Arial" w:cs="Arial"/>
          <w:sz w:val="20"/>
          <w:szCs w:val="20"/>
        </w:rPr>
      </w:pPr>
    </w:p>
    <w:p w:rsidR="00EA315D" w:rsidRPr="00D523EF" w:rsidRDefault="00EA315D" w:rsidP="00D84B66">
      <w:pPr>
        <w:spacing w:after="120"/>
        <w:jc w:val="both"/>
        <w:rPr>
          <w:rFonts w:ascii="Arial" w:hAnsi="Arial" w:cs="Arial"/>
          <w:sz w:val="20"/>
          <w:szCs w:val="20"/>
        </w:rPr>
      </w:pPr>
    </w:p>
    <w:p w:rsidR="00165090" w:rsidRDefault="00165090" w:rsidP="00D523EF">
      <w:pPr>
        <w:spacing w:after="120"/>
        <w:ind w:left="1814"/>
        <w:jc w:val="both"/>
        <w:rPr>
          <w:rFonts w:ascii="Arial" w:hAnsi="Arial" w:cs="Arial"/>
          <w:bCs/>
          <w:sz w:val="20"/>
          <w:szCs w:val="20"/>
        </w:rPr>
      </w:pPr>
      <w:r w:rsidRPr="00850772">
        <w:rPr>
          <w:rFonts w:ascii="Arial" w:hAnsi="Arial" w:cs="Arial"/>
          <w:b/>
          <w:bCs/>
          <w:sz w:val="20"/>
          <w:szCs w:val="20"/>
        </w:rPr>
        <w:lastRenderedPageBreak/>
        <w:t>La base di calcolo</w:t>
      </w:r>
      <w:r>
        <w:rPr>
          <w:rFonts w:ascii="Arial" w:hAnsi="Arial" w:cs="Arial"/>
          <w:bCs/>
          <w:sz w:val="20"/>
          <w:szCs w:val="20"/>
        </w:rPr>
        <w:t xml:space="preserve">. Con riferimento al calcolo longitudinale, quello proprio degli indici costruiti in base di calcolo, si distinguono tre livelli di elaborazione. Il primo, al tempo </w:t>
      </w:r>
      <w:r w:rsidRPr="00396D90">
        <w:rPr>
          <w:rFonts w:ascii="Arial" w:hAnsi="Arial" w:cs="Arial"/>
          <w:bCs/>
          <w:position w:val="-10"/>
          <w:sz w:val="20"/>
          <w:szCs w:val="20"/>
        </w:rPr>
        <w:object w:dxaOrig="639" w:dyaOrig="320">
          <v:shape id="_x0000_i1067" type="#_x0000_t75" style="width:29.45pt;height:14.05pt" o:ole="">
            <v:imagedata r:id="rId92" o:title=""/>
          </v:shape>
          <o:OLEObject Type="Embed" ProgID="Equation.3" ShapeID="_x0000_i1067" DrawAspect="Content" ObjectID="_1457423439" r:id="rId93"/>
        </w:object>
      </w:r>
      <w:r>
        <w:rPr>
          <w:rFonts w:ascii="Arial" w:hAnsi="Arial" w:cs="Arial"/>
          <w:bCs/>
          <w:sz w:val="20"/>
          <w:szCs w:val="20"/>
        </w:rPr>
        <w:t xml:space="preserve">, riguarda i prezzi relativi, cioè i quozienti dei rapporti tra le quotazioni correnti – </w:t>
      </w:r>
      <w:r w:rsidRPr="00396D90">
        <w:rPr>
          <w:rFonts w:ascii="Arial" w:hAnsi="Arial" w:cs="Arial"/>
          <w:bCs/>
          <w:position w:val="-10"/>
          <w:sz w:val="20"/>
          <w:szCs w:val="20"/>
        </w:rPr>
        <w:object w:dxaOrig="1020" w:dyaOrig="420">
          <v:shape id="_x0000_i1068" type="#_x0000_t75" style="width:45.8pt;height:18.7pt" o:ole="">
            <v:imagedata r:id="rId94" o:title=""/>
          </v:shape>
          <o:OLEObject Type="Embed" ProgID="Equation.3" ShapeID="_x0000_i1068" DrawAspect="Content" ObjectID="_1457423440" r:id="rId95"/>
        </w:object>
      </w:r>
      <w:r>
        <w:rPr>
          <w:rFonts w:ascii="Arial" w:hAnsi="Arial" w:cs="Arial"/>
          <w:bCs/>
          <w:sz w:val="20"/>
          <w:szCs w:val="20"/>
        </w:rPr>
        <w:t xml:space="preserve"> – delle singole serie di prezzo </w:t>
      </w:r>
      <w:r w:rsidRPr="00396D90">
        <w:rPr>
          <w:rFonts w:ascii="Arial" w:hAnsi="Arial" w:cs="Arial"/>
          <w:bCs/>
          <w:position w:val="-6"/>
          <w:sz w:val="20"/>
          <w:szCs w:val="20"/>
        </w:rPr>
        <w:object w:dxaOrig="180" w:dyaOrig="220">
          <v:shape id="_x0000_i1069" type="#_x0000_t75" style="width:8.9pt;height:11.2pt" o:ole="">
            <v:imagedata r:id="rId96" o:title=""/>
          </v:shape>
          <o:OLEObject Type="Embed" ProgID="Equation.3" ShapeID="_x0000_i1069" DrawAspect="Content" ObjectID="_1457423441" r:id="rId97"/>
        </w:object>
      </w:r>
      <w:r>
        <w:rPr>
          <w:rFonts w:ascii="Arial" w:hAnsi="Arial" w:cs="Arial"/>
          <w:bCs/>
          <w:sz w:val="20"/>
          <w:szCs w:val="20"/>
        </w:rPr>
        <w:t xml:space="preserve"> e le rispettive basi – </w:t>
      </w:r>
      <w:r w:rsidRPr="008D1676">
        <w:rPr>
          <w:rFonts w:ascii="Arial" w:hAnsi="Arial" w:cs="Arial"/>
          <w:bCs/>
          <w:position w:val="-16"/>
          <w:sz w:val="20"/>
          <w:szCs w:val="20"/>
        </w:rPr>
        <w:object w:dxaOrig="800" w:dyaOrig="400">
          <v:shape id="_x0000_i1070" type="#_x0000_t75" style="width:36pt;height:18.25pt" o:ole="">
            <v:imagedata r:id="rId98" o:title=""/>
          </v:shape>
          <o:OLEObject Type="Embed" ProgID="Equation.3" ShapeID="_x0000_i1070" DrawAspect="Content" ObjectID="_1457423442" r:id="rId99"/>
        </w:object>
      </w:r>
      <w:r>
        <w:rPr>
          <w:rFonts w:ascii="Arial" w:hAnsi="Arial" w:cs="Arial"/>
          <w:bCs/>
          <w:sz w:val="20"/>
          <w:szCs w:val="20"/>
        </w:rPr>
        <w:t xml:space="preserve"> – cioè i prezzi del mese di dicembre dell’anno precedente, </w:t>
      </w:r>
      <w:r w:rsidRPr="00396D90">
        <w:rPr>
          <w:rFonts w:ascii="Arial" w:hAnsi="Arial" w:cs="Arial"/>
          <w:bCs/>
          <w:position w:val="-10"/>
          <w:sz w:val="20"/>
          <w:szCs w:val="20"/>
        </w:rPr>
        <w:object w:dxaOrig="660" w:dyaOrig="320">
          <v:shape id="_x0000_i1071" type="#_x0000_t75" style="width:29.9pt;height:14.05pt" o:ole="">
            <v:imagedata r:id="rId100" o:title=""/>
          </v:shape>
          <o:OLEObject Type="Embed" ProgID="Equation.3" ShapeID="_x0000_i1071" DrawAspect="Content" ObjectID="_1457423443" r:id="rId101"/>
        </w:object>
      </w:r>
      <w:r>
        <w:rPr>
          <w:rFonts w:ascii="Arial" w:hAnsi="Arial" w:cs="Arial"/>
          <w:bCs/>
          <w:sz w:val="20"/>
          <w:szCs w:val="20"/>
        </w:rPr>
        <w:t>:</w:t>
      </w:r>
      <w:r>
        <w:rPr>
          <w:rStyle w:val="Rimandonotaapidipagina"/>
          <w:rFonts w:ascii="Arial" w:hAnsi="Arial" w:cs="Arial"/>
          <w:bCs/>
          <w:sz w:val="20"/>
          <w:szCs w:val="20"/>
        </w:rPr>
        <w:footnoteReference w:id="12"/>
      </w:r>
      <w:r>
        <w:rPr>
          <w:rFonts w:ascii="Arial" w:hAnsi="Arial" w:cs="Arial"/>
          <w:bCs/>
          <w:sz w:val="20"/>
          <w:szCs w:val="20"/>
        </w:rPr>
        <w:t xml:space="preserve"> </w:t>
      </w:r>
      <w:r w:rsidRPr="00262200">
        <w:rPr>
          <w:rFonts w:ascii="Arial" w:hAnsi="Arial" w:cs="Arial"/>
          <w:bCs/>
          <w:position w:val="-18"/>
          <w:sz w:val="20"/>
          <w:szCs w:val="20"/>
        </w:rPr>
        <w:object w:dxaOrig="3040" w:dyaOrig="499">
          <v:shape id="_x0000_i1072" type="#_x0000_t75" style="width:135.6pt;height:22.45pt" o:ole="">
            <v:imagedata r:id="rId102" o:title=""/>
          </v:shape>
          <o:OLEObject Type="Embed" ProgID="Equation.3" ShapeID="_x0000_i1072" DrawAspect="Content" ObjectID="_1457423444" r:id="rId103"/>
        </w:object>
      </w:r>
      <w:r>
        <w:rPr>
          <w:rFonts w:ascii="Arial" w:hAnsi="Arial" w:cs="Arial"/>
          <w:bCs/>
          <w:sz w:val="20"/>
          <w:szCs w:val="20"/>
        </w:rPr>
        <w:t xml:space="preserve">. Tale livello costituisce la </w:t>
      </w:r>
      <w:r w:rsidRPr="00593BB4">
        <w:rPr>
          <w:rFonts w:ascii="Arial" w:hAnsi="Arial" w:cs="Arial"/>
          <w:bCs/>
          <w:i/>
          <w:sz w:val="20"/>
          <w:szCs w:val="20"/>
        </w:rPr>
        <w:t>base di calcolo</w:t>
      </w:r>
      <w:r>
        <w:rPr>
          <w:rFonts w:ascii="Arial" w:hAnsi="Arial" w:cs="Arial"/>
          <w:bCs/>
          <w:sz w:val="20"/>
          <w:szCs w:val="20"/>
        </w:rPr>
        <w:t xml:space="preserve"> degli indici mensili dell’anno </w:t>
      </w:r>
      <w:r w:rsidRPr="007A48E3">
        <w:rPr>
          <w:rFonts w:ascii="Arial" w:hAnsi="Arial" w:cs="Arial"/>
          <w:bCs/>
          <w:position w:val="-10"/>
          <w:sz w:val="20"/>
          <w:szCs w:val="20"/>
        </w:rPr>
        <w:object w:dxaOrig="220" w:dyaOrig="260">
          <v:shape id="_x0000_i1073" type="#_x0000_t75" style="width:9.8pt;height:12.15pt" o:ole="">
            <v:imagedata r:id="rId104" o:title=""/>
          </v:shape>
          <o:OLEObject Type="Embed" ProgID="Equation.3" ShapeID="_x0000_i1073" DrawAspect="Content" ObjectID="_1457423445" r:id="rId105"/>
        </w:object>
      </w:r>
      <w:r>
        <w:rPr>
          <w:rFonts w:ascii="Arial" w:hAnsi="Arial" w:cs="Arial"/>
          <w:bCs/>
          <w:sz w:val="20"/>
          <w:szCs w:val="20"/>
        </w:rPr>
        <w:t>.</w:t>
      </w:r>
      <w:r w:rsidR="00D523EF">
        <w:rPr>
          <w:rFonts w:ascii="Arial" w:hAnsi="Arial" w:cs="Arial"/>
          <w:bCs/>
          <w:sz w:val="20"/>
          <w:szCs w:val="20"/>
        </w:rPr>
        <w:t xml:space="preserve"> </w:t>
      </w:r>
      <w:r>
        <w:rPr>
          <w:rFonts w:ascii="Arial" w:hAnsi="Arial" w:cs="Arial"/>
          <w:bCs/>
          <w:sz w:val="20"/>
          <w:szCs w:val="20"/>
        </w:rPr>
        <w:t xml:space="preserve">Il secondo livello della procedura di calcolo è la sintesi, in media geometrica semplice, dei singoli prezzi relativi associati a ciascun prodotto. Il risultato che si ottiene è l’indice elementare di prodotto </w:t>
      </w:r>
      <w:r w:rsidRPr="00082879">
        <w:rPr>
          <w:rFonts w:ascii="Arial" w:hAnsi="Arial" w:cs="Arial"/>
          <w:bCs/>
          <w:position w:val="-6"/>
          <w:sz w:val="20"/>
          <w:szCs w:val="20"/>
        </w:rPr>
        <w:object w:dxaOrig="200" w:dyaOrig="279">
          <v:shape id="_x0000_i1074" type="#_x0000_t75" style="width:8.9pt;height:12.6pt" o:ole="">
            <v:imagedata r:id="rId106" o:title=""/>
          </v:shape>
          <o:OLEObject Type="Embed" ProgID="Equation.3" ShapeID="_x0000_i1074" DrawAspect="Content" ObjectID="_1457423446" r:id="rId107"/>
        </w:object>
      </w:r>
      <w:r>
        <w:rPr>
          <w:rFonts w:ascii="Arial" w:hAnsi="Arial" w:cs="Arial"/>
          <w:bCs/>
          <w:sz w:val="20"/>
          <w:szCs w:val="20"/>
        </w:rPr>
        <w:t>:</w:t>
      </w:r>
      <w:r w:rsidR="00D523EF">
        <w:rPr>
          <w:rFonts w:ascii="Arial" w:hAnsi="Arial" w:cs="Arial"/>
          <w:bCs/>
          <w:sz w:val="20"/>
          <w:szCs w:val="20"/>
        </w:rPr>
        <w:t xml:space="preserve"> </w:t>
      </w:r>
      <w:r w:rsidRPr="00082879">
        <w:rPr>
          <w:rFonts w:ascii="Arial" w:hAnsi="Arial" w:cs="Arial"/>
          <w:bCs/>
          <w:position w:val="-38"/>
          <w:sz w:val="20"/>
          <w:szCs w:val="20"/>
        </w:rPr>
        <w:object w:dxaOrig="4660" w:dyaOrig="740">
          <v:shape id="_x0000_i1075" type="#_x0000_t75" style="width:209.9pt;height:33.2pt" o:ole="">
            <v:imagedata r:id="rId108" o:title=""/>
          </v:shape>
          <o:OLEObject Type="Embed" ProgID="Equation.3" ShapeID="_x0000_i1075" DrawAspect="Content" ObjectID="_1457423447" r:id="rId109"/>
        </w:object>
      </w:r>
      <w:r>
        <w:rPr>
          <w:rFonts w:ascii="Arial" w:hAnsi="Arial" w:cs="Arial"/>
          <w:bCs/>
          <w:sz w:val="20"/>
          <w:szCs w:val="20"/>
        </w:rPr>
        <w:t xml:space="preserve">. Il terzo livello è costituito dalle aggregazioni di ordine superiore ai prodotti: si tratta di medie aritmetiche ponderate (formula tipo </w:t>
      </w:r>
      <w:proofErr w:type="spellStart"/>
      <w:r>
        <w:rPr>
          <w:rFonts w:ascii="Arial" w:hAnsi="Arial" w:cs="Arial"/>
          <w:bCs/>
          <w:sz w:val="20"/>
          <w:szCs w:val="20"/>
        </w:rPr>
        <w:t>Laspeyres</w:t>
      </w:r>
      <w:proofErr w:type="spellEnd"/>
      <w:r>
        <w:rPr>
          <w:rFonts w:ascii="Arial" w:hAnsi="Arial" w:cs="Arial"/>
          <w:bCs/>
          <w:sz w:val="20"/>
          <w:szCs w:val="20"/>
        </w:rPr>
        <w:t xml:space="preserve"> concatenato) che si ottengono, per qualsiasi aggregato </w:t>
      </w:r>
      <w:r w:rsidRPr="007676C0">
        <w:rPr>
          <w:rFonts w:ascii="Arial" w:hAnsi="Arial" w:cs="Arial"/>
          <w:bCs/>
          <w:position w:val="-6"/>
          <w:sz w:val="20"/>
          <w:szCs w:val="20"/>
        </w:rPr>
        <w:object w:dxaOrig="200" w:dyaOrig="220">
          <v:shape id="_x0000_i1076" type="#_x0000_t75" style="width:8.9pt;height:9.8pt" o:ole="">
            <v:imagedata r:id="rId110" o:title=""/>
          </v:shape>
          <o:OLEObject Type="Embed" ProgID="Equation.3" ShapeID="_x0000_i1076" DrawAspect="Content" ObjectID="_1457423448" r:id="rId111"/>
        </w:object>
      </w:r>
      <w:r>
        <w:rPr>
          <w:rFonts w:ascii="Arial" w:hAnsi="Arial" w:cs="Arial"/>
          <w:bCs/>
          <w:sz w:val="20"/>
          <w:szCs w:val="20"/>
        </w:rPr>
        <w:t>, partendo dagli indici elementari di prodotto. La struttura ponderale è derivata da una classificazione nidificata. Ciò significa che la somma dei pesi relativi per qualsiasi livello di aggregazione riproduce il peso unitario dell’indice generale. In formule:</w:t>
      </w:r>
      <w:r w:rsidR="00D523EF">
        <w:rPr>
          <w:rFonts w:ascii="Arial" w:hAnsi="Arial" w:cs="Arial"/>
          <w:bCs/>
          <w:sz w:val="20"/>
          <w:szCs w:val="20"/>
        </w:rPr>
        <w:t xml:space="preserve"> </w:t>
      </w:r>
      <w:r w:rsidRPr="0088740F">
        <w:rPr>
          <w:rFonts w:ascii="Arial" w:hAnsi="Arial" w:cs="Arial"/>
          <w:bCs/>
          <w:position w:val="-38"/>
          <w:sz w:val="20"/>
          <w:szCs w:val="20"/>
        </w:rPr>
        <w:object w:dxaOrig="5240" w:dyaOrig="700">
          <v:shape id="_x0000_i1077" type="#_x0000_t75" style="width:235.65pt;height:31.3pt" o:ole="">
            <v:imagedata r:id="rId112" o:title=""/>
          </v:shape>
          <o:OLEObject Type="Embed" ProgID="Equation.3" ShapeID="_x0000_i1077" DrawAspect="Content" ObjectID="_1457423449" r:id="rId113"/>
        </w:object>
      </w:r>
      <w:r w:rsidR="00D523EF">
        <w:rPr>
          <w:rFonts w:ascii="Arial" w:hAnsi="Arial" w:cs="Arial"/>
          <w:bCs/>
          <w:sz w:val="20"/>
          <w:szCs w:val="20"/>
        </w:rPr>
        <w:t xml:space="preserve"> </w:t>
      </w:r>
      <w:r>
        <w:rPr>
          <w:rFonts w:ascii="Arial" w:hAnsi="Arial" w:cs="Arial"/>
          <w:bCs/>
          <w:sz w:val="20"/>
          <w:szCs w:val="20"/>
        </w:rPr>
        <w:t xml:space="preserve">dove </w:t>
      </w:r>
      <w:r w:rsidRPr="00DF0E04">
        <w:rPr>
          <w:rFonts w:ascii="Arial" w:hAnsi="Arial" w:cs="Arial"/>
          <w:bCs/>
          <w:position w:val="-16"/>
          <w:sz w:val="20"/>
          <w:szCs w:val="20"/>
        </w:rPr>
        <w:object w:dxaOrig="840" w:dyaOrig="400">
          <v:shape id="_x0000_i1078" type="#_x0000_t75" style="width:38.35pt;height:18.25pt" o:ole="">
            <v:imagedata r:id="rId114" o:title=""/>
          </v:shape>
          <o:OLEObject Type="Embed" ProgID="Equation.3" ShapeID="_x0000_i1078" DrawAspect="Content" ObjectID="_1457423450" r:id="rId115"/>
        </w:object>
      </w:r>
      <w:r>
        <w:rPr>
          <w:rFonts w:ascii="Arial" w:hAnsi="Arial" w:cs="Arial"/>
          <w:bCs/>
          <w:sz w:val="20"/>
          <w:szCs w:val="20"/>
        </w:rPr>
        <w:t xml:space="preserve">è il peso relativo in scala unitaria associato al prodotto </w:t>
      </w:r>
      <w:r w:rsidRPr="00082879">
        <w:rPr>
          <w:rFonts w:ascii="Arial" w:hAnsi="Arial" w:cs="Arial"/>
          <w:bCs/>
          <w:position w:val="-6"/>
          <w:sz w:val="20"/>
          <w:szCs w:val="20"/>
        </w:rPr>
        <w:object w:dxaOrig="200" w:dyaOrig="279">
          <v:shape id="_x0000_i1079" type="#_x0000_t75" style="width:8.9pt;height:12.6pt" o:ole="">
            <v:imagedata r:id="rId106" o:title=""/>
          </v:shape>
          <o:OLEObject Type="Embed" ProgID="Equation.3" ShapeID="_x0000_i1079" DrawAspect="Content" ObjectID="_1457423451" r:id="rId116"/>
        </w:object>
      </w:r>
      <w:r>
        <w:rPr>
          <w:rFonts w:ascii="Arial" w:hAnsi="Arial" w:cs="Arial"/>
          <w:bCs/>
          <w:sz w:val="20"/>
          <w:szCs w:val="20"/>
        </w:rPr>
        <w:t xml:space="preserve"> (ovvero all’aggregato </w:t>
      </w:r>
      <w:r w:rsidRPr="007676C0">
        <w:rPr>
          <w:rFonts w:ascii="Arial" w:hAnsi="Arial" w:cs="Arial"/>
          <w:bCs/>
          <w:position w:val="-6"/>
          <w:sz w:val="20"/>
          <w:szCs w:val="20"/>
        </w:rPr>
        <w:object w:dxaOrig="200" w:dyaOrig="220">
          <v:shape id="_x0000_i1080" type="#_x0000_t75" style="width:8.9pt;height:9.8pt" o:ole="">
            <v:imagedata r:id="rId117" o:title=""/>
          </v:shape>
          <o:OLEObject Type="Embed" ProgID="Equation.3" ShapeID="_x0000_i1080" DrawAspect="Content" ObjectID="_1457423452" r:id="rId118"/>
        </w:object>
      </w:r>
      <w:r>
        <w:rPr>
          <w:rFonts w:ascii="Arial" w:hAnsi="Arial" w:cs="Arial"/>
          <w:bCs/>
          <w:sz w:val="20"/>
          <w:szCs w:val="20"/>
        </w:rPr>
        <w:t xml:space="preserve">) della generica variabile rilevata </w:t>
      </w:r>
      <w:r w:rsidRPr="00AC0675">
        <w:rPr>
          <w:rFonts w:ascii="Arial" w:hAnsi="Arial" w:cs="Arial"/>
          <w:bCs/>
          <w:position w:val="-6"/>
          <w:sz w:val="20"/>
          <w:szCs w:val="20"/>
        </w:rPr>
        <w:object w:dxaOrig="240" w:dyaOrig="279">
          <v:shape id="_x0000_i1081" type="#_x0000_t75" style="width:11.2pt;height:12.6pt" o:ole="">
            <v:imagedata r:id="rId119" o:title=""/>
          </v:shape>
          <o:OLEObject Type="Embed" ProgID="Equation.3" ShapeID="_x0000_i1081" DrawAspect="Content" ObjectID="_1457423453" r:id="rId120"/>
        </w:object>
      </w:r>
      <w:r>
        <w:rPr>
          <w:rFonts w:ascii="Arial" w:hAnsi="Arial" w:cs="Arial"/>
          <w:bCs/>
          <w:sz w:val="20"/>
          <w:szCs w:val="20"/>
        </w:rPr>
        <w:t>. In sintesi, gli indici (in base di calcolo) delle variabili rilevate sono medie aritmetiche ponderate di medie geometriche di rapporti statistici (prezzi relativi).</w:t>
      </w:r>
    </w:p>
    <w:p w:rsidR="00165090" w:rsidRPr="00D523EF" w:rsidRDefault="00165090" w:rsidP="00165090">
      <w:pPr>
        <w:spacing w:after="120"/>
        <w:ind w:left="1814"/>
        <w:jc w:val="both"/>
        <w:rPr>
          <w:rFonts w:ascii="Arial" w:hAnsi="Arial" w:cs="Arial"/>
          <w:sz w:val="20"/>
          <w:szCs w:val="20"/>
        </w:rPr>
      </w:pPr>
    </w:p>
    <w:p w:rsidR="00165090" w:rsidRDefault="00165090" w:rsidP="00ED0B31">
      <w:pPr>
        <w:spacing w:after="120"/>
        <w:ind w:left="1814"/>
        <w:jc w:val="both"/>
        <w:rPr>
          <w:rFonts w:ascii="Arial" w:hAnsi="Arial" w:cs="Arial"/>
          <w:bCs/>
          <w:sz w:val="20"/>
          <w:szCs w:val="20"/>
        </w:rPr>
      </w:pPr>
      <w:r w:rsidRPr="00D96CEF">
        <w:rPr>
          <w:rFonts w:ascii="Arial" w:hAnsi="Arial" w:cs="Arial"/>
          <w:b/>
          <w:bCs/>
          <w:sz w:val="20"/>
          <w:szCs w:val="20"/>
        </w:rPr>
        <w:t>La base di riferimento</w:t>
      </w:r>
      <w:r>
        <w:rPr>
          <w:rFonts w:ascii="Arial" w:hAnsi="Arial" w:cs="Arial"/>
          <w:bCs/>
          <w:sz w:val="20"/>
          <w:szCs w:val="20"/>
        </w:rPr>
        <w:t xml:space="preserve">. Una volta definiti gli indici in base di calcolo, quelli in base di riferimento, </w:t>
      </w:r>
      <w:r w:rsidRPr="000C4D56">
        <w:rPr>
          <w:rFonts w:ascii="Arial" w:hAnsi="Arial" w:cs="Arial"/>
          <w:bCs/>
          <w:position w:val="-4"/>
          <w:sz w:val="20"/>
          <w:szCs w:val="20"/>
        </w:rPr>
        <w:object w:dxaOrig="240" w:dyaOrig="260">
          <v:shape id="_x0000_i1082" type="#_x0000_t75" style="width:10.3pt;height:12.15pt" o:ole="">
            <v:imagedata r:id="rId121" o:title=""/>
          </v:shape>
          <o:OLEObject Type="Embed" ProgID="Equation.3" ShapeID="_x0000_i1082" DrawAspect="Content" ObjectID="_1457423454" r:id="rId122"/>
        </w:object>
      </w:r>
      <w:r>
        <w:rPr>
          <w:rFonts w:ascii="Arial" w:hAnsi="Arial" w:cs="Arial"/>
          <w:bCs/>
          <w:sz w:val="20"/>
          <w:szCs w:val="20"/>
        </w:rPr>
        <w:t>, si ottengono da</w:t>
      </w:r>
      <w:r w:rsidR="00D523EF">
        <w:rPr>
          <w:rFonts w:ascii="Arial" w:hAnsi="Arial" w:cs="Arial"/>
          <w:bCs/>
          <w:sz w:val="20"/>
          <w:szCs w:val="20"/>
        </w:rPr>
        <w:t xml:space="preserve"> </w:t>
      </w:r>
      <w:r w:rsidRPr="004B12DA">
        <w:rPr>
          <w:rFonts w:ascii="Arial" w:hAnsi="Arial" w:cs="Arial"/>
          <w:bCs/>
          <w:position w:val="-38"/>
          <w:sz w:val="20"/>
          <w:szCs w:val="20"/>
        </w:rPr>
        <w:object w:dxaOrig="3480" w:dyaOrig="859">
          <v:shape id="_x0000_i1083" type="#_x0000_t75" style="width:156.6pt;height:38.8pt" o:ole="">
            <v:imagedata r:id="rId123" o:title=""/>
          </v:shape>
          <o:OLEObject Type="Embed" ProgID="Equation.3" ShapeID="_x0000_i1083" DrawAspect="Content" ObjectID="_1457423455" r:id="rId124"/>
        </w:object>
      </w:r>
      <w:r w:rsidR="00D523EF">
        <w:rPr>
          <w:rFonts w:ascii="Arial" w:hAnsi="Arial" w:cs="Arial"/>
          <w:bCs/>
          <w:sz w:val="20"/>
          <w:szCs w:val="20"/>
        </w:rPr>
        <w:t xml:space="preserve"> </w:t>
      </w:r>
      <w:r w:rsidR="00ED0B31">
        <w:rPr>
          <w:rFonts w:ascii="Cambria Math" w:hAnsi="Cambria Math" w:cs="Arial"/>
          <w:bCs/>
          <w:sz w:val="20"/>
          <w:szCs w:val="20"/>
        </w:rPr>
        <w:t>⇔</w:t>
      </w:r>
      <w:r w:rsidR="00ED0B31">
        <w:rPr>
          <w:rFonts w:ascii="Arial" w:hAnsi="Arial" w:cs="Arial"/>
          <w:bCs/>
          <w:sz w:val="20"/>
          <w:szCs w:val="20"/>
        </w:rPr>
        <w:t xml:space="preserve"> </w:t>
      </w:r>
      <w:r w:rsidRPr="00EF5C29">
        <w:rPr>
          <w:rFonts w:ascii="Arial" w:hAnsi="Arial" w:cs="Arial"/>
          <w:bCs/>
          <w:position w:val="-18"/>
          <w:sz w:val="20"/>
          <w:szCs w:val="20"/>
        </w:rPr>
        <w:object w:dxaOrig="3500" w:dyaOrig="499">
          <v:shape id="_x0000_i1084" type="#_x0000_t75" style="width:158.05pt;height:22.45pt" o:ole="">
            <v:imagedata r:id="rId125" o:title=""/>
          </v:shape>
          <o:OLEObject Type="Embed" ProgID="Equation.3" ShapeID="_x0000_i1084" DrawAspect="Content" ObjectID="_1457423456" r:id="rId126"/>
        </w:object>
      </w:r>
      <w:r w:rsidR="00ED0B31">
        <w:rPr>
          <w:rFonts w:ascii="Arial" w:hAnsi="Arial" w:cs="Arial"/>
          <w:bCs/>
          <w:sz w:val="20"/>
          <w:szCs w:val="20"/>
        </w:rPr>
        <w:t xml:space="preserve">. </w:t>
      </w:r>
      <w:r>
        <w:rPr>
          <w:rFonts w:ascii="Arial" w:hAnsi="Arial" w:cs="Arial"/>
          <w:bCs/>
          <w:sz w:val="20"/>
          <w:szCs w:val="20"/>
        </w:rPr>
        <w:t xml:space="preserve">Gli indici delle variabili di sintesi, come sopra accennato, si calcolano solo in base di riferimento come medie aritmetiche ponderate degli indici concatenati delle variabili rilevate. Sul sistema di ponderazione ci siamo soffermati sopra. Quindi, dato l’aggregato </w:t>
      </w:r>
      <w:r w:rsidRPr="007676C0">
        <w:rPr>
          <w:rFonts w:ascii="Arial" w:hAnsi="Arial" w:cs="Arial"/>
          <w:bCs/>
          <w:position w:val="-6"/>
          <w:sz w:val="20"/>
          <w:szCs w:val="20"/>
        </w:rPr>
        <w:object w:dxaOrig="200" w:dyaOrig="220">
          <v:shape id="_x0000_i1085" type="#_x0000_t75" style="width:8.9pt;height:9.8pt" o:ole="">
            <v:imagedata r:id="rId127" o:title=""/>
          </v:shape>
          <o:OLEObject Type="Embed" ProgID="Equation.3" ShapeID="_x0000_i1085" DrawAspect="Content" ObjectID="_1457423457" r:id="rId128"/>
        </w:object>
      </w:r>
      <w:r>
        <w:rPr>
          <w:rFonts w:ascii="Arial" w:hAnsi="Arial" w:cs="Arial"/>
          <w:bCs/>
          <w:sz w:val="20"/>
          <w:szCs w:val="20"/>
        </w:rPr>
        <w:t xml:space="preserve">, l’indice in base di riferimento al tempo </w:t>
      </w:r>
      <w:r w:rsidRPr="00396D90">
        <w:rPr>
          <w:rFonts w:ascii="Arial" w:hAnsi="Arial" w:cs="Arial"/>
          <w:bCs/>
          <w:position w:val="-10"/>
          <w:sz w:val="20"/>
          <w:szCs w:val="20"/>
        </w:rPr>
        <w:object w:dxaOrig="639" w:dyaOrig="320">
          <v:shape id="_x0000_i1086" type="#_x0000_t75" style="width:29.45pt;height:14.05pt" o:ole="">
            <v:imagedata r:id="rId92" o:title=""/>
          </v:shape>
          <o:OLEObject Type="Embed" ProgID="Equation.3" ShapeID="_x0000_i1086" DrawAspect="Content" ObjectID="_1457423458" r:id="rId129"/>
        </w:object>
      </w:r>
      <w:r>
        <w:rPr>
          <w:rFonts w:ascii="Arial" w:hAnsi="Arial" w:cs="Arial"/>
          <w:bCs/>
          <w:sz w:val="20"/>
          <w:szCs w:val="20"/>
        </w:rPr>
        <w:t xml:space="preserve">, della variabile di sintesi </w:t>
      </w:r>
      <w:r w:rsidRPr="00AD2539">
        <w:rPr>
          <w:rFonts w:ascii="Arial" w:hAnsi="Arial" w:cs="Arial"/>
          <w:bCs/>
          <w:position w:val="-4"/>
          <w:sz w:val="20"/>
          <w:szCs w:val="20"/>
        </w:rPr>
        <w:object w:dxaOrig="240" w:dyaOrig="260">
          <v:shape id="_x0000_i1087" type="#_x0000_t75" style="width:10.3pt;height:12.15pt" o:ole="">
            <v:imagedata r:id="rId15" o:title=""/>
          </v:shape>
          <o:OLEObject Type="Embed" ProgID="Equation.3" ShapeID="_x0000_i1087" DrawAspect="Content" ObjectID="_1457423459" r:id="rId130"/>
        </w:object>
      </w:r>
      <w:r>
        <w:rPr>
          <w:rFonts w:ascii="Arial" w:hAnsi="Arial" w:cs="Arial"/>
          <w:bCs/>
          <w:sz w:val="20"/>
          <w:szCs w:val="20"/>
        </w:rPr>
        <w:t xml:space="preserve"> è dato dalla seguente</w:t>
      </w:r>
      <w:r w:rsidR="00251264">
        <w:rPr>
          <w:rFonts w:ascii="Arial" w:hAnsi="Arial" w:cs="Arial"/>
          <w:bCs/>
          <w:sz w:val="20"/>
          <w:szCs w:val="20"/>
        </w:rPr>
        <w:t>:</w:t>
      </w:r>
    </w:p>
    <w:p w:rsidR="00165090" w:rsidRDefault="00165090" w:rsidP="00165090">
      <w:pPr>
        <w:spacing w:after="120"/>
        <w:ind w:left="1814"/>
        <w:jc w:val="both"/>
        <w:rPr>
          <w:rFonts w:ascii="Arial" w:hAnsi="Arial" w:cs="Arial"/>
          <w:bCs/>
          <w:sz w:val="20"/>
          <w:szCs w:val="20"/>
        </w:rPr>
      </w:pPr>
      <w:r w:rsidRPr="00AD3B98">
        <w:rPr>
          <w:rFonts w:ascii="Arial" w:hAnsi="Arial" w:cs="Arial"/>
          <w:bCs/>
          <w:position w:val="-14"/>
          <w:sz w:val="20"/>
          <w:szCs w:val="20"/>
        </w:rPr>
        <w:object w:dxaOrig="5980" w:dyaOrig="460">
          <v:shape id="_x0000_i1088" type="#_x0000_t75" style="width:269.75pt;height:21.05pt" o:ole="">
            <v:imagedata r:id="rId131" o:title=""/>
          </v:shape>
          <o:OLEObject Type="Embed" ProgID="Equation.3" ShapeID="_x0000_i1088" DrawAspect="Content" ObjectID="_1457423460" r:id="rId132"/>
        </w:object>
      </w:r>
    </w:p>
    <w:p w:rsidR="00165090" w:rsidRDefault="00165090" w:rsidP="00165090">
      <w:pPr>
        <w:spacing w:after="120"/>
        <w:ind w:left="1814"/>
        <w:jc w:val="both"/>
        <w:rPr>
          <w:rFonts w:ascii="Arial" w:hAnsi="Arial" w:cs="Arial"/>
          <w:bCs/>
          <w:sz w:val="20"/>
          <w:szCs w:val="20"/>
        </w:rPr>
      </w:pPr>
      <w:r>
        <w:rPr>
          <w:rFonts w:ascii="Arial" w:hAnsi="Arial" w:cs="Arial"/>
          <w:bCs/>
          <w:sz w:val="20"/>
          <w:szCs w:val="20"/>
        </w:rPr>
        <w:t xml:space="preserve">in cui se </w:t>
      </w:r>
      <w:r w:rsidRPr="00AD2539">
        <w:rPr>
          <w:rFonts w:ascii="Arial" w:hAnsi="Arial" w:cs="Arial"/>
          <w:bCs/>
          <w:position w:val="-4"/>
          <w:sz w:val="20"/>
          <w:szCs w:val="20"/>
        </w:rPr>
        <w:object w:dxaOrig="240" w:dyaOrig="260">
          <v:shape id="_x0000_i1089" type="#_x0000_t75" style="width:10.3pt;height:12.15pt" o:ole="">
            <v:imagedata r:id="rId15" o:title=""/>
          </v:shape>
          <o:OLEObject Type="Embed" ProgID="Equation.3" ShapeID="_x0000_i1089" DrawAspect="Content" ObjectID="_1457423461" r:id="rId133"/>
        </w:object>
      </w:r>
      <w:r>
        <w:rPr>
          <w:rFonts w:ascii="Arial" w:hAnsi="Arial" w:cs="Arial"/>
          <w:bCs/>
          <w:sz w:val="20"/>
          <w:szCs w:val="20"/>
        </w:rPr>
        <w:t xml:space="preserve"> indica i) il mercato estero, allora l’indice concatenato è la media aritmetica ponderata – con pesi relativizzati all’unità – degli indici concatenati delle aree euro e non euro, cioè </w:t>
      </w:r>
      <w:r w:rsidRPr="00CC3BD5">
        <w:rPr>
          <w:rFonts w:ascii="Arial" w:hAnsi="Arial" w:cs="Arial"/>
          <w:bCs/>
          <w:position w:val="-10"/>
          <w:sz w:val="20"/>
          <w:szCs w:val="20"/>
        </w:rPr>
        <w:object w:dxaOrig="2200" w:dyaOrig="320">
          <v:shape id="_x0000_i1090" type="#_x0000_t75" style="width:99.1pt;height:14.05pt" o:ole="">
            <v:imagedata r:id="rId134" o:title=""/>
          </v:shape>
          <o:OLEObject Type="Embed" ProgID="Equation.3" ShapeID="_x0000_i1090" DrawAspect="Content" ObjectID="_1457423462" r:id="rId135"/>
        </w:object>
      </w:r>
      <w:r>
        <w:rPr>
          <w:rFonts w:ascii="Arial" w:hAnsi="Arial" w:cs="Arial"/>
          <w:bCs/>
          <w:sz w:val="20"/>
          <w:szCs w:val="20"/>
        </w:rPr>
        <w:t xml:space="preserve">; ii) l’indice totale, allora l’indice concatenato è la media aritmetica ponderata – con pesi relativizzati all’unità – degli indici concatenati dei mercati interno ed estero: </w:t>
      </w:r>
      <w:r w:rsidRPr="00CC3BD5">
        <w:rPr>
          <w:rFonts w:ascii="Arial" w:hAnsi="Arial" w:cs="Arial"/>
          <w:bCs/>
          <w:position w:val="-10"/>
          <w:sz w:val="20"/>
          <w:szCs w:val="20"/>
        </w:rPr>
        <w:object w:dxaOrig="2160" w:dyaOrig="320">
          <v:shape id="_x0000_i1091" type="#_x0000_t75" style="width:97.7pt;height:14.05pt" o:ole="">
            <v:imagedata r:id="rId136" o:title=""/>
          </v:shape>
          <o:OLEObject Type="Embed" ProgID="Equation.3" ShapeID="_x0000_i1091" DrawAspect="Content" ObjectID="_1457423463" r:id="rId137"/>
        </w:object>
      </w:r>
      <w:r>
        <w:rPr>
          <w:rFonts w:ascii="Arial" w:hAnsi="Arial" w:cs="Arial"/>
          <w:bCs/>
          <w:sz w:val="20"/>
          <w:szCs w:val="20"/>
        </w:rPr>
        <w:t>.</w:t>
      </w:r>
    </w:p>
    <w:p w:rsidR="00165090" w:rsidRPr="00ED0B31" w:rsidRDefault="00165090" w:rsidP="000E7AF8">
      <w:pPr>
        <w:spacing w:after="120"/>
        <w:ind w:left="1814"/>
        <w:jc w:val="both"/>
        <w:rPr>
          <w:rFonts w:ascii="Arial" w:hAnsi="Arial" w:cs="Arial"/>
          <w:sz w:val="20"/>
          <w:szCs w:val="20"/>
        </w:rPr>
      </w:pPr>
    </w:p>
    <w:p w:rsidR="00165090" w:rsidRPr="00D523EF" w:rsidRDefault="00165090" w:rsidP="00D523EF">
      <w:pPr>
        <w:spacing w:after="120"/>
        <w:ind w:left="1814"/>
        <w:rPr>
          <w:rFonts w:ascii="Arial" w:hAnsi="Arial" w:cs="Arial"/>
          <w:sz w:val="20"/>
          <w:szCs w:val="20"/>
        </w:rPr>
      </w:pPr>
      <w:r>
        <w:rPr>
          <w:rFonts w:ascii="Arial" w:hAnsi="Arial" w:cs="Arial"/>
          <w:b/>
          <w:sz w:val="22"/>
          <w:szCs w:val="22"/>
        </w:rPr>
        <w:t>Variazioni unitarie e loro scomposizione</w:t>
      </w:r>
      <w:r w:rsidR="00C976ED">
        <w:rPr>
          <w:rFonts w:ascii="Arial" w:hAnsi="Arial" w:cs="Arial"/>
          <w:b/>
          <w:sz w:val="22"/>
          <w:szCs w:val="22"/>
        </w:rPr>
        <w:t xml:space="preserve">. </w:t>
      </w:r>
      <w:r>
        <w:rPr>
          <w:rFonts w:ascii="Arial" w:hAnsi="Arial" w:cs="Arial"/>
          <w:sz w:val="20"/>
          <w:szCs w:val="20"/>
        </w:rPr>
        <w:t xml:space="preserve">Dato un generico aggregato </w:t>
      </w:r>
      <w:r w:rsidRPr="003F010B">
        <w:rPr>
          <w:rFonts w:ascii="Arial" w:hAnsi="Arial" w:cs="Arial"/>
          <w:position w:val="-6"/>
          <w:sz w:val="20"/>
          <w:szCs w:val="20"/>
        </w:rPr>
        <w:object w:dxaOrig="200" w:dyaOrig="220">
          <v:shape id="_x0000_i1092" type="#_x0000_t75" style="width:8.9pt;height:9.8pt" o:ole="">
            <v:imagedata r:id="rId138" o:title=""/>
          </v:shape>
          <o:OLEObject Type="Embed" ProgID="Equation.3" ShapeID="_x0000_i1092" DrawAspect="Content" ObjectID="_1457423464" r:id="rId139"/>
        </w:object>
      </w:r>
      <w:r>
        <w:rPr>
          <w:rFonts w:ascii="Arial" w:hAnsi="Arial" w:cs="Arial"/>
          <w:sz w:val="20"/>
          <w:szCs w:val="20"/>
        </w:rPr>
        <w:t xml:space="preserve">, la </w:t>
      </w:r>
      <w:r w:rsidRPr="00F6439D">
        <w:rPr>
          <w:rFonts w:ascii="Arial" w:hAnsi="Arial" w:cs="Arial"/>
          <w:i/>
          <w:sz w:val="20"/>
          <w:szCs w:val="20"/>
        </w:rPr>
        <w:t>variazione congiunturale</w:t>
      </w:r>
      <w:r>
        <w:rPr>
          <w:rFonts w:ascii="Arial" w:hAnsi="Arial" w:cs="Arial"/>
          <w:sz w:val="20"/>
          <w:szCs w:val="20"/>
        </w:rPr>
        <w:t xml:space="preserve"> è data dalla </w:t>
      </w:r>
      <w:r w:rsidRPr="00A31B12">
        <w:rPr>
          <w:rFonts w:ascii="Arial" w:hAnsi="Arial" w:cs="Arial"/>
          <w:sz w:val="20"/>
          <w:szCs w:val="20"/>
        </w:rPr>
        <w:t>formula seguente</w:t>
      </w:r>
      <w:r>
        <w:rPr>
          <w:rFonts w:ascii="Arial" w:hAnsi="Arial" w:cs="Arial"/>
          <w:sz w:val="20"/>
          <w:szCs w:val="20"/>
        </w:rPr>
        <w:t>:</w:t>
      </w:r>
      <w:r w:rsidR="00D523EF">
        <w:rPr>
          <w:rFonts w:ascii="Arial" w:hAnsi="Arial" w:cs="Arial"/>
          <w:sz w:val="20"/>
          <w:szCs w:val="20"/>
        </w:rPr>
        <w:t xml:space="preserve"> </w:t>
      </w:r>
      <w:r w:rsidRPr="002E603B">
        <w:rPr>
          <w:rFonts w:ascii="Arial" w:hAnsi="Arial" w:cs="Arial"/>
          <w:position w:val="-14"/>
          <w:sz w:val="20"/>
          <w:szCs w:val="20"/>
        </w:rPr>
        <w:object w:dxaOrig="5580" w:dyaOrig="460">
          <v:shape id="_x0000_i1093" type="#_x0000_t75" style="width:250.6pt;height:21.05pt" o:ole="">
            <v:imagedata r:id="rId140" o:title=""/>
          </v:shape>
          <o:OLEObject Type="Embed" ProgID="Equation.3" ShapeID="_x0000_i1093" DrawAspect="Content" ObjectID="_1457423465" r:id="rId141"/>
        </w:object>
      </w:r>
      <w:r>
        <w:rPr>
          <w:rFonts w:ascii="Arial" w:hAnsi="Arial" w:cs="Arial"/>
          <w:sz w:val="20"/>
          <w:szCs w:val="20"/>
        </w:rPr>
        <w:t xml:space="preserve"> dove </w:t>
      </w:r>
      <w:r w:rsidRPr="00A31B12">
        <w:rPr>
          <w:rFonts w:ascii="Arial" w:hAnsi="Arial" w:cs="Arial"/>
          <w:position w:val="-14"/>
          <w:sz w:val="20"/>
          <w:szCs w:val="20"/>
        </w:rPr>
        <w:object w:dxaOrig="859" w:dyaOrig="460">
          <v:shape id="_x0000_i1094" type="#_x0000_t75" style="width:38.8pt;height:21.05pt" o:ole="">
            <v:imagedata r:id="rId142" o:title=""/>
          </v:shape>
          <o:OLEObject Type="Embed" ProgID="Equation.3" ShapeID="_x0000_i1094" DrawAspect="Content" ObjectID="_1457423466" r:id="rId143"/>
        </w:object>
      </w:r>
      <w:r w:rsidRPr="00A31B12">
        <w:rPr>
          <w:rFonts w:ascii="Arial" w:hAnsi="Arial" w:cs="Arial"/>
          <w:sz w:val="20"/>
          <w:szCs w:val="20"/>
        </w:rPr>
        <w:t xml:space="preserve"> è l’indice </w:t>
      </w:r>
      <w:r>
        <w:rPr>
          <w:rFonts w:ascii="Arial" w:hAnsi="Arial" w:cs="Arial"/>
          <w:sz w:val="20"/>
          <w:szCs w:val="20"/>
        </w:rPr>
        <w:t xml:space="preserve">del generico </w:t>
      </w:r>
      <w:r w:rsidRPr="00A31B12">
        <w:rPr>
          <w:rFonts w:ascii="Arial" w:hAnsi="Arial" w:cs="Arial"/>
          <w:sz w:val="20"/>
          <w:szCs w:val="20"/>
        </w:rPr>
        <w:t xml:space="preserve">aggregato </w:t>
      </w:r>
      <w:r>
        <w:rPr>
          <w:rFonts w:ascii="Arial" w:hAnsi="Arial" w:cs="Arial"/>
          <w:sz w:val="20"/>
          <w:szCs w:val="20"/>
        </w:rPr>
        <w:t xml:space="preserve">–  </w:t>
      </w:r>
      <w:r w:rsidRPr="00A31B12">
        <w:rPr>
          <w:rFonts w:ascii="Arial" w:hAnsi="Arial" w:cs="Arial"/>
          <w:sz w:val="20"/>
          <w:szCs w:val="20"/>
        </w:rPr>
        <w:t>in base di riferimento</w:t>
      </w:r>
      <w:r>
        <w:rPr>
          <w:rFonts w:ascii="Arial" w:hAnsi="Arial" w:cs="Arial"/>
          <w:sz w:val="20"/>
          <w:szCs w:val="20"/>
        </w:rPr>
        <w:t xml:space="preserve"> –</w:t>
      </w:r>
      <w:r w:rsidRPr="00A31B12">
        <w:rPr>
          <w:rFonts w:ascii="Arial" w:hAnsi="Arial" w:cs="Arial"/>
          <w:sz w:val="20"/>
          <w:szCs w:val="20"/>
        </w:rPr>
        <w:t xml:space="preserve"> nel mese </w:t>
      </w:r>
      <w:r w:rsidRPr="00A31B12">
        <w:rPr>
          <w:rFonts w:ascii="Arial" w:hAnsi="Arial" w:cs="Arial"/>
          <w:position w:val="-6"/>
          <w:sz w:val="20"/>
          <w:szCs w:val="20"/>
        </w:rPr>
        <w:object w:dxaOrig="260" w:dyaOrig="220">
          <v:shape id="_x0000_i1095" type="#_x0000_t75" style="width:12.6pt;height:11.2pt" o:ole="">
            <v:imagedata r:id="rId144" o:title=""/>
          </v:shape>
          <o:OLEObject Type="Embed" ProgID="Equation.3" ShapeID="_x0000_i1095" DrawAspect="Content" ObjectID="_1457423467" r:id="rId145"/>
        </w:object>
      </w:r>
      <w:r w:rsidRPr="00A31B12">
        <w:rPr>
          <w:rFonts w:ascii="Arial" w:hAnsi="Arial" w:cs="Arial"/>
          <w:sz w:val="20"/>
          <w:szCs w:val="20"/>
        </w:rPr>
        <w:t xml:space="preserve"> dell’anno </w:t>
      </w:r>
      <w:r w:rsidRPr="00A31B12">
        <w:rPr>
          <w:rFonts w:ascii="Arial" w:hAnsi="Arial" w:cs="Arial"/>
          <w:position w:val="-10"/>
          <w:sz w:val="20"/>
          <w:szCs w:val="20"/>
        </w:rPr>
        <w:object w:dxaOrig="220" w:dyaOrig="260">
          <v:shape id="_x0000_i1096" type="#_x0000_t75" style="width:11.2pt;height:12.6pt" o:ole="">
            <v:imagedata r:id="rId146" o:title=""/>
          </v:shape>
          <o:OLEObject Type="Embed" ProgID="Equation.3" ShapeID="_x0000_i1096" DrawAspect="Content" ObjectID="_1457423468" r:id="rId147"/>
        </w:object>
      </w:r>
      <w:r w:rsidRPr="00A31B12">
        <w:rPr>
          <w:rFonts w:ascii="Arial" w:hAnsi="Arial" w:cs="Arial"/>
          <w:sz w:val="20"/>
          <w:szCs w:val="20"/>
        </w:rPr>
        <w:t xml:space="preserve">, arrotondato al primo decimale. Se </w:t>
      </w:r>
      <w:r w:rsidRPr="00A31B12">
        <w:rPr>
          <w:rFonts w:ascii="Arial" w:hAnsi="Arial" w:cs="Arial"/>
          <w:position w:val="-10"/>
          <w:sz w:val="20"/>
          <w:szCs w:val="20"/>
        </w:rPr>
        <w:object w:dxaOrig="520" w:dyaOrig="320">
          <v:shape id="_x0000_i1097" type="#_x0000_t75" style="width:23.4pt;height:14.05pt" o:ole="">
            <v:imagedata r:id="rId148" o:title=""/>
          </v:shape>
          <o:OLEObject Type="Embed" ProgID="Equation.3" ShapeID="_x0000_i1097" DrawAspect="Content" ObjectID="_1457423469" r:id="rId149"/>
        </w:object>
      </w:r>
      <w:r w:rsidRPr="00A31B12">
        <w:rPr>
          <w:rFonts w:ascii="Arial" w:hAnsi="Arial" w:cs="Arial"/>
          <w:sz w:val="20"/>
          <w:szCs w:val="20"/>
        </w:rPr>
        <w:t xml:space="preserve">, l’indice al denominatore è il mese di dicembre dell’anno </w:t>
      </w:r>
      <w:r w:rsidRPr="00A31B12">
        <w:rPr>
          <w:rFonts w:ascii="Arial" w:hAnsi="Arial" w:cs="Arial"/>
          <w:position w:val="-10"/>
          <w:sz w:val="20"/>
          <w:szCs w:val="20"/>
        </w:rPr>
        <w:object w:dxaOrig="480" w:dyaOrig="320">
          <v:shape id="_x0000_i1098" type="#_x0000_t75" style="width:21.95pt;height:14.05pt" o:ole="">
            <v:imagedata r:id="rId150" o:title=""/>
          </v:shape>
          <o:OLEObject Type="Embed" ProgID="Equation.3" ShapeID="_x0000_i1098" DrawAspect="Content" ObjectID="_1457423470" r:id="rId151"/>
        </w:object>
      </w:r>
      <w:r w:rsidRPr="00A31B12">
        <w:rPr>
          <w:rFonts w:ascii="Arial" w:hAnsi="Arial" w:cs="Arial"/>
          <w:sz w:val="20"/>
          <w:szCs w:val="20"/>
        </w:rPr>
        <w:t>,</w:t>
      </w:r>
      <w:r>
        <w:rPr>
          <w:rFonts w:ascii="Arial" w:hAnsi="Arial" w:cs="Arial"/>
          <w:sz w:val="20"/>
          <w:szCs w:val="20"/>
        </w:rPr>
        <w:t xml:space="preserve"> cioè</w:t>
      </w:r>
      <w:r w:rsidRPr="00A31B12">
        <w:rPr>
          <w:rFonts w:ascii="Arial" w:hAnsi="Arial" w:cs="Arial"/>
          <w:sz w:val="20"/>
          <w:szCs w:val="20"/>
        </w:rPr>
        <w:t xml:space="preserve"> </w:t>
      </w:r>
      <w:r w:rsidRPr="00E76944">
        <w:rPr>
          <w:rFonts w:ascii="Arial" w:hAnsi="Arial" w:cs="Arial"/>
          <w:position w:val="-16"/>
          <w:sz w:val="20"/>
          <w:szCs w:val="20"/>
        </w:rPr>
        <w:object w:dxaOrig="1219" w:dyaOrig="520">
          <v:shape id="_x0000_i1099" type="#_x0000_t75" style="width:54.25pt;height:23.4pt" o:ole="">
            <v:imagedata r:id="rId152" o:title=""/>
          </v:shape>
          <o:OLEObject Type="Embed" ProgID="Equation.3" ShapeID="_x0000_i1099" DrawAspect="Content" ObjectID="_1457423471" r:id="rId153"/>
        </w:object>
      </w:r>
      <w:r>
        <w:rPr>
          <w:rFonts w:ascii="Arial" w:hAnsi="Arial" w:cs="Arial"/>
          <w:sz w:val="20"/>
          <w:szCs w:val="20"/>
        </w:rPr>
        <w:t xml:space="preserve">. Analogamente, la variazione congiunturale della k-esima componente di </w:t>
      </w:r>
      <w:r w:rsidRPr="003F010B">
        <w:rPr>
          <w:rFonts w:ascii="Arial" w:hAnsi="Arial" w:cs="Arial"/>
          <w:position w:val="-6"/>
          <w:sz w:val="20"/>
          <w:szCs w:val="20"/>
        </w:rPr>
        <w:object w:dxaOrig="200" w:dyaOrig="220">
          <v:shape id="_x0000_i1100" type="#_x0000_t75" style="width:8.9pt;height:9.8pt" o:ole="">
            <v:imagedata r:id="rId154" o:title=""/>
          </v:shape>
          <o:OLEObject Type="Embed" ProgID="Equation.3" ShapeID="_x0000_i1100" DrawAspect="Content" ObjectID="_1457423472" r:id="rId155"/>
        </w:object>
      </w:r>
      <w:r>
        <w:rPr>
          <w:rFonts w:ascii="Arial" w:hAnsi="Arial" w:cs="Arial"/>
          <w:sz w:val="20"/>
          <w:szCs w:val="20"/>
        </w:rPr>
        <w:t xml:space="preserve">, </w:t>
      </w:r>
      <w:r w:rsidRPr="00C81FA8">
        <w:rPr>
          <w:rFonts w:ascii="Arial" w:hAnsi="Arial" w:cs="Arial"/>
          <w:position w:val="-10"/>
          <w:sz w:val="20"/>
          <w:szCs w:val="20"/>
        </w:rPr>
        <w:object w:dxaOrig="600" w:dyaOrig="320">
          <v:shape id="_x0000_i1101" type="#_x0000_t75" style="width:27.1pt;height:14.05pt" o:ole="">
            <v:imagedata r:id="rId156" o:title=""/>
          </v:shape>
          <o:OLEObject Type="Embed" ProgID="Equation.3" ShapeID="_x0000_i1101" DrawAspect="Content" ObjectID="_1457423473" r:id="rId157"/>
        </w:object>
      </w:r>
      <w:r>
        <w:rPr>
          <w:rFonts w:ascii="Arial" w:hAnsi="Arial" w:cs="Arial"/>
          <w:sz w:val="20"/>
          <w:szCs w:val="20"/>
        </w:rPr>
        <w:t>, è data da</w:t>
      </w:r>
    </w:p>
    <w:p w:rsidR="00165090" w:rsidRDefault="00165090" w:rsidP="00165090">
      <w:pPr>
        <w:autoSpaceDE w:val="0"/>
        <w:autoSpaceDN w:val="0"/>
        <w:adjustRightInd w:val="0"/>
        <w:spacing w:after="120"/>
        <w:ind w:left="1814"/>
        <w:jc w:val="both"/>
        <w:rPr>
          <w:rFonts w:ascii="Arial" w:hAnsi="Arial" w:cs="Arial"/>
          <w:sz w:val="20"/>
          <w:szCs w:val="20"/>
        </w:rPr>
      </w:pPr>
      <w:r w:rsidRPr="002E603B">
        <w:rPr>
          <w:rFonts w:ascii="Arial" w:hAnsi="Arial" w:cs="Arial"/>
          <w:position w:val="-14"/>
          <w:sz w:val="20"/>
          <w:szCs w:val="20"/>
        </w:rPr>
        <w:object w:dxaOrig="5580" w:dyaOrig="460">
          <v:shape id="_x0000_i1102" type="#_x0000_t75" style="width:250.6pt;height:21.05pt" o:ole="">
            <v:imagedata r:id="rId158" o:title=""/>
          </v:shape>
          <o:OLEObject Type="Embed" ProgID="Equation.3" ShapeID="_x0000_i1102" DrawAspect="Content" ObjectID="_1457423474" r:id="rId159"/>
        </w:object>
      </w:r>
      <w:r>
        <w:rPr>
          <w:rFonts w:ascii="Arial" w:hAnsi="Arial" w:cs="Arial"/>
          <w:sz w:val="20"/>
          <w:szCs w:val="20"/>
        </w:rPr>
        <w:t>.</w:t>
      </w:r>
    </w:p>
    <w:p w:rsidR="00165090" w:rsidRDefault="00165090" w:rsidP="00165090">
      <w:pPr>
        <w:autoSpaceDE w:val="0"/>
        <w:autoSpaceDN w:val="0"/>
        <w:adjustRightInd w:val="0"/>
        <w:spacing w:after="120"/>
        <w:ind w:left="1814"/>
        <w:jc w:val="both"/>
        <w:rPr>
          <w:rFonts w:ascii="Arial" w:hAnsi="Arial" w:cs="Arial"/>
          <w:sz w:val="20"/>
          <w:szCs w:val="20"/>
        </w:rPr>
      </w:pPr>
      <w:r>
        <w:rPr>
          <w:rFonts w:ascii="Arial" w:hAnsi="Arial" w:cs="Arial"/>
          <w:sz w:val="20"/>
          <w:szCs w:val="20"/>
        </w:rPr>
        <w:t xml:space="preserve">La </w:t>
      </w:r>
      <w:r w:rsidRPr="00D31B87">
        <w:rPr>
          <w:rFonts w:ascii="Arial" w:hAnsi="Arial" w:cs="Arial"/>
          <w:i/>
          <w:sz w:val="20"/>
          <w:szCs w:val="20"/>
        </w:rPr>
        <w:t>variazione tendenziale</w:t>
      </w:r>
      <w:r>
        <w:rPr>
          <w:rFonts w:ascii="Arial" w:hAnsi="Arial" w:cs="Arial"/>
          <w:sz w:val="20"/>
          <w:szCs w:val="20"/>
        </w:rPr>
        <w:t xml:space="preserve"> di </w:t>
      </w:r>
      <w:r w:rsidRPr="003F010B">
        <w:rPr>
          <w:rFonts w:ascii="Arial" w:hAnsi="Arial" w:cs="Arial"/>
          <w:position w:val="-6"/>
          <w:sz w:val="20"/>
          <w:szCs w:val="20"/>
        </w:rPr>
        <w:object w:dxaOrig="200" w:dyaOrig="220">
          <v:shape id="_x0000_i1103" type="#_x0000_t75" style="width:8.9pt;height:9.8pt" o:ole="">
            <v:imagedata r:id="rId160" o:title=""/>
          </v:shape>
          <o:OLEObject Type="Embed" ProgID="Equation.3" ShapeID="_x0000_i1103" DrawAspect="Content" ObjectID="_1457423475" r:id="rId161"/>
        </w:object>
      </w:r>
      <w:r>
        <w:rPr>
          <w:rFonts w:ascii="Arial" w:hAnsi="Arial" w:cs="Arial"/>
          <w:sz w:val="20"/>
          <w:szCs w:val="20"/>
        </w:rPr>
        <w:t xml:space="preserve"> è definita dalla seguente</w:t>
      </w:r>
    </w:p>
    <w:p w:rsidR="00165090" w:rsidRDefault="00165090" w:rsidP="00165090">
      <w:pPr>
        <w:autoSpaceDE w:val="0"/>
        <w:autoSpaceDN w:val="0"/>
        <w:adjustRightInd w:val="0"/>
        <w:spacing w:after="120"/>
        <w:ind w:left="1814"/>
        <w:jc w:val="both"/>
        <w:rPr>
          <w:rFonts w:ascii="Arial" w:hAnsi="Arial" w:cs="Arial"/>
          <w:sz w:val="20"/>
          <w:szCs w:val="20"/>
        </w:rPr>
      </w:pPr>
      <w:r w:rsidRPr="002E603B">
        <w:rPr>
          <w:rFonts w:ascii="Arial" w:hAnsi="Arial" w:cs="Arial"/>
          <w:position w:val="-14"/>
          <w:sz w:val="20"/>
          <w:szCs w:val="20"/>
        </w:rPr>
        <w:object w:dxaOrig="5400" w:dyaOrig="460">
          <v:shape id="_x0000_i1104" type="#_x0000_t75" style="width:242.2pt;height:21.05pt" o:ole="">
            <v:imagedata r:id="rId162" o:title=""/>
          </v:shape>
          <o:OLEObject Type="Embed" ProgID="Equation.3" ShapeID="_x0000_i1104" DrawAspect="Content" ObjectID="_1457423476" r:id="rId163"/>
        </w:object>
      </w:r>
      <w:r>
        <w:rPr>
          <w:rFonts w:ascii="Arial" w:hAnsi="Arial" w:cs="Arial"/>
          <w:sz w:val="20"/>
          <w:szCs w:val="20"/>
        </w:rPr>
        <w:t xml:space="preserve">, dove se </w:t>
      </w:r>
      <w:r w:rsidRPr="00A31B12">
        <w:rPr>
          <w:rFonts w:ascii="Arial" w:hAnsi="Arial" w:cs="Arial"/>
          <w:position w:val="-10"/>
          <w:sz w:val="20"/>
          <w:szCs w:val="20"/>
        </w:rPr>
        <w:object w:dxaOrig="480" w:dyaOrig="320">
          <v:shape id="_x0000_i1105" type="#_x0000_t75" style="width:22.45pt;height:14.05pt" o:ole="">
            <v:imagedata r:id="rId164" o:title=""/>
          </v:shape>
          <o:OLEObject Type="Embed" ProgID="Equation.3" ShapeID="_x0000_i1105" DrawAspect="Content" ObjectID="_1457423477" r:id="rId165"/>
        </w:object>
      </w:r>
      <w:r w:rsidRPr="00A31B12">
        <w:rPr>
          <w:rFonts w:ascii="Arial" w:hAnsi="Arial" w:cs="Arial"/>
          <w:sz w:val="20"/>
          <w:szCs w:val="20"/>
        </w:rPr>
        <w:t xml:space="preserve">, l’indice al denominatore è il mese di dicembre dell’anno </w:t>
      </w:r>
      <w:r w:rsidRPr="00A31B12">
        <w:rPr>
          <w:rFonts w:ascii="Arial" w:hAnsi="Arial" w:cs="Arial"/>
          <w:position w:val="-10"/>
          <w:sz w:val="20"/>
          <w:szCs w:val="20"/>
        </w:rPr>
        <w:object w:dxaOrig="900" w:dyaOrig="320">
          <v:shape id="_x0000_i1106" type="#_x0000_t75" style="width:40.7pt;height:14.05pt" o:ole="">
            <v:imagedata r:id="rId166" o:title=""/>
          </v:shape>
          <o:OLEObject Type="Embed" ProgID="Equation.3" ShapeID="_x0000_i1106" DrawAspect="Content" ObjectID="_1457423478" r:id="rId167"/>
        </w:object>
      </w:r>
      <w:r>
        <w:rPr>
          <w:rFonts w:ascii="Arial" w:hAnsi="Arial" w:cs="Arial"/>
          <w:sz w:val="20"/>
          <w:szCs w:val="20"/>
        </w:rPr>
        <w:t xml:space="preserve"> La stessa variazione riferita alla k-esima componente di </w:t>
      </w:r>
      <w:r w:rsidRPr="003F010B">
        <w:rPr>
          <w:rFonts w:ascii="Arial" w:hAnsi="Arial" w:cs="Arial"/>
          <w:position w:val="-6"/>
          <w:sz w:val="20"/>
          <w:szCs w:val="20"/>
        </w:rPr>
        <w:object w:dxaOrig="200" w:dyaOrig="220">
          <v:shape id="_x0000_i1107" type="#_x0000_t75" style="width:11.2pt;height:9.8pt" o:ole="">
            <v:imagedata r:id="rId168" o:title=""/>
          </v:shape>
          <o:OLEObject Type="Embed" ProgID="Equation.3" ShapeID="_x0000_i1107" DrawAspect="Content" ObjectID="_1457423479" r:id="rId169"/>
        </w:object>
      </w:r>
      <w:r>
        <w:rPr>
          <w:rFonts w:ascii="Arial" w:hAnsi="Arial" w:cs="Arial"/>
          <w:sz w:val="20"/>
          <w:szCs w:val="20"/>
        </w:rPr>
        <w:t xml:space="preserve">, </w:t>
      </w:r>
      <w:r w:rsidRPr="00C81FA8">
        <w:rPr>
          <w:rFonts w:ascii="Arial" w:hAnsi="Arial" w:cs="Arial"/>
          <w:position w:val="-10"/>
          <w:sz w:val="20"/>
          <w:szCs w:val="20"/>
        </w:rPr>
        <w:object w:dxaOrig="600" w:dyaOrig="320">
          <v:shape id="_x0000_i1108" type="#_x0000_t75" style="width:27.1pt;height:14.05pt" o:ole="">
            <v:imagedata r:id="rId170" o:title=""/>
          </v:shape>
          <o:OLEObject Type="Embed" ProgID="Equation.3" ShapeID="_x0000_i1108" DrawAspect="Content" ObjectID="_1457423480" r:id="rId171"/>
        </w:object>
      </w:r>
      <w:r>
        <w:rPr>
          <w:rFonts w:ascii="Arial" w:hAnsi="Arial" w:cs="Arial"/>
          <w:sz w:val="20"/>
          <w:szCs w:val="20"/>
        </w:rPr>
        <w:t>, è indicata dalla seguente</w:t>
      </w:r>
    </w:p>
    <w:p w:rsidR="00165090" w:rsidRDefault="00165090" w:rsidP="00165090">
      <w:pPr>
        <w:autoSpaceDE w:val="0"/>
        <w:autoSpaceDN w:val="0"/>
        <w:adjustRightInd w:val="0"/>
        <w:spacing w:after="120"/>
        <w:ind w:left="1814"/>
        <w:jc w:val="both"/>
        <w:rPr>
          <w:rFonts w:ascii="Arial" w:hAnsi="Arial" w:cs="Arial"/>
          <w:sz w:val="20"/>
          <w:szCs w:val="20"/>
        </w:rPr>
      </w:pPr>
      <w:r w:rsidRPr="002E603B">
        <w:rPr>
          <w:rFonts w:ascii="Arial" w:hAnsi="Arial" w:cs="Arial"/>
          <w:position w:val="-14"/>
          <w:sz w:val="20"/>
          <w:szCs w:val="20"/>
        </w:rPr>
        <w:object w:dxaOrig="5580" w:dyaOrig="460">
          <v:shape id="_x0000_i1109" type="#_x0000_t75" style="width:250.6pt;height:21.05pt" o:ole="">
            <v:imagedata r:id="rId172" o:title=""/>
          </v:shape>
          <o:OLEObject Type="Embed" ProgID="Equation.3" ShapeID="_x0000_i1109" DrawAspect="Content" ObjectID="_1457423481" r:id="rId173"/>
        </w:object>
      </w:r>
      <w:r>
        <w:rPr>
          <w:rFonts w:ascii="Arial" w:hAnsi="Arial" w:cs="Arial"/>
          <w:sz w:val="20"/>
          <w:szCs w:val="20"/>
        </w:rPr>
        <w:t>.</w:t>
      </w:r>
    </w:p>
    <w:p w:rsidR="00165090" w:rsidRDefault="00165090" w:rsidP="00165090">
      <w:pPr>
        <w:spacing w:after="120"/>
        <w:ind w:left="1814"/>
        <w:jc w:val="both"/>
        <w:rPr>
          <w:rFonts w:ascii="Arial" w:hAnsi="Arial" w:cs="Arial"/>
          <w:sz w:val="20"/>
          <w:szCs w:val="20"/>
        </w:rPr>
      </w:pPr>
    </w:p>
    <w:p w:rsidR="00165090" w:rsidRPr="00A31B12" w:rsidRDefault="00165090" w:rsidP="00165090">
      <w:pPr>
        <w:spacing w:after="120"/>
        <w:ind w:left="1814"/>
        <w:jc w:val="both"/>
        <w:rPr>
          <w:rFonts w:ascii="Arial" w:hAnsi="Arial" w:cs="Arial"/>
          <w:b/>
          <w:bCs/>
          <w:sz w:val="20"/>
          <w:szCs w:val="20"/>
        </w:rPr>
      </w:pPr>
      <w:r w:rsidRPr="00A31B12">
        <w:rPr>
          <w:rFonts w:ascii="Arial" w:hAnsi="Arial" w:cs="Arial"/>
          <w:bCs/>
          <w:sz w:val="20"/>
          <w:szCs w:val="20"/>
        </w:rPr>
        <w:t xml:space="preserve">Il contributo </w:t>
      </w:r>
      <w:r>
        <w:rPr>
          <w:rFonts w:ascii="Arial" w:hAnsi="Arial" w:cs="Arial"/>
          <w:bCs/>
          <w:sz w:val="20"/>
          <w:szCs w:val="20"/>
        </w:rPr>
        <w:t xml:space="preserve">unitario </w:t>
      </w:r>
      <w:r w:rsidRPr="00A31B12">
        <w:rPr>
          <w:rFonts w:ascii="Arial" w:hAnsi="Arial" w:cs="Arial"/>
          <w:bCs/>
          <w:sz w:val="20"/>
          <w:szCs w:val="20"/>
        </w:rPr>
        <w:t xml:space="preserve">della </w:t>
      </w:r>
      <w:r w:rsidRPr="00A31B12">
        <w:rPr>
          <w:rFonts w:ascii="Arial" w:hAnsi="Arial" w:cs="Arial"/>
          <w:bCs/>
          <w:i/>
          <w:sz w:val="20"/>
          <w:szCs w:val="20"/>
        </w:rPr>
        <w:t>k-esima</w:t>
      </w:r>
      <w:r w:rsidRPr="00A31B12">
        <w:rPr>
          <w:rFonts w:ascii="Arial" w:hAnsi="Arial" w:cs="Arial"/>
          <w:bCs/>
          <w:sz w:val="20"/>
          <w:szCs w:val="20"/>
        </w:rPr>
        <w:t xml:space="preserve"> componente</w:t>
      </w:r>
      <w:r>
        <w:rPr>
          <w:rFonts w:ascii="Arial" w:hAnsi="Arial" w:cs="Arial"/>
          <w:bCs/>
          <w:sz w:val="20"/>
          <w:szCs w:val="20"/>
        </w:rPr>
        <w:t xml:space="preserve"> – </w:t>
      </w:r>
      <w:r w:rsidRPr="00FC3596">
        <w:rPr>
          <w:rFonts w:ascii="Arial" w:hAnsi="Arial" w:cs="Arial"/>
          <w:bCs/>
          <w:position w:val="-6"/>
          <w:sz w:val="20"/>
          <w:szCs w:val="20"/>
        </w:rPr>
        <w:object w:dxaOrig="200" w:dyaOrig="279">
          <v:shape id="_x0000_i1110" type="#_x0000_t75" style="width:9.8pt;height:14.05pt" o:ole="">
            <v:imagedata r:id="rId174" o:title=""/>
          </v:shape>
          <o:OLEObject Type="Embed" ProgID="Equation.3" ShapeID="_x0000_i1110" DrawAspect="Content" ObjectID="_1457423482" r:id="rId175"/>
        </w:object>
      </w:r>
      <w:r>
        <w:rPr>
          <w:rFonts w:ascii="Arial" w:hAnsi="Arial" w:cs="Arial"/>
          <w:bCs/>
          <w:sz w:val="20"/>
          <w:szCs w:val="20"/>
        </w:rPr>
        <w:t xml:space="preserve"> –</w:t>
      </w:r>
      <w:r w:rsidRPr="00A31B12">
        <w:rPr>
          <w:rFonts w:ascii="Arial" w:hAnsi="Arial" w:cs="Arial"/>
          <w:bCs/>
          <w:sz w:val="20"/>
          <w:szCs w:val="20"/>
        </w:rPr>
        <w:t xml:space="preserve"> alla variazione tendenziale dell’indice aggregato</w:t>
      </w:r>
      <w:r>
        <w:rPr>
          <w:rFonts w:ascii="Arial" w:hAnsi="Arial" w:cs="Arial"/>
          <w:bCs/>
          <w:sz w:val="20"/>
          <w:szCs w:val="20"/>
        </w:rPr>
        <w:t xml:space="preserve"> </w:t>
      </w:r>
      <w:r w:rsidRPr="003F010B">
        <w:rPr>
          <w:rFonts w:ascii="Arial" w:hAnsi="Arial" w:cs="Arial"/>
          <w:bCs/>
          <w:position w:val="-6"/>
          <w:sz w:val="20"/>
          <w:szCs w:val="20"/>
        </w:rPr>
        <w:object w:dxaOrig="200" w:dyaOrig="220">
          <v:shape id="_x0000_i1111" type="#_x0000_t75" style="width:8.9pt;height:9.8pt" o:ole="">
            <v:imagedata r:id="rId176" o:title=""/>
          </v:shape>
          <o:OLEObject Type="Embed" ProgID="Equation.3" ShapeID="_x0000_i1111" DrawAspect="Content" ObjectID="_1457423483" r:id="rId177"/>
        </w:object>
      </w:r>
      <w:r w:rsidRPr="00A31B12">
        <w:rPr>
          <w:rFonts w:ascii="Arial" w:hAnsi="Arial" w:cs="Arial"/>
          <w:b/>
          <w:bCs/>
          <w:sz w:val="20"/>
          <w:szCs w:val="20"/>
        </w:rPr>
        <w:t xml:space="preserve"> </w:t>
      </w:r>
      <w:r w:rsidRPr="00A31B12">
        <w:rPr>
          <w:rFonts w:ascii="Arial" w:hAnsi="Arial" w:cs="Arial"/>
          <w:bCs/>
          <w:sz w:val="20"/>
          <w:szCs w:val="20"/>
        </w:rPr>
        <w:t>è dato dalla formula seguente</w:t>
      </w:r>
      <w:r>
        <w:rPr>
          <w:rFonts w:ascii="Arial" w:hAnsi="Arial" w:cs="Arial"/>
          <w:bCs/>
          <w:sz w:val="20"/>
          <w:szCs w:val="20"/>
        </w:rPr>
        <w:t>:</w:t>
      </w:r>
    </w:p>
    <w:p w:rsidR="00165090" w:rsidRDefault="00165090" w:rsidP="00165090">
      <w:pPr>
        <w:spacing w:after="120"/>
        <w:ind w:left="1814"/>
        <w:jc w:val="both"/>
        <w:rPr>
          <w:rFonts w:ascii="Arial" w:hAnsi="Arial" w:cs="Arial"/>
          <w:sz w:val="20"/>
          <w:szCs w:val="20"/>
        </w:rPr>
      </w:pPr>
      <w:r w:rsidRPr="00072B4A">
        <w:rPr>
          <w:rFonts w:ascii="Arial" w:hAnsi="Arial" w:cs="Arial"/>
          <w:position w:val="-42"/>
          <w:sz w:val="20"/>
          <w:szCs w:val="20"/>
        </w:rPr>
        <w:object w:dxaOrig="9139" w:dyaOrig="960">
          <v:shape id="_x0000_i1112" type="#_x0000_t75" style="width:411.9pt;height:43.5pt" o:ole="">
            <v:imagedata r:id="rId178" o:title=""/>
          </v:shape>
          <o:OLEObject Type="Embed" ProgID="Equation.3" ShapeID="_x0000_i1112" DrawAspect="Content" ObjectID="_1457423484" r:id="rId179"/>
        </w:object>
      </w:r>
    </w:p>
    <w:p w:rsidR="00165090" w:rsidRPr="00ED0B31" w:rsidRDefault="00165090" w:rsidP="00ED0B31">
      <w:pPr>
        <w:spacing w:after="120"/>
        <w:ind w:left="1814"/>
        <w:jc w:val="both"/>
        <w:rPr>
          <w:rFonts w:ascii="Arial" w:hAnsi="Arial" w:cs="Arial"/>
          <w:bCs/>
          <w:sz w:val="20"/>
          <w:szCs w:val="20"/>
        </w:rPr>
      </w:pPr>
      <w:r w:rsidRPr="00A31B12">
        <w:rPr>
          <w:rFonts w:ascii="Arial" w:hAnsi="Arial" w:cs="Arial"/>
          <w:bCs/>
          <w:sz w:val="20"/>
          <w:szCs w:val="20"/>
        </w:rPr>
        <w:t xml:space="preserve">dove i) </w:t>
      </w:r>
      <w:r w:rsidRPr="00A31B12">
        <w:rPr>
          <w:rFonts w:ascii="Arial" w:hAnsi="Arial" w:cs="Arial"/>
          <w:bCs/>
          <w:position w:val="-16"/>
          <w:sz w:val="20"/>
          <w:szCs w:val="20"/>
        </w:rPr>
        <w:object w:dxaOrig="840" w:dyaOrig="400">
          <v:shape id="_x0000_i1113" type="#_x0000_t75" style="width:38.35pt;height:18.25pt" o:ole="">
            <v:imagedata r:id="rId180" o:title=""/>
          </v:shape>
          <o:OLEObject Type="Embed" ProgID="Equation.3" ShapeID="_x0000_i1113" DrawAspect="Content" ObjectID="_1457423485" r:id="rId181"/>
        </w:object>
      </w:r>
      <w:r w:rsidRPr="00A31B12">
        <w:rPr>
          <w:rFonts w:ascii="Arial" w:hAnsi="Arial" w:cs="Arial"/>
          <w:bCs/>
          <w:sz w:val="20"/>
          <w:szCs w:val="20"/>
        </w:rPr>
        <w:t xml:space="preserve"> e </w:t>
      </w:r>
      <w:r w:rsidRPr="00A31B12">
        <w:rPr>
          <w:rFonts w:ascii="Arial" w:hAnsi="Arial" w:cs="Arial"/>
          <w:bCs/>
          <w:position w:val="-16"/>
          <w:sz w:val="20"/>
          <w:szCs w:val="20"/>
        </w:rPr>
        <w:object w:dxaOrig="1060" w:dyaOrig="400">
          <v:shape id="_x0000_i1114" type="#_x0000_t75" style="width:48.15pt;height:18.25pt" o:ole="">
            <v:imagedata r:id="rId182" o:title=""/>
          </v:shape>
          <o:OLEObject Type="Embed" ProgID="Equation.3" ShapeID="_x0000_i1114" DrawAspect="Content" ObjectID="_1457423486" r:id="rId183"/>
        </w:object>
      </w:r>
      <w:r w:rsidRPr="00A31B12">
        <w:rPr>
          <w:rFonts w:ascii="Arial" w:hAnsi="Arial" w:cs="Arial"/>
          <w:bCs/>
          <w:sz w:val="20"/>
          <w:szCs w:val="20"/>
        </w:rPr>
        <w:t xml:space="preserve"> indicano, rispettivamente, i pesi relativi unitari </w:t>
      </w:r>
      <w:r>
        <w:rPr>
          <w:rFonts w:ascii="Arial" w:hAnsi="Arial" w:cs="Arial"/>
          <w:bCs/>
          <w:sz w:val="20"/>
          <w:szCs w:val="20"/>
        </w:rPr>
        <w:t xml:space="preserve">di </w:t>
      </w:r>
      <w:r w:rsidRPr="00FC3596">
        <w:rPr>
          <w:rFonts w:ascii="Arial" w:hAnsi="Arial" w:cs="Arial"/>
          <w:bCs/>
          <w:position w:val="-6"/>
          <w:sz w:val="20"/>
          <w:szCs w:val="20"/>
        </w:rPr>
        <w:object w:dxaOrig="200" w:dyaOrig="279">
          <v:shape id="_x0000_i1115" type="#_x0000_t75" style="width:9.8pt;height:14.05pt" o:ole="">
            <v:imagedata r:id="rId174" o:title=""/>
          </v:shape>
          <o:OLEObject Type="Embed" ProgID="Equation.3" ShapeID="_x0000_i1115" DrawAspect="Content" ObjectID="_1457423487" r:id="rId184"/>
        </w:object>
      </w:r>
      <w:r>
        <w:rPr>
          <w:rFonts w:ascii="Arial" w:hAnsi="Arial" w:cs="Arial"/>
          <w:bCs/>
          <w:sz w:val="20"/>
          <w:szCs w:val="20"/>
        </w:rPr>
        <w:t xml:space="preserve"> </w:t>
      </w:r>
      <w:r w:rsidRPr="00A31B12">
        <w:rPr>
          <w:rFonts w:ascii="Arial" w:hAnsi="Arial" w:cs="Arial"/>
          <w:bCs/>
          <w:sz w:val="20"/>
          <w:szCs w:val="20"/>
        </w:rPr>
        <w:t xml:space="preserve">nell’anno </w:t>
      </w:r>
      <w:r w:rsidRPr="00A31B12">
        <w:rPr>
          <w:rFonts w:ascii="Arial" w:hAnsi="Arial" w:cs="Arial"/>
          <w:bCs/>
          <w:position w:val="-10"/>
          <w:sz w:val="20"/>
          <w:szCs w:val="20"/>
        </w:rPr>
        <w:object w:dxaOrig="220" w:dyaOrig="260">
          <v:shape id="_x0000_i1116" type="#_x0000_t75" style="width:9.8pt;height:12.15pt" o:ole="">
            <v:imagedata r:id="rId185" o:title=""/>
          </v:shape>
          <o:OLEObject Type="Embed" ProgID="Equation.3" ShapeID="_x0000_i1116" DrawAspect="Content" ObjectID="_1457423488" r:id="rId186"/>
        </w:object>
      </w:r>
      <w:r w:rsidRPr="00A31B12">
        <w:rPr>
          <w:rFonts w:ascii="Arial" w:hAnsi="Arial" w:cs="Arial"/>
          <w:bCs/>
          <w:sz w:val="20"/>
          <w:szCs w:val="20"/>
        </w:rPr>
        <w:t xml:space="preserve"> e in quello precedente, </w:t>
      </w:r>
      <w:r w:rsidRPr="00A31B12">
        <w:rPr>
          <w:rFonts w:ascii="Arial" w:hAnsi="Arial" w:cs="Arial"/>
          <w:bCs/>
          <w:position w:val="-10"/>
          <w:sz w:val="20"/>
          <w:szCs w:val="20"/>
        </w:rPr>
        <w:object w:dxaOrig="480" w:dyaOrig="320">
          <v:shape id="_x0000_i1117" type="#_x0000_t75" style="width:21.95pt;height:14.05pt" o:ole="">
            <v:imagedata r:id="rId187" o:title=""/>
          </v:shape>
          <o:OLEObject Type="Embed" ProgID="Equation.3" ShapeID="_x0000_i1117" DrawAspect="Content" ObjectID="_1457423489" r:id="rId188"/>
        </w:object>
      </w:r>
      <w:r w:rsidRPr="00A31B12">
        <w:rPr>
          <w:rFonts w:ascii="Arial" w:hAnsi="Arial" w:cs="Arial"/>
          <w:bCs/>
          <w:sz w:val="20"/>
          <w:szCs w:val="20"/>
        </w:rPr>
        <w:t xml:space="preserve">; ii) </w:t>
      </w:r>
      <w:r w:rsidRPr="00A31B12">
        <w:rPr>
          <w:rFonts w:ascii="Arial" w:hAnsi="Arial" w:cs="Arial"/>
          <w:bCs/>
          <w:position w:val="-18"/>
          <w:sz w:val="20"/>
          <w:szCs w:val="20"/>
        </w:rPr>
        <w:object w:dxaOrig="1100" w:dyaOrig="499">
          <v:shape id="_x0000_i1118" type="#_x0000_t75" style="width:49.55pt;height:22.45pt" o:ole="">
            <v:imagedata r:id="rId189" o:title=""/>
          </v:shape>
          <o:OLEObject Type="Embed" ProgID="Equation.3" ShapeID="_x0000_i1118" DrawAspect="Content" ObjectID="_1457423490" r:id="rId190"/>
        </w:object>
      </w:r>
      <w:r w:rsidRPr="00A31B12">
        <w:rPr>
          <w:rFonts w:ascii="Arial" w:hAnsi="Arial" w:cs="Arial"/>
          <w:bCs/>
          <w:sz w:val="20"/>
          <w:szCs w:val="20"/>
        </w:rPr>
        <w:t xml:space="preserve"> e </w:t>
      </w:r>
      <w:r w:rsidRPr="00A31B12">
        <w:rPr>
          <w:rFonts w:ascii="Arial" w:hAnsi="Arial" w:cs="Arial"/>
          <w:bCs/>
          <w:position w:val="-18"/>
          <w:sz w:val="20"/>
          <w:szCs w:val="20"/>
        </w:rPr>
        <w:object w:dxaOrig="1060" w:dyaOrig="499">
          <v:shape id="_x0000_i1119" type="#_x0000_t75" style="width:48.15pt;height:22.45pt" o:ole="">
            <v:imagedata r:id="rId191" o:title=""/>
          </v:shape>
          <o:OLEObject Type="Embed" ProgID="Equation.3" ShapeID="_x0000_i1119" DrawAspect="Content" ObjectID="_1457423491" r:id="rId192"/>
        </w:object>
      </w:r>
      <w:r w:rsidRPr="00A31B12">
        <w:rPr>
          <w:rFonts w:ascii="Arial" w:hAnsi="Arial" w:cs="Arial"/>
          <w:bCs/>
          <w:sz w:val="20"/>
          <w:szCs w:val="20"/>
        </w:rPr>
        <w:t xml:space="preserve"> </w:t>
      </w:r>
      <w:r>
        <w:rPr>
          <w:rFonts w:ascii="Arial" w:hAnsi="Arial" w:cs="Arial"/>
          <w:bCs/>
          <w:sz w:val="20"/>
          <w:szCs w:val="20"/>
        </w:rPr>
        <w:t>rappresentano</w:t>
      </w:r>
      <w:r w:rsidRPr="00A31B12">
        <w:rPr>
          <w:rFonts w:ascii="Arial" w:hAnsi="Arial" w:cs="Arial"/>
          <w:bCs/>
          <w:sz w:val="20"/>
          <w:szCs w:val="20"/>
        </w:rPr>
        <w:t xml:space="preserve">, per l’anno </w:t>
      </w:r>
      <w:r w:rsidRPr="00A31B12">
        <w:rPr>
          <w:rFonts w:ascii="Arial" w:hAnsi="Arial" w:cs="Arial"/>
          <w:bCs/>
          <w:position w:val="-10"/>
          <w:sz w:val="20"/>
          <w:szCs w:val="20"/>
        </w:rPr>
        <w:object w:dxaOrig="480" w:dyaOrig="320">
          <v:shape id="_x0000_i1120" type="#_x0000_t75" style="width:21.95pt;height:14.05pt" o:ole="">
            <v:imagedata r:id="rId193" o:title=""/>
          </v:shape>
          <o:OLEObject Type="Embed" ProgID="Equation.3" ShapeID="_x0000_i1120" DrawAspect="Content" ObjectID="_1457423492" r:id="rId194"/>
        </w:object>
      </w:r>
      <w:r w:rsidRPr="00A31B12">
        <w:rPr>
          <w:rFonts w:ascii="Arial" w:hAnsi="Arial" w:cs="Arial"/>
          <w:bCs/>
          <w:sz w:val="20"/>
          <w:szCs w:val="20"/>
        </w:rPr>
        <w:t xml:space="preserve">, l’indice aggregato </w:t>
      </w:r>
      <w:r w:rsidRPr="003F010B">
        <w:rPr>
          <w:rFonts w:ascii="Arial" w:hAnsi="Arial" w:cs="Arial"/>
          <w:bCs/>
          <w:position w:val="-6"/>
          <w:sz w:val="20"/>
          <w:szCs w:val="20"/>
        </w:rPr>
        <w:object w:dxaOrig="200" w:dyaOrig="220">
          <v:shape id="_x0000_i1121" type="#_x0000_t75" style="width:8.9pt;height:9.8pt" o:ole="">
            <v:imagedata r:id="rId195" o:title=""/>
          </v:shape>
          <o:OLEObject Type="Embed" ProgID="Equation.3" ShapeID="_x0000_i1121" DrawAspect="Content" ObjectID="_1457423493" r:id="rId196"/>
        </w:object>
      </w:r>
      <w:r>
        <w:rPr>
          <w:rFonts w:ascii="Arial" w:hAnsi="Arial" w:cs="Arial"/>
          <w:bCs/>
          <w:sz w:val="20"/>
          <w:szCs w:val="20"/>
        </w:rPr>
        <w:t xml:space="preserve"> </w:t>
      </w:r>
      <w:r w:rsidRPr="00A31B12">
        <w:rPr>
          <w:rFonts w:ascii="Arial" w:hAnsi="Arial" w:cs="Arial"/>
          <w:bCs/>
          <w:sz w:val="20"/>
          <w:szCs w:val="20"/>
        </w:rPr>
        <w:t xml:space="preserve">nella propria base di calcolo </w:t>
      </w:r>
      <w:r w:rsidRPr="00A31B12">
        <w:rPr>
          <w:rFonts w:ascii="Arial" w:hAnsi="Arial" w:cs="Arial"/>
          <w:bCs/>
          <w:position w:val="-10"/>
          <w:sz w:val="20"/>
          <w:szCs w:val="20"/>
        </w:rPr>
        <w:object w:dxaOrig="859" w:dyaOrig="320">
          <v:shape id="_x0000_i1122" type="#_x0000_t75" style="width:39.75pt;height:14.05pt" o:ole="">
            <v:imagedata r:id="rId197" o:title=""/>
          </v:shape>
          <o:OLEObject Type="Embed" ProgID="Equation.3" ShapeID="_x0000_i1122" DrawAspect="Content" ObjectID="_1457423494" r:id="rId198"/>
        </w:object>
      </w:r>
      <w:r w:rsidRPr="00A31B12">
        <w:rPr>
          <w:rFonts w:ascii="Arial" w:hAnsi="Arial" w:cs="Arial"/>
          <w:bCs/>
          <w:sz w:val="20"/>
          <w:szCs w:val="20"/>
        </w:rPr>
        <w:t xml:space="preserve">relativamente ai mesi di dicembre e al mese </w:t>
      </w:r>
      <w:r w:rsidRPr="00A31B12">
        <w:rPr>
          <w:rFonts w:ascii="Arial" w:hAnsi="Arial" w:cs="Arial"/>
          <w:bCs/>
          <w:position w:val="-6"/>
          <w:sz w:val="20"/>
          <w:szCs w:val="20"/>
        </w:rPr>
        <w:object w:dxaOrig="260" w:dyaOrig="220">
          <v:shape id="_x0000_i1123" type="#_x0000_t75" style="width:12.6pt;height:11.2pt" o:ole="">
            <v:imagedata r:id="rId199" o:title=""/>
          </v:shape>
          <o:OLEObject Type="Embed" ProgID="Equation.3" ShapeID="_x0000_i1123" DrawAspect="Content" ObjectID="_1457423495" r:id="rId200"/>
        </w:object>
      </w:r>
      <w:r w:rsidRPr="00A31B12">
        <w:rPr>
          <w:rFonts w:ascii="Arial" w:hAnsi="Arial" w:cs="Arial"/>
          <w:bCs/>
          <w:sz w:val="20"/>
          <w:szCs w:val="20"/>
        </w:rPr>
        <w:t xml:space="preserve">; iii) </w:t>
      </w:r>
      <w:r w:rsidRPr="00946598">
        <w:rPr>
          <w:rFonts w:ascii="Arial" w:hAnsi="Arial" w:cs="Arial"/>
          <w:bCs/>
          <w:position w:val="-18"/>
          <w:sz w:val="20"/>
          <w:szCs w:val="20"/>
        </w:rPr>
        <w:object w:dxaOrig="859" w:dyaOrig="499">
          <v:shape id="_x0000_i1124" type="#_x0000_t75" style="width:38.35pt;height:22.45pt" o:ole="">
            <v:imagedata r:id="rId201" o:title=""/>
          </v:shape>
          <o:OLEObject Type="Embed" ProgID="Equation.3" ShapeID="_x0000_i1124" DrawAspect="Content" ObjectID="_1457423496" r:id="rId202"/>
        </w:object>
      </w:r>
      <w:r w:rsidRPr="00A31B12">
        <w:rPr>
          <w:rFonts w:ascii="Arial" w:hAnsi="Arial" w:cs="Arial"/>
          <w:bCs/>
          <w:sz w:val="20"/>
          <w:szCs w:val="20"/>
        </w:rPr>
        <w:t xml:space="preserve"> è l’indice in base di calcolo della componente </w:t>
      </w:r>
      <w:r w:rsidRPr="00A31B12">
        <w:rPr>
          <w:rFonts w:ascii="Arial" w:hAnsi="Arial" w:cs="Arial"/>
          <w:bCs/>
          <w:i/>
          <w:sz w:val="20"/>
          <w:szCs w:val="20"/>
        </w:rPr>
        <w:t>k-esima</w:t>
      </w:r>
      <w:r w:rsidRPr="00A31B12">
        <w:rPr>
          <w:rFonts w:ascii="Arial" w:hAnsi="Arial" w:cs="Arial"/>
          <w:bCs/>
          <w:sz w:val="20"/>
          <w:szCs w:val="20"/>
        </w:rPr>
        <w:t xml:space="preserve"> riferito al mese </w:t>
      </w:r>
      <w:r w:rsidRPr="00A31B12">
        <w:rPr>
          <w:rFonts w:ascii="Arial" w:hAnsi="Arial" w:cs="Arial"/>
          <w:bCs/>
          <w:position w:val="-6"/>
          <w:sz w:val="20"/>
          <w:szCs w:val="20"/>
        </w:rPr>
        <w:object w:dxaOrig="260" w:dyaOrig="220">
          <v:shape id="_x0000_i1125" type="#_x0000_t75" style="width:12.6pt;height:11.2pt" o:ole="">
            <v:imagedata r:id="rId203" o:title=""/>
          </v:shape>
          <o:OLEObject Type="Embed" ProgID="Equation.3" ShapeID="_x0000_i1125" DrawAspect="Content" ObjectID="_1457423497" r:id="rId204"/>
        </w:object>
      </w:r>
      <w:r w:rsidRPr="00A31B12">
        <w:rPr>
          <w:rFonts w:ascii="Arial" w:hAnsi="Arial" w:cs="Arial"/>
          <w:bCs/>
          <w:sz w:val="20"/>
          <w:szCs w:val="20"/>
        </w:rPr>
        <w:t xml:space="preserve"> dell’anno </w:t>
      </w:r>
      <w:r w:rsidRPr="00A31B12">
        <w:rPr>
          <w:rFonts w:ascii="Arial" w:hAnsi="Arial" w:cs="Arial"/>
          <w:bCs/>
          <w:position w:val="-10"/>
          <w:sz w:val="20"/>
          <w:szCs w:val="20"/>
        </w:rPr>
        <w:object w:dxaOrig="220" w:dyaOrig="260">
          <v:shape id="_x0000_i1126" type="#_x0000_t75" style="width:9.8pt;height:12.15pt" o:ole="">
            <v:imagedata r:id="rId205" o:title=""/>
          </v:shape>
          <o:OLEObject Type="Embed" ProgID="Equation.3" ShapeID="_x0000_i1126" DrawAspect="Content" ObjectID="_1457423498" r:id="rId206"/>
        </w:object>
      </w:r>
      <w:r w:rsidRPr="00A31B12">
        <w:rPr>
          <w:rFonts w:ascii="Arial" w:hAnsi="Arial" w:cs="Arial"/>
          <w:bCs/>
          <w:sz w:val="20"/>
          <w:szCs w:val="20"/>
        </w:rPr>
        <w:t xml:space="preserve">, mentre </w:t>
      </w:r>
      <w:r w:rsidRPr="00946598">
        <w:rPr>
          <w:rFonts w:ascii="Arial" w:hAnsi="Arial" w:cs="Arial"/>
          <w:bCs/>
          <w:position w:val="-18"/>
          <w:sz w:val="20"/>
          <w:szCs w:val="20"/>
        </w:rPr>
        <w:object w:dxaOrig="1100" w:dyaOrig="499">
          <v:shape id="_x0000_i1127" type="#_x0000_t75" style="width:49.55pt;height:22.45pt" o:ole="">
            <v:imagedata r:id="rId207" o:title=""/>
          </v:shape>
          <o:OLEObject Type="Embed" ProgID="Equation.3" ShapeID="_x0000_i1127" DrawAspect="Content" ObjectID="_1457423499" r:id="rId208"/>
        </w:object>
      </w:r>
      <w:r w:rsidRPr="00A31B12">
        <w:rPr>
          <w:rFonts w:ascii="Arial" w:hAnsi="Arial" w:cs="Arial"/>
          <w:bCs/>
          <w:sz w:val="20"/>
          <w:szCs w:val="20"/>
        </w:rPr>
        <w:t xml:space="preserve"> e </w:t>
      </w:r>
      <w:r w:rsidRPr="00946598">
        <w:rPr>
          <w:rFonts w:ascii="Arial" w:hAnsi="Arial" w:cs="Arial"/>
          <w:bCs/>
          <w:position w:val="-18"/>
          <w:sz w:val="20"/>
          <w:szCs w:val="20"/>
        </w:rPr>
        <w:object w:dxaOrig="1080" w:dyaOrig="499">
          <v:shape id="_x0000_i1128" type="#_x0000_t75" style="width:48.6pt;height:22.45pt" o:ole="">
            <v:imagedata r:id="rId209" o:title=""/>
          </v:shape>
          <o:OLEObject Type="Embed" ProgID="Equation.3" ShapeID="_x0000_i1128" DrawAspect="Content" ObjectID="_1457423500" r:id="rId210"/>
        </w:object>
      </w:r>
      <w:r w:rsidRPr="00A31B12">
        <w:rPr>
          <w:rFonts w:ascii="Arial" w:hAnsi="Arial" w:cs="Arial"/>
          <w:bCs/>
          <w:sz w:val="20"/>
          <w:szCs w:val="20"/>
        </w:rPr>
        <w:t xml:space="preserve"> – riferiti alla componente </w:t>
      </w:r>
      <w:r w:rsidRPr="00A31B12">
        <w:rPr>
          <w:rFonts w:ascii="Arial" w:hAnsi="Arial" w:cs="Arial"/>
          <w:bCs/>
          <w:i/>
          <w:sz w:val="20"/>
          <w:szCs w:val="20"/>
        </w:rPr>
        <w:t>k-esima</w:t>
      </w:r>
      <w:r w:rsidRPr="00A31B12">
        <w:rPr>
          <w:rFonts w:ascii="Arial" w:hAnsi="Arial" w:cs="Arial"/>
          <w:bCs/>
          <w:sz w:val="20"/>
          <w:szCs w:val="20"/>
        </w:rPr>
        <w:t xml:space="preserve"> – hanno lo stesso significato degli indici di cui al punto ii).</w:t>
      </w:r>
      <w:r>
        <w:rPr>
          <w:rFonts w:ascii="Arial" w:hAnsi="Arial" w:cs="Arial"/>
          <w:bCs/>
          <w:sz w:val="20"/>
          <w:szCs w:val="20"/>
        </w:rPr>
        <w:t xml:space="preserve"> </w:t>
      </w:r>
      <w:r w:rsidRPr="00A31B12">
        <w:rPr>
          <w:rFonts w:ascii="Arial" w:hAnsi="Arial" w:cs="Arial"/>
          <w:bCs/>
          <w:sz w:val="20"/>
          <w:szCs w:val="20"/>
        </w:rPr>
        <w:t xml:space="preserve">La formula vale </w:t>
      </w:r>
      <w:r w:rsidRPr="00A31B12">
        <w:rPr>
          <w:rFonts w:ascii="Arial" w:hAnsi="Arial" w:cs="Arial"/>
          <w:bCs/>
          <w:position w:val="-10"/>
          <w:sz w:val="20"/>
          <w:szCs w:val="20"/>
        </w:rPr>
        <w:object w:dxaOrig="1780" w:dyaOrig="320">
          <v:shape id="_x0000_i1129" type="#_x0000_t75" style="width:80.4pt;height:14.05pt" o:ole="">
            <v:imagedata r:id="rId211" o:title=""/>
          </v:shape>
          <o:OLEObject Type="Embed" ProgID="Equation.3" ShapeID="_x0000_i1129" DrawAspect="Content" ObjectID="_1457423501" r:id="rId212"/>
        </w:object>
      </w:r>
      <w:r w:rsidRPr="00A31B12">
        <w:rPr>
          <w:rFonts w:ascii="Arial" w:hAnsi="Arial" w:cs="Arial"/>
          <w:bCs/>
          <w:sz w:val="20"/>
          <w:szCs w:val="20"/>
        </w:rPr>
        <w:t xml:space="preserve">; quando </w:t>
      </w:r>
      <w:r w:rsidRPr="00A31B12">
        <w:rPr>
          <w:rFonts w:ascii="Arial" w:hAnsi="Arial" w:cs="Arial"/>
          <w:bCs/>
          <w:position w:val="-10"/>
          <w:sz w:val="20"/>
          <w:szCs w:val="20"/>
        </w:rPr>
        <w:object w:dxaOrig="660" w:dyaOrig="320">
          <v:shape id="_x0000_i1130" type="#_x0000_t75" style="width:29.9pt;height:14.05pt" o:ole="">
            <v:imagedata r:id="rId213" o:title=""/>
          </v:shape>
          <o:OLEObject Type="Embed" ProgID="Equation.3" ShapeID="_x0000_i1130" DrawAspect="Content" ObjectID="_1457423502" r:id="rId214"/>
        </w:object>
      </w:r>
      <w:r w:rsidRPr="00A31B12">
        <w:rPr>
          <w:rFonts w:ascii="Arial" w:hAnsi="Arial" w:cs="Arial"/>
          <w:bCs/>
          <w:sz w:val="20"/>
          <w:szCs w:val="20"/>
        </w:rPr>
        <w:t xml:space="preserve"> (dicembre) si riduce alla forma seguente </w:t>
      </w:r>
      <w:r w:rsidRPr="00EB1F3A">
        <w:rPr>
          <w:rFonts w:ascii="Arial" w:hAnsi="Arial" w:cs="Arial"/>
          <w:position w:val="-18"/>
          <w:sz w:val="20"/>
          <w:szCs w:val="20"/>
        </w:rPr>
        <w:object w:dxaOrig="3540" w:dyaOrig="499">
          <v:shape id="_x0000_i1131" type="#_x0000_t75" style="width:158.05pt;height:22.45pt" o:ole="">
            <v:imagedata r:id="rId215" o:title=""/>
          </v:shape>
          <o:OLEObject Type="Embed" ProgID="Equation.3" ShapeID="_x0000_i1131" DrawAspect="Content" ObjectID="_1457423503" r:id="rId216"/>
        </w:object>
      </w:r>
      <w:r w:rsidRPr="00A31B12">
        <w:rPr>
          <w:rFonts w:ascii="Arial" w:hAnsi="Arial" w:cs="Arial"/>
          <w:sz w:val="20"/>
          <w:szCs w:val="20"/>
        </w:rPr>
        <w:t>. Per costruzione, la somma dei contributi delle</w:t>
      </w:r>
      <w:r w:rsidRPr="00FC3596">
        <w:rPr>
          <w:rFonts w:ascii="Arial" w:hAnsi="Arial" w:cs="Arial"/>
          <w:bCs/>
          <w:position w:val="-6"/>
          <w:sz w:val="20"/>
          <w:szCs w:val="20"/>
        </w:rPr>
        <w:object w:dxaOrig="200" w:dyaOrig="279">
          <v:shape id="_x0000_i1132" type="#_x0000_t75" style="width:9.8pt;height:14.05pt" o:ole="">
            <v:imagedata r:id="rId174" o:title=""/>
          </v:shape>
          <o:OLEObject Type="Embed" ProgID="Equation.3" ShapeID="_x0000_i1132" DrawAspect="Content" ObjectID="_1457423504" r:id="rId217"/>
        </w:object>
      </w:r>
      <w:r>
        <w:rPr>
          <w:rFonts w:ascii="Arial" w:hAnsi="Arial" w:cs="Arial"/>
          <w:bCs/>
          <w:sz w:val="20"/>
          <w:szCs w:val="20"/>
        </w:rPr>
        <w:t xml:space="preserve"> sotto-</w:t>
      </w:r>
      <w:r w:rsidRPr="00A31B12">
        <w:rPr>
          <w:rFonts w:ascii="Arial" w:hAnsi="Arial" w:cs="Arial"/>
          <w:sz w:val="20"/>
          <w:szCs w:val="20"/>
        </w:rPr>
        <w:t xml:space="preserve">componenti </w:t>
      </w:r>
      <w:r>
        <w:rPr>
          <w:rFonts w:ascii="Arial" w:hAnsi="Arial" w:cs="Arial"/>
          <w:sz w:val="20"/>
          <w:szCs w:val="20"/>
        </w:rPr>
        <w:t>del</w:t>
      </w:r>
      <w:r w:rsidRPr="00A31B12">
        <w:rPr>
          <w:rFonts w:ascii="Arial" w:hAnsi="Arial" w:cs="Arial"/>
          <w:sz w:val="20"/>
          <w:szCs w:val="20"/>
        </w:rPr>
        <w:t>l’indice aggregato</w:t>
      </w:r>
      <w:r>
        <w:rPr>
          <w:rFonts w:ascii="Arial" w:hAnsi="Arial" w:cs="Arial"/>
          <w:sz w:val="20"/>
          <w:szCs w:val="20"/>
        </w:rPr>
        <w:t xml:space="preserve"> </w:t>
      </w:r>
      <w:r w:rsidRPr="003F010B">
        <w:rPr>
          <w:rFonts w:ascii="Arial" w:hAnsi="Arial" w:cs="Arial"/>
          <w:bCs/>
          <w:position w:val="-6"/>
          <w:sz w:val="20"/>
          <w:szCs w:val="20"/>
        </w:rPr>
        <w:object w:dxaOrig="200" w:dyaOrig="220">
          <v:shape id="_x0000_i1133" type="#_x0000_t75" style="width:8.9pt;height:9.8pt" o:ole="">
            <v:imagedata r:id="rId218" o:title=""/>
          </v:shape>
          <o:OLEObject Type="Embed" ProgID="Equation.3" ShapeID="_x0000_i1133" DrawAspect="Content" ObjectID="_1457423505" r:id="rId219"/>
        </w:object>
      </w:r>
      <w:r w:rsidRPr="00A31B12">
        <w:rPr>
          <w:rFonts w:ascii="Arial" w:hAnsi="Arial" w:cs="Arial"/>
          <w:sz w:val="20"/>
          <w:szCs w:val="20"/>
        </w:rPr>
        <w:t xml:space="preserve"> riproduce la variazione tendenziale dello stesso: in formule, </w:t>
      </w:r>
      <w:r w:rsidRPr="00593BB4">
        <w:rPr>
          <w:rFonts w:ascii="Arial" w:hAnsi="Arial" w:cs="Arial"/>
          <w:position w:val="-38"/>
          <w:sz w:val="20"/>
          <w:szCs w:val="20"/>
        </w:rPr>
        <w:object w:dxaOrig="2720" w:dyaOrig="700">
          <v:shape id="_x0000_i1134" type="#_x0000_t75" style="width:123.9pt;height:31.3pt" o:ole="">
            <v:imagedata r:id="rId220" o:title=""/>
          </v:shape>
          <o:OLEObject Type="Embed" ProgID="Equation.3" ShapeID="_x0000_i1134" DrawAspect="Content" ObjectID="_1457423506" r:id="rId221"/>
        </w:object>
      </w:r>
      <w:r w:rsidRPr="00A31B12">
        <w:rPr>
          <w:rFonts w:ascii="Arial" w:hAnsi="Arial" w:cs="Arial"/>
          <w:sz w:val="20"/>
          <w:szCs w:val="20"/>
        </w:rPr>
        <w:t xml:space="preserve">. </w:t>
      </w:r>
    </w:p>
    <w:p w:rsidR="00954A76" w:rsidRPr="00464C00" w:rsidRDefault="00165090" w:rsidP="00464C00">
      <w:pPr>
        <w:spacing w:after="120"/>
        <w:ind w:left="1814"/>
        <w:jc w:val="both"/>
        <w:rPr>
          <w:rFonts w:ascii="Arial" w:hAnsi="Arial" w:cs="Arial"/>
          <w:b/>
          <w:sz w:val="22"/>
          <w:szCs w:val="22"/>
        </w:rPr>
      </w:pPr>
      <w:r>
        <w:rPr>
          <w:rFonts w:ascii="Arial" w:hAnsi="Arial" w:cs="Arial"/>
          <w:b/>
          <w:sz w:val="22"/>
          <w:szCs w:val="22"/>
        </w:rPr>
        <w:t>R</w:t>
      </w:r>
      <w:r w:rsidRPr="0049072E">
        <w:rPr>
          <w:rFonts w:ascii="Arial" w:hAnsi="Arial" w:cs="Arial"/>
          <w:b/>
          <w:sz w:val="22"/>
          <w:szCs w:val="22"/>
        </w:rPr>
        <w:t xml:space="preserve">egole di </w:t>
      </w:r>
      <w:r>
        <w:rPr>
          <w:rFonts w:ascii="Arial" w:hAnsi="Arial" w:cs="Arial"/>
          <w:b/>
          <w:sz w:val="22"/>
          <w:szCs w:val="22"/>
        </w:rPr>
        <w:t xml:space="preserve">calcolo e di </w:t>
      </w:r>
      <w:r w:rsidRPr="0049072E">
        <w:rPr>
          <w:rFonts w:ascii="Arial" w:hAnsi="Arial" w:cs="Arial"/>
          <w:b/>
          <w:sz w:val="22"/>
          <w:szCs w:val="22"/>
        </w:rPr>
        <w:t>arrotondamento</w:t>
      </w:r>
      <w:r w:rsidR="00C976ED">
        <w:rPr>
          <w:rFonts w:ascii="Arial" w:hAnsi="Arial" w:cs="Arial"/>
          <w:b/>
          <w:sz w:val="22"/>
          <w:szCs w:val="22"/>
        </w:rPr>
        <w:t xml:space="preserve">. </w:t>
      </w:r>
      <w:r w:rsidRPr="00670201">
        <w:rPr>
          <w:rFonts w:ascii="Arial" w:hAnsi="Arial" w:cs="Arial"/>
          <w:sz w:val="20"/>
          <w:szCs w:val="20"/>
        </w:rPr>
        <w:t>Tutte le operazioni sugli indici dei prezzi alla produzione sono effettuate su dati espressi in termini unitari:</w:t>
      </w:r>
      <w:r w:rsidRPr="00043116">
        <w:rPr>
          <w:rFonts w:ascii="Arial" w:hAnsi="Arial" w:cs="Arial"/>
          <w:sz w:val="20"/>
          <w:szCs w:val="20"/>
        </w:rPr>
        <w:t xml:space="preserve"> </w:t>
      </w:r>
      <w:r w:rsidRPr="00B959D7">
        <w:rPr>
          <w:rFonts w:ascii="Arial" w:hAnsi="Arial" w:cs="Arial"/>
          <w:sz w:val="20"/>
          <w:szCs w:val="20"/>
        </w:rPr>
        <w:t xml:space="preserve">la percentualizzazione è </w:t>
      </w:r>
      <w:r>
        <w:rPr>
          <w:rFonts w:ascii="Arial" w:hAnsi="Arial" w:cs="Arial"/>
          <w:sz w:val="20"/>
          <w:szCs w:val="20"/>
        </w:rPr>
        <w:t xml:space="preserve">a valle </w:t>
      </w:r>
      <w:r w:rsidRPr="00B959D7">
        <w:rPr>
          <w:rFonts w:ascii="Arial" w:hAnsi="Arial" w:cs="Arial"/>
          <w:sz w:val="20"/>
          <w:szCs w:val="20"/>
        </w:rPr>
        <w:t>del calcolo longitudinale</w:t>
      </w:r>
      <w:r>
        <w:rPr>
          <w:rFonts w:ascii="Arial" w:hAnsi="Arial" w:cs="Arial"/>
          <w:sz w:val="20"/>
          <w:szCs w:val="20"/>
        </w:rPr>
        <w:t>, precedendo l’arrotondamento</w:t>
      </w:r>
      <w:r w:rsidRPr="00647F11">
        <w:rPr>
          <w:rFonts w:ascii="Arial" w:hAnsi="Arial" w:cs="Arial"/>
          <w:sz w:val="20"/>
          <w:szCs w:val="20"/>
        </w:rPr>
        <w:t>.</w:t>
      </w:r>
      <w:r>
        <w:rPr>
          <w:rFonts w:ascii="Arial" w:hAnsi="Arial" w:cs="Arial"/>
          <w:sz w:val="20"/>
          <w:szCs w:val="20"/>
        </w:rPr>
        <w:t xml:space="preserve"> Gli indici sono costruiti prima nella base di calcolo e quindi in quella di riferimento. Le variazioni congiunturali e tendenziali si calcolano sugli indici in base di riferimento. Coerentemente, la scomposizione delle variazioni degli indici riguarda la base di riferimento. Il primo livello di calcolo (prezzo relativo unitario) è il quoziente del rapporto </w:t>
      </w:r>
      <w:r w:rsidRPr="007A56A3">
        <w:rPr>
          <w:rFonts w:ascii="Arial" w:hAnsi="Arial" w:cs="Arial"/>
          <w:i/>
          <w:sz w:val="20"/>
          <w:szCs w:val="20"/>
        </w:rPr>
        <w:t>prezzo corrente/prezzo base</w:t>
      </w:r>
      <w:r>
        <w:rPr>
          <w:rFonts w:ascii="Arial" w:hAnsi="Arial" w:cs="Arial"/>
          <w:sz w:val="20"/>
          <w:szCs w:val="20"/>
        </w:rPr>
        <w:t xml:space="preserve"> che non viene arrotondato.</w:t>
      </w:r>
      <w:r w:rsidR="00ED0B31">
        <w:rPr>
          <w:rFonts w:ascii="Arial" w:hAnsi="Arial" w:cs="Arial"/>
          <w:sz w:val="20"/>
          <w:szCs w:val="20"/>
        </w:rPr>
        <w:t xml:space="preserve"> </w:t>
      </w:r>
      <w:r>
        <w:rPr>
          <w:rFonts w:ascii="Arial" w:hAnsi="Arial" w:cs="Arial"/>
          <w:sz w:val="20"/>
          <w:szCs w:val="20"/>
        </w:rPr>
        <w:t>L’indice elementare di prodotto, ottenuto per sintesi in media geometrica dei prezzi relativi unitari, si arrotonda all’ottava cifra decimale.</w:t>
      </w:r>
      <w:r w:rsidR="00ED0B31">
        <w:rPr>
          <w:rFonts w:ascii="Arial" w:hAnsi="Arial" w:cs="Arial"/>
          <w:sz w:val="20"/>
          <w:szCs w:val="20"/>
        </w:rPr>
        <w:t xml:space="preserve"> </w:t>
      </w:r>
      <w:r>
        <w:rPr>
          <w:rFonts w:ascii="Arial" w:hAnsi="Arial" w:cs="Arial"/>
          <w:sz w:val="20"/>
          <w:szCs w:val="20"/>
        </w:rPr>
        <w:t>Tutti gli indici aggregati di ordine superiore al prodotto si ottengono per sintesi in media aritmetica ponderata (</w:t>
      </w:r>
      <w:proofErr w:type="spellStart"/>
      <w:r>
        <w:rPr>
          <w:rFonts w:ascii="Arial" w:hAnsi="Arial" w:cs="Arial"/>
          <w:sz w:val="20"/>
          <w:szCs w:val="20"/>
        </w:rPr>
        <w:t>Laspeyres</w:t>
      </w:r>
      <w:proofErr w:type="spellEnd"/>
      <w:r>
        <w:rPr>
          <w:rFonts w:ascii="Arial" w:hAnsi="Arial" w:cs="Arial"/>
          <w:sz w:val="20"/>
          <w:szCs w:val="20"/>
        </w:rPr>
        <w:t>) degli indici di prodotto (già arrotondati come specificato sopra) a partire dagli indici di prodotto. Questo calcolo si arrotonda alla sesta cifra decimale. Gli indici delle variabili di sintesi (indice totale, mercato estero) si calcolano solo in base di riferimento come medie aritmetiche ponderate delle variabili rilevate. I pesi sono rapporti di valori assoluti, espressi solo in parte intera, con l’ultima cifra arrotondata. Gli indici sono arrotondati alla sesta cifra decimale.</w:t>
      </w:r>
      <w:r w:rsidR="00ED0B31">
        <w:rPr>
          <w:rFonts w:ascii="Arial" w:hAnsi="Arial" w:cs="Arial"/>
          <w:sz w:val="20"/>
          <w:szCs w:val="20"/>
        </w:rPr>
        <w:t xml:space="preserve"> </w:t>
      </w:r>
      <w:r>
        <w:rPr>
          <w:rFonts w:ascii="Arial" w:hAnsi="Arial" w:cs="Arial"/>
          <w:sz w:val="20"/>
          <w:szCs w:val="20"/>
        </w:rPr>
        <w:t>I</w:t>
      </w:r>
      <w:r w:rsidRPr="00E66F5A">
        <w:rPr>
          <w:rFonts w:ascii="Arial" w:hAnsi="Arial" w:cs="Arial"/>
          <w:sz w:val="20"/>
          <w:szCs w:val="20"/>
        </w:rPr>
        <w:t xml:space="preserve"> numeri indici</w:t>
      </w:r>
      <w:r>
        <w:rPr>
          <w:rFonts w:ascii="Arial" w:hAnsi="Arial" w:cs="Arial"/>
          <w:sz w:val="20"/>
          <w:szCs w:val="20"/>
        </w:rPr>
        <w:t xml:space="preserve"> dei prezzi sono diffusi in forma percentuale: la parte intera è definita da tre cifre e quella decimale da una, arrotondata.</w:t>
      </w:r>
      <w:r w:rsidR="00ED0B31">
        <w:rPr>
          <w:rFonts w:ascii="Arial" w:hAnsi="Arial" w:cs="Arial"/>
          <w:sz w:val="20"/>
          <w:szCs w:val="20"/>
        </w:rPr>
        <w:t xml:space="preserve"> </w:t>
      </w:r>
      <w:r w:rsidRPr="003817B8">
        <w:rPr>
          <w:rFonts w:ascii="Arial" w:hAnsi="Arial" w:cs="Arial"/>
          <w:sz w:val="20"/>
          <w:szCs w:val="20"/>
        </w:rPr>
        <w:t xml:space="preserve">La regola generale di arrotondamento prevede che il decimale di posto </w:t>
      </w:r>
      <w:r w:rsidRPr="003817B8">
        <w:rPr>
          <w:rFonts w:ascii="Arial" w:hAnsi="Arial" w:cs="Arial"/>
          <w:position w:val="-6"/>
          <w:sz w:val="20"/>
          <w:szCs w:val="20"/>
        </w:rPr>
        <w:object w:dxaOrig="200" w:dyaOrig="220">
          <v:shape id="_x0000_i1135" type="#_x0000_t75" style="width:8.9pt;height:9.8pt" o:ole="">
            <v:imagedata r:id="rId222" o:title=""/>
          </v:shape>
          <o:OLEObject Type="Embed" ProgID="Equation.3" ShapeID="_x0000_i1135" DrawAspect="Content" ObjectID="_1457423507" r:id="rId223"/>
        </w:object>
      </w:r>
      <w:r w:rsidRPr="003817B8">
        <w:rPr>
          <w:rFonts w:ascii="Arial" w:hAnsi="Arial" w:cs="Arial"/>
          <w:sz w:val="20"/>
          <w:szCs w:val="20"/>
        </w:rPr>
        <w:t xml:space="preserve"> sia arrotondato, </w:t>
      </w:r>
      <w:r w:rsidRPr="003817B8">
        <w:rPr>
          <w:rFonts w:ascii="Arial" w:hAnsi="Arial" w:cs="Arial"/>
          <w:position w:val="-10"/>
          <w:sz w:val="20"/>
          <w:szCs w:val="20"/>
        </w:rPr>
        <w:object w:dxaOrig="680" w:dyaOrig="320">
          <v:shape id="_x0000_i1136" type="#_x0000_t75" style="width:30.85pt;height:14.05pt" o:ole="">
            <v:imagedata r:id="rId224" o:title=""/>
          </v:shape>
          <o:OLEObject Type="Embed" ProgID="Equation.3" ShapeID="_x0000_i1136" DrawAspect="Content" ObjectID="_1457423508" r:id="rId225"/>
        </w:object>
      </w:r>
      <w:r w:rsidRPr="003817B8">
        <w:rPr>
          <w:rFonts w:ascii="Arial" w:hAnsi="Arial" w:cs="Arial"/>
          <w:sz w:val="20"/>
          <w:szCs w:val="20"/>
        </w:rPr>
        <w:t xml:space="preserve">, a seconda che il decimale di posto successivo a </w:t>
      </w:r>
      <w:r w:rsidRPr="003817B8">
        <w:rPr>
          <w:rFonts w:ascii="Arial" w:hAnsi="Arial" w:cs="Arial"/>
          <w:position w:val="-6"/>
          <w:sz w:val="20"/>
          <w:szCs w:val="20"/>
        </w:rPr>
        <w:object w:dxaOrig="200" w:dyaOrig="220">
          <v:shape id="_x0000_i1137" type="#_x0000_t75" style="width:8.9pt;height:9.8pt" o:ole="">
            <v:imagedata r:id="rId222" o:title=""/>
          </v:shape>
          <o:OLEObject Type="Embed" ProgID="Equation.3" ShapeID="_x0000_i1137" DrawAspect="Content" ObjectID="_1457423509" r:id="rId226"/>
        </w:object>
      </w:r>
      <w:r w:rsidRPr="003817B8">
        <w:rPr>
          <w:rFonts w:ascii="Arial" w:hAnsi="Arial" w:cs="Arial"/>
          <w:sz w:val="20"/>
          <w:szCs w:val="20"/>
        </w:rPr>
        <w:t xml:space="preserve">, </w:t>
      </w:r>
      <w:r w:rsidRPr="003817B8">
        <w:rPr>
          <w:rFonts w:ascii="Arial" w:hAnsi="Arial" w:cs="Arial"/>
          <w:position w:val="-10"/>
          <w:sz w:val="20"/>
          <w:szCs w:val="20"/>
        </w:rPr>
        <w:object w:dxaOrig="560" w:dyaOrig="320">
          <v:shape id="_x0000_i1138" type="#_x0000_t75" style="width:25.7pt;height:14.05pt" o:ole="">
            <v:imagedata r:id="rId227" o:title=""/>
          </v:shape>
          <o:OLEObject Type="Embed" ProgID="Equation.3" ShapeID="_x0000_i1138" DrawAspect="Content" ObjectID="_1457423510" r:id="rId228"/>
        </w:object>
      </w:r>
      <w:r w:rsidRPr="003817B8">
        <w:rPr>
          <w:rFonts w:ascii="Arial" w:hAnsi="Arial" w:cs="Arial"/>
          <w:sz w:val="20"/>
          <w:szCs w:val="20"/>
        </w:rPr>
        <w:t xml:space="preserve">, sia </w:t>
      </w:r>
      <w:r w:rsidRPr="003817B8">
        <w:rPr>
          <w:rFonts w:ascii="Arial" w:hAnsi="Arial" w:cs="Arial"/>
          <w:position w:val="-10"/>
          <w:sz w:val="20"/>
          <w:szCs w:val="20"/>
        </w:rPr>
        <w:object w:dxaOrig="420" w:dyaOrig="320">
          <v:shape id="_x0000_i1139" type="#_x0000_t75" style="width:18.7pt;height:14.05pt" o:ole="">
            <v:imagedata r:id="rId229" o:title=""/>
          </v:shape>
          <o:OLEObject Type="Embed" ProgID="Equation.3" ShapeID="_x0000_i1139" DrawAspect="Content" ObjectID="_1457423511" r:id="rId230"/>
        </w:object>
      </w:r>
      <w:r w:rsidRPr="003817B8">
        <w:rPr>
          <w:rFonts w:ascii="Arial" w:hAnsi="Arial" w:cs="Arial"/>
          <w:sz w:val="20"/>
          <w:szCs w:val="20"/>
        </w:rPr>
        <w:t xml:space="preserve"> oppure </w:t>
      </w:r>
      <w:r w:rsidRPr="003817B8">
        <w:rPr>
          <w:rFonts w:ascii="Arial" w:hAnsi="Arial" w:cs="Arial"/>
          <w:position w:val="-10"/>
          <w:sz w:val="20"/>
          <w:szCs w:val="20"/>
        </w:rPr>
        <w:object w:dxaOrig="380" w:dyaOrig="320">
          <v:shape id="_x0000_i1140" type="#_x0000_t75" style="width:17.3pt;height:14.05pt" o:ole="">
            <v:imagedata r:id="rId231" o:title=""/>
          </v:shape>
          <o:OLEObject Type="Embed" ProgID="Equation.3" ShapeID="_x0000_i1140" DrawAspect="Content" ObjectID="_1457423512" r:id="rId232"/>
        </w:object>
      </w:r>
      <w:r w:rsidRPr="003817B8">
        <w:rPr>
          <w:rFonts w:ascii="Arial" w:hAnsi="Arial" w:cs="Arial"/>
          <w:sz w:val="20"/>
          <w:szCs w:val="20"/>
        </w:rPr>
        <w:t xml:space="preserve">. Nel primo caso (arrotondamento per eccesso), </w:t>
      </w:r>
      <w:r w:rsidRPr="003817B8">
        <w:rPr>
          <w:rFonts w:ascii="Arial" w:hAnsi="Arial" w:cs="Arial"/>
          <w:position w:val="-10"/>
          <w:sz w:val="20"/>
          <w:szCs w:val="20"/>
        </w:rPr>
        <w:object w:dxaOrig="1380" w:dyaOrig="320">
          <v:shape id="_x0000_i1141" type="#_x0000_t75" style="width:62.2pt;height:14.05pt" o:ole="">
            <v:imagedata r:id="rId233" o:title=""/>
          </v:shape>
          <o:OLEObject Type="Embed" ProgID="Equation.3" ShapeID="_x0000_i1141" DrawAspect="Content" ObjectID="_1457423513" r:id="rId234"/>
        </w:object>
      </w:r>
      <w:r w:rsidRPr="003817B8">
        <w:rPr>
          <w:rFonts w:ascii="Arial" w:hAnsi="Arial" w:cs="Arial"/>
          <w:sz w:val="20"/>
          <w:szCs w:val="20"/>
        </w:rPr>
        <w:t xml:space="preserve">; nel secondo, </w:t>
      </w:r>
      <w:r w:rsidRPr="003817B8">
        <w:rPr>
          <w:rFonts w:ascii="Arial" w:hAnsi="Arial" w:cs="Arial"/>
          <w:position w:val="-10"/>
          <w:sz w:val="20"/>
          <w:szCs w:val="20"/>
        </w:rPr>
        <w:object w:dxaOrig="1100" w:dyaOrig="320">
          <v:shape id="_x0000_i1142" type="#_x0000_t75" style="width:49.55pt;height:14.05pt" o:ole="">
            <v:imagedata r:id="rId235" o:title=""/>
          </v:shape>
          <o:OLEObject Type="Embed" ProgID="Equation.3" ShapeID="_x0000_i1142" DrawAspect="Content" ObjectID="_1457423514" r:id="rId236"/>
        </w:object>
      </w:r>
      <w:r w:rsidRPr="003817B8">
        <w:rPr>
          <w:rFonts w:ascii="Arial" w:hAnsi="Arial" w:cs="Arial"/>
          <w:sz w:val="20"/>
          <w:szCs w:val="20"/>
        </w:rPr>
        <w:t>.</w:t>
      </w:r>
      <w:r w:rsidR="00ED0B31">
        <w:rPr>
          <w:rFonts w:ascii="Arial" w:hAnsi="Arial" w:cs="Arial"/>
          <w:sz w:val="20"/>
          <w:szCs w:val="20"/>
        </w:rPr>
        <w:t xml:space="preserve"> </w:t>
      </w:r>
      <w:r w:rsidRPr="00670201">
        <w:rPr>
          <w:rFonts w:ascii="Arial" w:hAnsi="Arial" w:cs="Arial"/>
          <w:sz w:val="20"/>
          <w:szCs w:val="20"/>
        </w:rPr>
        <w:t>Gli arrotondamenti sono introdotti sia nel processo di sintesi per colonna, sia in quello per riga e riguardano tanto i livelli degli indici che i risultati di operazioni effettuate sui livelli medesimi</w:t>
      </w:r>
      <w:r>
        <w:rPr>
          <w:rFonts w:ascii="Arial" w:hAnsi="Arial" w:cs="Arial"/>
          <w:sz w:val="20"/>
          <w:szCs w:val="20"/>
        </w:rPr>
        <w:t>: medie, variazioni percentuali</w:t>
      </w:r>
      <w:r w:rsidRPr="00670201">
        <w:rPr>
          <w:rFonts w:ascii="Arial" w:hAnsi="Arial" w:cs="Arial"/>
          <w:sz w:val="20"/>
          <w:szCs w:val="20"/>
        </w:rPr>
        <w:t>.</w:t>
      </w:r>
      <w:r w:rsidR="00ED0B31">
        <w:rPr>
          <w:rFonts w:ascii="Arial" w:hAnsi="Arial" w:cs="Arial"/>
          <w:sz w:val="20"/>
          <w:szCs w:val="20"/>
        </w:rPr>
        <w:t xml:space="preserve"> </w:t>
      </w:r>
      <w:r>
        <w:rPr>
          <w:rFonts w:ascii="Arial" w:hAnsi="Arial" w:cs="Arial"/>
          <w:sz w:val="20"/>
          <w:szCs w:val="20"/>
        </w:rPr>
        <w:t xml:space="preserve">Con riguardo al calcolo delle variazioni (su base congiunturale e tendenziale), </w:t>
      </w:r>
      <w:r w:rsidR="00F95934">
        <w:rPr>
          <w:rFonts w:ascii="Arial" w:hAnsi="Arial" w:cs="Arial"/>
          <w:sz w:val="20"/>
          <w:szCs w:val="20"/>
        </w:rPr>
        <w:t>questo</w:t>
      </w:r>
      <w:r>
        <w:rPr>
          <w:rFonts w:ascii="Arial" w:hAnsi="Arial" w:cs="Arial"/>
          <w:sz w:val="20"/>
          <w:szCs w:val="20"/>
        </w:rPr>
        <w:t xml:space="preserve"> viene effettuato a livello unitario, quindi si percentualizza e poi si arrotonda al primo decimale.</w:t>
      </w:r>
      <w:r w:rsidR="00ED0B31">
        <w:rPr>
          <w:rFonts w:ascii="Arial" w:hAnsi="Arial" w:cs="Arial"/>
          <w:sz w:val="20"/>
          <w:szCs w:val="20"/>
        </w:rPr>
        <w:t xml:space="preserve"> </w:t>
      </w:r>
      <w:r>
        <w:rPr>
          <w:rFonts w:ascii="Arial" w:hAnsi="Arial" w:cs="Arial"/>
          <w:sz w:val="20"/>
          <w:szCs w:val="20"/>
        </w:rPr>
        <w:t>I contributi alle variazioni sono arrotondati con la stessa regola. La scomposizione in termini additivi della variazione percentuale (della base di riferimento) si ottiene da una media aritmetica ponderata sugli indici in base di calcolo delle sotto-componenti. I contributi unitari assoluti si calcolano con sei decimali (il sesto è arrotondato). La ricostruzione esatta della variazione implica, per questioni legate agli arrotondamenti, la redistribuzione di un resto che viene effettuata proporzionalmente all’entità e al segno della variazione dell’aggregato.</w:t>
      </w:r>
      <w:r w:rsidR="00954A76">
        <w:rPr>
          <w:rFonts w:ascii="Arial" w:hAnsi="Arial" w:cs="Arial"/>
          <w:sz w:val="20"/>
          <w:szCs w:val="20"/>
        </w:rPr>
        <w:t xml:space="preserve"> </w:t>
      </w:r>
    </w:p>
    <w:sectPr w:rsidR="00954A76" w:rsidRPr="00464C00" w:rsidSect="00152802">
      <w:headerReference w:type="first" r:id="rId237"/>
      <w:pgSz w:w="11906" w:h="16838" w:code="9"/>
      <w:pgMar w:top="567" w:right="680" w:bottom="680" w:left="680" w:header="720" w:footer="720" w:gutter="0"/>
      <w:pgNumType w:start="2"/>
      <w:cols w:sep="1" w:space="7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B5" w:rsidRDefault="009B2AB5">
      <w:r>
        <w:separator/>
      </w:r>
    </w:p>
  </w:endnote>
  <w:endnote w:type="continuationSeparator" w:id="0">
    <w:p w:rsidR="009B2AB5" w:rsidRDefault="009B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C5" w:rsidRDefault="004F5AC5" w:rsidP="00BF2BB7">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4F5AC5" w:rsidRDefault="004F5AC5" w:rsidP="00BF2BB7">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C5" w:rsidRDefault="004F5AC5" w:rsidP="00BF2BB7">
    <w:pPr>
      <w:pStyle w:val="Pidipagina"/>
      <w:framePr w:wrap="around" w:vAnchor="text" w:hAnchor="margin" w:y="1"/>
      <w:spacing w:before="40"/>
      <w:rPr>
        <w:rFonts w:ascii="Arial" w:hAnsi="Arial" w:cs="Arial"/>
        <w:b/>
        <w:bCs/>
        <w:sz w:val="20"/>
        <w:szCs w:val="20"/>
      </w:rPr>
    </w:pPr>
    <w:r>
      <w:rPr>
        <w:rFonts w:ascii="Arial" w:hAnsi="Arial" w:cs="Arial"/>
        <w:b/>
        <w:bCs/>
        <w:noProof/>
        <w:sz w:val="20"/>
        <w:szCs w:val="16"/>
      </w:rPr>
      <w:drawing>
        <wp:inline distT="0" distB="0" distL="0" distR="0">
          <wp:extent cx="495300" cy="142875"/>
          <wp:effectExtent l="0" t="0" r="0" b="9525"/>
          <wp:docPr id="121" name="Immagine 1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142875"/>
                  </a:xfrm>
                  <a:prstGeom prst="rect">
                    <a:avLst/>
                  </a:prstGeom>
                  <a:noFill/>
                  <a:ln>
                    <a:noFill/>
                  </a:ln>
                </pic:spPr>
              </pic:pic>
            </a:graphicData>
          </a:graphic>
        </wp:inline>
      </w:drawing>
    </w:r>
    <w:r w:rsidRPr="00320704">
      <w:rPr>
        <w:rFonts w:ascii="Arial" w:hAnsi="Arial" w:cs="Arial"/>
        <w:bCs/>
        <w:sz w:val="20"/>
        <w:szCs w:val="16"/>
      </w:rPr>
      <w:t xml:space="preserve"> </w:t>
    </w:r>
    <w:r w:rsidRPr="00320704">
      <w:rPr>
        <w:rStyle w:val="Numeropagina"/>
        <w:rFonts w:ascii="Arial" w:hAnsi="Arial" w:cs="Arial"/>
        <w:bCs/>
        <w:color w:val="99CC00"/>
        <w:sz w:val="20"/>
        <w:szCs w:val="20"/>
      </w:rPr>
      <w:t xml:space="preserve"> </w:t>
    </w:r>
    <w:r>
      <w:rPr>
        <w:rStyle w:val="Numeropagina"/>
        <w:rFonts w:ascii="Arial" w:hAnsi="Arial" w:cs="Arial"/>
        <w:b/>
        <w:bCs/>
        <w:color w:val="99CC00"/>
        <w:sz w:val="20"/>
        <w:szCs w:val="20"/>
      </w:rPr>
      <w:t>│</w:t>
    </w:r>
    <w:r w:rsidRPr="00320704">
      <w:rPr>
        <w:rStyle w:val="Numeropagina"/>
        <w:rFonts w:ascii="Arial" w:hAnsi="Arial" w:cs="Arial"/>
        <w:b/>
        <w:bCs/>
        <w:color w:val="99CC00"/>
        <w:sz w:val="16"/>
        <w:szCs w:val="16"/>
      </w:rPr>
      <w:t xml:space="preserve">  </w:t>
    </w:r>
    <w:r>
      <w:rPr>
        <w:rStyle w:val="Numeropagina"/>
        <w:rFonts w:ascii="Arial" w:hAnsi="Arial" w:cs="Arial"/>
        <w:b/>
        <w:bCs/>
        <w:color w:val="99CC00"/>
        <w:sz w:val="20"/>
        <w:szCs w:val="20"/>
      </w:rPr>
      <w:fldChar w:fldCharType="begin"/>
    </w:r>
    <w:r>
      <w:rPr>
        <w:rStyle w:val="Numeropagina"/>
        <w:rFonts w:ascii="Arial" w:hAnsi="Arial" w:cs="Arial"/>
        <w:b/>
        <w:bCs/>
        <w:color w:val="99CC00"/>
        <w:sz w:val="20"/>
        <w:szCs w:val="20"/>
      </w:rPr>
      <w:instrText xml:space="preserve">PAGE  </w:instrText>
    </w:r>
    <w:r>
      <w:rPr>
        <w:rStyle w:val="Numeropagina"/>
        <w:rFonts w:ascii="Arial" w:hAnsi="Arial" w:cs="Arial"/>
        <w:b/>
        <w:bCs/>
        <w:color w:val="99CC00"/>
        <w:sz w:val="20"/>
        <w:szCs w:val="20"/>
      </w:rPr>
      <w:fldChar w:fldCharType="separate"/>
    </w:r>
    <w:r w:rsidR="000D5828">
      <w:rPr>
        <w:rStyle w:val="Numeropagina"/>
        <w:rFonts w:ascii="Arial" w:hAnsi="Arial" w:cs="Arial"/>
        <w:b/>
        <w:bCs/>
        <w:noProof/>
        <w:color w:val="99CC00"/>
        <w:sz w:val="20"/>
        <w:szCs w:val="20"/>
      </w:rPr>
      <w:t>3</w:t>
    </w:r>
    <w:r>
      <w:rPr>
        <w:rStyle w:val="Numeropagina"/>
        <w:rFonts w:ascii="Arial" w:hAnsi="Arial" w:cs="Arial"/>
        <w:b/>
        <w:bCs/>
        <w:color w:val="99CC00"/>
        <w:sz w:val="20"/>
        <w:szCs w:val="20"/>
      </w:rPr>
      <w:fldChar w:fldCharType="end"/>
    </w:r>
  </w:p>
  <w:p w:rsidR="004F5AC5" w:rsidRPr="00BF2BB7" w:rsidRDefault="004F5AC5" w:rsidP="00BF2BB7">
    <w:pPr>
      <w:pStyle w:val="Pidipagina"/>
      <w:ind w:right="360" w:firstLine="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B5" w:rsidRDefault="009B2AB5">
      <w:r>
        <w:separator/>
      </w:r>
    </w:p>
  </w:footnote>
  <w:footnote w:type="continuationSeparator" w:id="0">
    <w:p w:rsidR="009B2AB5" w:rsidRDefault="009B2AB5">
      <w:r>
        <w:continuationSeparator/>
      </w:r>
    </w:p>
  </w:footnote>
  <w:footnote w:id="1">
    <w:p w:rsidR="004F5AC5" w:rsidRPr="00F12336" w:rsidRDefault="004F5AC5" w:rsidP="00696E8C">
      <w:pPr>
        <w:pStyle w:val="Testonotaapidipagina"/>
        <w:jc w:val="both"/>
        <w:rPr>
          <w:rFonts w:ascii="Arial" w:hAnsi="Arial" w:cs="Arial"/>
          <w:sz w:val="15"/>
          <w:szCs w:val="15"/>
        </w:rPr>
      </w:pPr>
      <w:r w:rsidRPr="00F12336">
        <w:rPr>
          <w:rStyle w:val="Rimandonotaapidipagina"/>
          <w:rFonts w:ascii="Arial" w:hAnsi="Arial" w:cs="Arial"/>
          <w:sz w:val="15"/>
          <w:szCs w:val="15"/>
        </w:rPr>
        <w:footnoteRef/>
      </w:r>
      <w:r w:rsidRPr="00F12336">
        <w:rPr>
          <w:rFonts w:ascii="Arial" w:hAnsi="Arial" w:cs="Arial"/>
          <w:sz w:val="15"/>
          <w:szCs w:val="15"/>
        </w:rPr>
        <w:t xml:space="preserve"> </w:t>
      </w:r>
      <w:r>
        <w:rPr>
          <w:rFonts w:ascii="Arial" w:hAnsi="Arial" w:cs="Arial"/>
          <w:sz w:val="15"/>
          <w:szCs w:val="15"/>
        </w:rPr>
        <w:t>M</w:t>
      </w:r>
      <w:r w:rsidRPr="00F12336">
        <w:rPr>
          <w:rFonts w:ascii="Arial" w:hAnsi="Arial" w:cs="Arial"/>
          <w:sz w:val="15"/>
          <w:szCs w:val="15"/>
        </w:rPr>
        <w:t xml:space="preserve">entre il rapporto </w:t>
      </w:r>
      <w:r w:rsidRPr="00F12336">
        <w:rPr>
          <w:rFonts w:ascii="Arial" w:hAnsi="Arial" w:cs="Arial"/>
          <w:i/>
          <w:sz w:val="15"/>
          <w:szCs w:val="15"/>
        </w:rPr>
        <w:t>imprese/prodotti</w:t>
      </w:r>
      <w:r w:rsidRPr="00F12336">
        <w:rPr>
          <w:rFonts w:ascii="Arial" w:hAnsi="Arial" w:cs="Arial"/>
          <w:sz w:val="15"/>
          <w:szCs w:val="15"/>
        </w:rPr>
        <w:t xml:space="preserve"> dà un’indicazione sul livello di copertura dell’indagine, specificando per ogni prodotto quante unità di rilevazione sono associate, l’inverso dello stesso rapporto (</w:t>
      </w:r>
      <w:r w:rsidRPr="00F12336">
        <w:rPr>
          <w:rFonts w:ascii="Arial" w:hAnsi="Arial" w:cs="Arial"/>
          <w:i/>
          <w:sz w:val="15"/>
          <w:szCs w:val="15"/>
        </w:rPr>
        <w:t>prodotti/imprese</w:t>
      </w:r>
      <w:r w:rsidRPr="00F12336">
        <w:rPr>
          <w:rFonts w:ascii="Arial" w:hAnsi="Arial" w:cs="Arial"/>
          <w:sz w:val="15"/>
          <w:szCs w:val="15"/>
        </w:rPr>
        <w:t xml:space="preserve">) è un indicatore del carico statistico sulle unità rispondenti al pari di quello </w:t>
      </w:r>
      <w:r w:rsidRPr="00F12336">
        <w:rPr>
          <w:rFonts w:ascii="Arial" w:hAnsi="Arial" w:cs="Arial"/>
          <w:i/>
          <w:sz w:val="15"/>
          <w:szCs w:val="15"/>
        </w:rPr>
        <w:t>prezzi/imprese</w:t>
      </w:r>
      <w:r w:rsidRPr="00F12336">
        <w:rPr>
          <w:rFonts w:ascii="Arial" w:hAnsi="Arial" w:cs="Arial"/>
          <w:sz w:val="15"/>
          <w:szCs w:val="15"/>
        </w:rPr>
        <w:t>.</w:t>
      </w:r>
    </w:p>
  </w:footnote>
  <w:footnote w:id="2">
    <w:p w:rsidR="004F5AC5" w:rsidRPr="00584E2D" w:rsidRDefault="004F5AC5" w:rsidP="00604101">
      <w:pPr>
        <w:pStyle w:val="Testonotaapidipagina"/>
        <w:jc w:val="both"/>
        <w:rPr>
          <w:rFonts w:ascii="Arial" w:hAnsi="Arial" w:cs="Arial"/>
          <w:sz w:val="15"/>
          <w:szCs w:val="15"/>
        </w:rPr>
      </w:pPr>
      <w:r w:rsidRPr="00584E2D">
        <w:rPr>
          <w:rStyle w:val="Rimandonotaapidipagina"/>
          <w:sz w:val="15"/>
          <w:szCs w:val="15"/>
        </w:rPr>
        <w:footnoteRef/>
      </w:r>
      <w:r w:rsidRPr="00584E2D">
        <w:rPr>
          <w:rFonts w:ascii="Arial" w:hAnsi="Arial" w:cs="Arial"/>
          <w:sz w:val="15"/>
          <w:szCs w:val="15"/>
        </w:rPr>
        <w:t xml:space="preserve"> Si veda (</w:t>
      </w:r>
      <w:hyperlink r:id="rId1" w:history="1">
        <w:r w:rsidRPr="00584E2D">
          <w:rPr>
            <w:rFonts w:ascii="Arial" w:hAnsi="Arial" w:cs="Arial"/>
            <w:sz w:val="15"/>
            <w:szCs w:val="15"/>
          </w:rPr>
          <w:t>www.istat.it</w:t>
        </w:r>
      </w:hyperlink>
      <w:r w:rsidRPr="00584E2D">
        <w:rPr>
          <w:rFonts w:ascii="Arial" w:hAnsi="Arial" w:cs="Arial"/>
          <w:sz w:val="15"/>
          <w:szCs w:val="15"/>
        </w:rPr>
        <w:t>) la Nota informativa  “Gli indici dei prezzi alla produzione dei prodotti industriali. La nuova base 2010.”, Istat, 7 marzo 2013.</w:t>
      </w:r>
    </w:p>
  </w:footnote>
  <w:footnote w:id="3">
    <w:p w:rsidR="004F5AC5" w:rsidRPr="00FD32F5" w:rsidRDefault="004F5AC5" w:rsidP="0037532C">
      <w:pPr>
        <w:pStyle w:val="Testonotaapidipagina"/>
        <w:jc w:val="both"/>
        <w:rPr>
          <w:rFonts w:ascii="Arial" w:hAnsi="Arial" w:cs="Arial"/>
          <w:sz w:val="15"/>
          <w:szCs w:val="15"/>
        </w:rPr>
      </w:pPr>
      <w:r w:rsidRPr="009C314B">
        <w:rPr>
          <w:rStyle w:val="Rimandonotaapidipagina"/>
          <w:rFonts w:ascii="Arial" w:hAnsi="Arial" w:cs="Arial"/>
          <w:sz w:val="15"/>
          <w:szCs w:val="15"/>
        </w:rPr>
        <w:footnoteRef/>
      </w:r>
      <w:r w:rsidRPr="009C314B">
        <w:rPr>
          <w:rFonts w:ascii="Arial" w:hAnsi="Arial" w:cs="Arial"/>
          <w:sz w:val="15"/>
          <w:szCs w:val="15"/>
        </w:rPr>
        <w:t xml:space="preserve"> </w:t>
      </w:r>
      <w:smartTag w:uri="urn:schemas-microsoft-com:office:smarttags" w:element="PersonName">
        <w:smartTagPr>
          <w:attr w:name="ProductID" w:val="La classificazione Ateco"/>
        </w:smartTagPr>
        <w:r w:rsidRPr="00FD32F5">
          <w:rPr>
            <w:rFonts w:ascii="Arial" w:hAnsi="Arial" w:cs="Arial"/>
            <w:sz w:val="15"/>
            <w:szCs w:val="15"/>
          </w:rPr>
          <w:t xml:space="preserve">La classificazione </w:t>
        </w:r>
        <w:proofErr w:type="spellStart"/>
        <w:r w:rsidRPr="00FD32F5">
          <w:rPr>
            <w:rFonts w:ascii="Arial" w:hAnsi="Arial" w:cs="Arial"/>
            <w:sz w:val="15"/>
            <w:szCs w:val="15"/>
          </w:rPr>
          <w:t>Ateco</w:t>
        </w:r>
      </w:smartTag>
      <w:proofErr w:type="spellEnd"/>
      <w:r w:rsidRPr="00FD32F5">
        <w:rPr>
          <w:rFonts w:ascii="Arial" w:hAnsi="Arial" w:cs="Arial"/>
          <w:sz w:val="15"/>
          <w:szCs w:val="15"/>
        </w:rPr>
        <w:t xml:space="preserve"> 2007 è la versione nazionale della nomenclatura europea, </w:t>
      </w:r>
      <w:proofErr w:type="spellStart"/>
      <w:r w:rsidRPr="00FD32F5">
        <w:rPr>
          <w:rFonts w:ascii="Arial" w:hAnsi="Arial" w:cs="Arial"/>
          <w:sz w:val="15"/>
          <w:szCs w:val="15"/>
        </w:rPr>
        <w:t>Nace</w:t>
      </w:r>
      <w:proofErr w:type="spellEnd"/>
      <w:r w:rsidRPr="00FD32F5">
        <w:rPr>
          <w:rFonts w:ascii="Arial" w:hAnsi="Arial" w:cs="Arial"/>
          <w:sz w:val="15"/>
          <w:szCs w:val="15"/>
        </w:rPr>
        <w:t xml:space="preserve"> Rev. 2, pubblicata sull'</w:t>
      </w:r>
      <w:proofErr w:type="spellStart"/>
      <w:r w:rsidRPr="00FD32F5">
        <w:rPr>
          <w:rFonts w:ascii="Arial" w:hAnsi="Arial" w:cs="Arial"/>
          <w:sz w:val="15"/>
          <w:szCs w:val="15"/>
        </w:rPr>
        <w:t>Official</w:t>
      </w:r>
      <w:proofErr w:type="spellEnd"/>
      <w:r w:rsidRPr="00FD32F5">
        <w:rPr>
          <w:rFonts w:ascii="Arial" w:hAnsi="Arial" w:cs="Arial"/>
          <w:sz w:val="15"/>
          <w:szCs w:val="15"/>
        </w:rPr>
        <w:t xml:space="preserve"> Journal il 20 dicembre 2006 (Regolamento (CE) n. 1893/2006 del PE e del Consiglio del 20 dicembre 2006). Poiché la prima classificazione è una estensione (con codici a 6 cifre) della seconda (definita a 4 cifre), ai fini espositivi esse sono utilizzate in maniera intercambiabile.</w:t>
      </w:r>
    </w:p>
  </w:footnote>
  <w:footnote w:id="4">
    <w:p w:rsidR="004F5AC5" w:rsidRPr="00FD32F5" w:rsidRDefault="004F5AC5" w:rsidP="0037532C">
      <w:pPr>
        <w:pStyle w:val="Testonotaapidipagina"/>
        <w:rPr>
          <w:rFonts w:ascii="Arial" w:hAnsi="Arial" w:cs="Arial"/>
          <w:sz w:val="15"/>
          <w:szCs w:val="16"/>
        </w:rPr>
      </w:pPr>
      <w:r w:rsidRPr="00FD32F5">
        <w:rPr>
          <w:rStyle w:val="Rimandonotaapidipagina"/>
          <w:rFonts w:ascii="Arial" w:hAnsi="Arial" w:cs="Arial"/>
          <w:sz w:val="15"/>
          <w:szCs w:val="16"/>
        </w:rPr>
        <w:footnoteRef/>
      </w:r>
      <w:r w:rsidRPr="00FD32F5">
        <w:rPr>
          <w:rFonts w:ascii="Arial" w:hAnsi="Arial" w:cs="Arial"/>
          <w:sz w:val="15"/>
          <w:szCs w:val="16"/>
        </w:rPr>
        <w:t xml:space="preserve"> Ricavi delle vendite dei prodotti dell’impresa.</w:t>
      </w:r>
    </w:p>
  </w:footnote>
  <w:footnote w:id="5">
    <w:p w:rsidR="004F5AC5" w:rsidRPr="00FD32F5" w:rsidRDefault="004F5AC5" w:rsidP="0037532C">
      <w:pPr>
        <w:pStyle w:val="Testonotaapidipagina"/>
        <w:jc w:val="both"/>
        <w:rPr>
          <w:rFonts w:ascii="Arial" w:hAnsi="Arial" w:cs="Arial"/>
          <w:sz w:val="15"/>
          <w:szCs w:val="16"/>
        </w:rPr>
      </w:pPr>
      <w:r w:rsidRPr="00FD32F5">
        <w:rPr>
          <w:rStyle w:val="Rimandonotaapidipagina"/>
          <w:rFonts w:ascii="Arial" w:hAnsi="Arial" w:cs="Arial"/>
          <w:sz w:val="15"/>
          <w:szCs w:val="16"/>
        </w:rPr>
        <w:footnoteRef/>
      </w:r>
      <w:r w:rsidRPr="00FD32F5">
        <w:rPr>
          <w:rFonts w:ascii="Arial" w:hAnsi="Arial" w:cs="Arial"/>
          <w:sz w:val="15"/>
          <w:szCs w:val="16"/>
        </w:rPr>
        <w:t xml:space="preserve"> Le rilevazioni da cui derivano le statistiche strutturali delle imprese sono due: quella campionaria sulle piccole e medie imprese (rivolta alle unità </w:t>
      </w:r>
      <w:r>
        <w:rPr>
          <w:rFonts w:ascii="Arial" w:hAnsi="Arial" w:cs="Arial"/>
          <w:sz w:val="15"/>
          <w:szCs w:val="16"/>
        </w:rPr>
        <w:t>meno di 100</w:t>
      </w:r>
      <w:r w:rsidRPr="00FD32F5">
        <w:rPr>
          <w:rFonts w:ascii="Arial" w:hAnsi="Arial" w:cs="Arial"/>
          <w:sz w:val="15"/>
          <w:szCs w:val="16"/>
        </w:rPr>
        <w:t xml:space="preserve"> addetti) e la rilevazione censuaria sul sistema dei conti delle imprese (riguardante le unità con 100 addetti e oltre).</w:t>
      </w:r>
    </w:p>
  </w:footnote>
  <w:footnote w:id="6">
    <w:p w:rsidR="004F5AC5" w:rsidRPr="00584E2D" w:rsidRDefault="004F5AC5" w:rsidP="00604101">
      <w:pPr>
        <w:jc w:val="both"/>
        <w:rPr>
          <w:rFonts w:ascii="Arial" w:hAnsi="Arial" w:cs="Arial"/>
          <w:sz w:val="15"/>
          <w:szCs w:val="15"/>
        </w:rPr>
      </w:pPr>
      <w:r w:rsidRPr="00584E2D">
        <w:rPr>
          <w:rStyle w:val="Rimandonotaapidipagina"/>
          <w:rFonts w:ascii="Arial" w:hAnsi="Arial" w:cs="Arial"/>
          <w:sz w:val="15"/>
          <w:szCs w:val="15"/>
        </w:rPr>
        <w:footnoteRef/>
      </w:r>
      <w:r w:rsidRPr="00584E2D">
        <w:rPr>
          <w:rFonts w:ascii="Arial" w:hAnsi="Arial" w:cs="Arial"/>
          <w:sz w:val="15"/>
          <w:szCs w:val="15"/>
        </w:rPr>
        <w:t xml:space="preserve"> I pesi dei prodotti inclusi nel campione si ottengono attribuendo a ciascun prodotto selezionato un coefficiente di ponderazione rappresentativo anche di prodotti simili non selezionati.</w:t>
      </w:r>
    </w:p>
  </w:footnote>
  <w:footnote w:id="7">
    <w:p w:rsidR="004F5AC5" w:rsidRPr="00D817E5" w:rsidRDefault="004F5AC5" w:rsidP="00604101">
      <w:pPr>
        <w:pStyle w:val="Testonotaapidipagina"/>
        <w:spacing w:line="200" w:lineRule="exact"/>
        <w:jc w:val="both"/>
        <w:rPr>
          <w:rFonts w:ascii="Arial" w:hAnsi="Arial" w:cs="Arial"/>
          <w:sz w:val="16"/>
          <w:szCs w:val="16"/>
        </w:rPr>
      </w:pPr>
      <w:r w:rsidRPr="00584E2D">
        <w:rPr>
          <w:rStyle w:val="Rimandonotaapidipagina"/>
          <w:rFonts w:ascii="Arial" w:hAnsi="Arial" w:cs="Arial"/>
          <w:sz w:val="15"/>
          <w:szCs w:val="15"/>
        </w:rPr>
        <w:footnoteRef/>
      </w:r>
      <w:r w:rsidRPr="00584E2D">
        <w:rPr>
          <w:rFonts w:ascii="Arial" w:hAnsi="Arial" w:cs="Arial"/>
          <w:sz w:val="15"/>
          <w:szCs w:val="15"/>
        </w:rPr>
        <w:t xml:space="preserve"> In altri termini, per ogni aggregato, il peso relativo per area è il rapporto tra il peso assoluto di area e la somma dei pesi assoluti delle due aree.</w:t>
      </w:r>
    </w:p>
  </w:footnote>
  <w:footnote w:id="8">
    <w:p w:rsidR="004F5AC5" w:rsidRPr="00CD60B3" w:rsidRDefault="004F5AC5" w:rsidP="00604101">
      <w:pPr>
        <w:pStyle w:val="Testonotaapidipagina"/>
        <w:spacing w:line="200" w:lineRule="exact"/>
        <w:jc w:val="both"/>
        <w:rPr>
          <w:rFonts w:ascii="Arial" w:hAnsi="Arial" w:cs="Arial"/>
          <w:sz w:val="16"/>
          <w:szCs w:val="16"/>
        </w:rPr>
      </w:pPr>
      <w:r w:rsidRPr="00CD60B3">
        <w:rPr>
          <w:rStyle w:val="Rimandonotaapidipagina"/>
          <w:rFonts w:ascii="Arial" w:hAnsi="Arial" w:cs="Arial"/>
          <w:sz w:val="16"/>
          <w:szCs w:val="16"/>
        </w:rPr>
        <w:footnoteRef/>
      </w:r>
      <w:r w:rsidRPr="00681F86">
        <w:rPr>
          <w:rFonts w:ascii="Arial" w:hAnsi="Arial" w:cs="Arial"/>
          <w:sz w:val="15"/>
          <w:szCs w:val="15"/>
        </w:rPr>
        <w:t>L’aggregato RPI Energia include prodotti della sotto sezione CD e di parte della sezione B, non essendo rappresentate le sezioni D ed E.</w:t>
      </w:r>
    </w:p>
  </w:footnote>
  <w:footnote w:id="9">
    <w:p w:rsidR="004F5AC5" w:rsidRPr="00CD60B3" w:rsidRDefault="004F5AC5" w:rsidP="00251264">
      <w:pPr>
        <w:pStyle w:val="Testonotaapidipagina"/>
        <w:spacing w:line="200" w:lineRule="exact"/>
        <w:jc w:val="both"/>
        <w:rPr>
          <w:rFonts w:ascii="Arial" w:hAnsi="Arial" w:cs="Arial"/>
          <w:sz w:val="16"/>
          <w:szCs w:val="16"/>
        </w:rPr>
      </w:pPr>
      <w:r w:rsidRPr="00CD60B3">
        <w:rPr>
          <w:rStyle w:val="Rimandonotaapidipagina"/>
          <w:rFonts w:ascii="Arial" w:hAnsi="Arial" w:cs="Arial"/>
          <w:sz w:val="16"/>
          <w:szCs w:val="16"/>
        </w:rPr>
        <w:footnoteRef/>
      </w:r>
      <w:r>
        <w:rPr>
          <w:rFonts w:ascii="Arial" w:hAnsi="Arial" w:cs="Arial"/>
          <w:sz w:val="15"/>
          <w:szCs w:val="15"/>
        </w:rPr>
        <w:t xml:space="preserve"> </w:t>
      </w:r>
      <w:r w:rsidRPr="00681F86">
        <w:rPr>
          <w:rFonts w:ascii="Arial" w:hAnsi="Arial" w:cs="Arial"/>
          <w:sz w:val="15"/>
          <w:szCs w:val="15"/>
        </w:rPr>
        <w:t>L’</w:t>
      </w:r>
      <w:r>
        <w:rPr>
          <w:rFonts w:ascii="Arial" w:hAnsi="Arial" w:cs="Arial"/>
          <w:sz w:val="15"/>
          <w:szCs w:val="15"/>
        </w:rPr>
        <w:t>aumento di un aggregato, con riguardo ai Raggruppamenti principali di industrie, è rappresentato dall’indice totale al netto dell’energia.</w:t>
      </w:r>
    </w:p>
  </w:footnote>
  <w:footnote w:id="10">
    <w:p w:rsidR="004F5AC5" w:rsidRPr="0077264D" w:rsidRDefault="004F5AC5" w:rsidP="00165090">
      <w:pPr>
        <w:pStyle w:val="Testonotaapidipagina"/>
        <w:jc w:val="both"/>
        <w:rPr>
          <w:rFonts w:ascii="Arial" w:hAnsi="Arial" w:cs="Arial"/>
          <w:sz w:val="15"/>
          <w:szCs w:val="15"/>
        </w:rPr>
      </w:pPr>
      <w:r w:rsidRPr="0077264D">
        <w:rPr>
          <w:rStyle w:val="Rimandonotaapidipagina"/>
          <w:rFonts w:ascii="Arial" w:hAnsi="Arial" w:cs="Arial"/>
          <w:sz w:val="15"/>
          <w:szCs w:val="15"/>
        </w:rPr>
        <w:footnoteRef/>
      </w:r>
      <w:r w:rsidRPr="0077264D">
        <w:rPr>
          <w:rFonts w:ascii="Arial" w:hAnsi="Arial" w:cs="Arial"/>
          <w:sz w:val="15"/>
          <w:szCs w:val="15"/>
        </w:rPr>
        <w:t xml:space="preserve"> I valori desunti dalle statistiche strutturali sulla Struttura e competitività del sistema delle imprese industriali e dei servizi, della Produzione industriale annuale e delle Statistiche sul commercio con l’estero.</w:t>
      </w:r>
    </w:p>
  </w:footnote>
  <w:footnote w:id="11">
    <w:p w:rsidR="004F5AC5" w:rsidRPr="002268A0" w:rsidRDefault="004F5AC5" w:rsidP="00D84B66">
      <w:pPr>
        <w:pStyle w:val="Testonotaapidipagina"/>
        <w:jc w:val="both"/>
        <w:rPr>
          <w:rFonts w:ascii="Arial" w:hAnsi="Arial" w:cs="Arial"/>
          <w:sz w:val="15"/>
          <w:szCs w:val="15"/>
        </w:rPr>
      </w:pPr>
      <w:r w:rsidRPr="002268A0">
        <w:rPr>
          <w:rStyle w:val="Rimandonotaapidipagina"/>
          <w:rFonts w:ascii="Arial" w:hAnsi="Arial" w:cs="Arial"/>
          <w:sz w:val="15"/>
          <w:szCs w:val="15"/>
        </w:rPr>
        <w:footnoteRef/>
      </w:r>
      <w:r w:rsidRPr="002268A0">
        <w:rPr>
          <w:rFonts w:ascii="Arial" w:hAnsi="Arial" w:cs="Arial"/>
          <w:sz w:val="15"/>
          <w:szCs w:val="15"/>
        </w:rPr>
        <w:t xml:space="preserve"> </w:t>
      </w:r>
      <w:r>
        <w:rPr>
          <w:rFonts w:ascii="Arial" w:hAnsi="Arial" w:cs="Arial"/>
          <w:sz w:val="15"/>
          <w:szCs w:val="15"/>
        </w:rPr>
        <w:t xml:space="preserve">Può essere utile, per rendere le formule del </w:t>
      </w:r>
      <w:proofErr w:type="spellStart"/>
      <w:r w:rsidRPr="00D84B66">
        <w:rPr>
          <w:rFonts w:ascii="Arial" w:hAnsi="Arial" w:cs="Arial"/>
          <w:i/>
          <w:sz w:val="15"/>
          <w:szCs w:val="15"/>
        </w:rPr>
        <w:t>price-updating</w:t>
      </w:r>
      <w:proofErr w:type="spellEnd"/>
      <w:r>
        <w:rPr>
          <w:rFonts w:ascii="Arial" w:hAnsi="Arial" w:cs="Arial"/>
          <w:sz w:val="15"/>
          <w:szCs w:val="15"/>
        </w:rPr>
        <w:t xml:space="preserve"> più intelligibili, la seguente osservazione. La base di calcolo Dicembre 2013 è quella che entra in forza a partire dall’anno 2014. Quindi, gli indici in base di calcolo relativi ai mesi di dicembre dell’anno (y-1) e y rispettivamente nella prima e nella seconda formula, si riferiscono agli anni 2012 e 2013. Pertanto, l’indice del mese di dicembre nell’anno (y-1), ad esempio, è in base di calcolo dicembre (y-2), ovvero, con notazione equivalente, (y-1,0). Ciò vale, ovviamente, anche per gli indici medi annui. Così anche per il peso dell’aggregato k: w</w:t>
      </w:r>
      <w:r>
        <w:rPr>
          <w:rFonts w:ascii="Arial" w:hAnsi="Arial" w:cs="Arial"/>
          <w:sz w:val="15"/>
          <w:szCs w:val="15"/>
          <w:vertAlign w:val="subscript"/>
        </w:rPr>
        <w:t>y-2</w:t>
      </w:r>
      <w:r>
        <w:rPr>
          <w:rFonts w:ascii="Arial" w:hAnsi="Arial" w:cs="Arial"/>
          <w:sz w:val="15"/>
          <w:szCs w:val="15"/>
        </w:rPr>
        <w:t>(k) è il peso finale 2011; w</w:t>
      </w:r>
      <w:r>
        <w:rPr>
          <w:rFonts w:ascii="Arial" w:hAnsi="Arial" w:cs="Arial"/>
          <w:sz w:val="15"/>
          <w:szCs w:val="15"/>
          <w:vertAlign w:val="subscript"/>
        </w:rPr>
        <w:t>y-1,0</w:t>
      </w:r>
      <w:r>
        <w:rPr>
          <w:rFonts w:ascii="Arial" w:hAnsi="Arial" w:cs="Arial"/>
          <w:sz w:val="15"/>
          <w:szCs w:val="15"/>
        </w:rPr>
        <w:t>(k) e w</w:t>
      </w:r>
      <w:r>
        <w:rPr>
          <w:rFonts w:ascii="Arial" w:hAnsi="Arial" w:cs="Arial"/>
          <w:sz w:val="15"/>
          <w:szCs w:val="15"/>
          <w:vertAlign w:val="subscript"/>
        </w:rPr>
        <w:t>y,0</w:t>
      </w:r>
      <w:r>
        <w:rPr>
          <w:rFonts w:ascii="Arial" w:hAnsi="Arial" w:cs="Arial"/>
          <w:sz w:val="15"/>
          <w:szCs w:val="15"/>
        </w:rPr>
        <w:t>(k) sono, rispettivamente, i pesi stimati del 2012 e del 2013.</w:t>
      </w:r>
    </w:p>
  </w:footnote>
  <w:footnote w:id="12">
    <w:p w:rsidR="004F5AC5" w:rsidRPr="003F317E" w:rsidRDefault="004F5AC5" w:rsidP="00165090">
      <w:pPr>
        <w:pStyle w:val="Testonotaapidipagina"/>
        <w:jc w:val="both"/>
        <w:rPr>
          <w:rFonts w:ascii="Arial" w:hAnsi="Arial" w:cs="Arial"/>
          <w:sz w:val="15"/>
          <w:szCs w:val="15"/>
        </w:rPr>
      </w:pPr>
      <w:r w:rsidRPr="003F317E">
        <w:rPr>
          <w:rStyle w:val="Rimandonotaapidipagina"/>
          <w:rFonts w:ascii="Arial" w:hAnsi="Arial" w:cs="Arial"/>
          <w:sz w:val="15"/>
          <w:szCs w:val="15"/>
        </w:rPr>
        <w:footnoteRef/>
      </w:r>
      <w:r w:rsidRPr="003F317E">
        <w:rPr>
          <w:rFonts w:ascii="Arial" w:hAnsi="Arial" w:cs="Arial"/>
          <w:sz w:val="15"/>
          <w:szCs w:val="15"/>
        </w:rPr>
        <w:t xml:space="preserve"> E’ il caso di notare, per rendere più intelligibile la notazione che, nelle formule, la base di calcolo del generico anno y </w:t>
      </w:r>
      <w:r>
        <w:rPr>
          <w:rFonts w:ascii="Arial" w:hAnsi="Arial" w:cs="Arial"/>
          <w:sz w:val="15"/>
          <w:szCs w:val="15"/>
        </w:rPr>
        <w:t xml:space="preserve">è indicata </w:t>
      </w:r>
      <w:r w:rsidRPr="003F317E">
        <w:rPr>
          <w:rFonts w:ascii="Arial" w:hAnsi="Arial" w:cs="Arial"/>
          <w:sz w:val="15"/>
          <w:szCs w:val="15"/>
        </w:rPr>
        <w:t>come mese zero di y. Di fatto è la struttura definita a dicembre dell’anno precedente, (y-1), ma la notazione (0,y) è preferibile perché si distingue dall’indice calcolato a dicembre dell’anno (y-1) il quale, a sua volta, era espresso nella base di calcolo (0, y-1).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C5" w:rsidRDefault="004F5AC5">
    <w:pPr>
      <w:pStyle w:val="Intestazione"/>
      <w:jc w:val="left"/>
      <w:rPr>
        <w:sz w:val="2"/>
        <w:szCs w:val="2"/>
      </w:rPr>
    </w:pPr>
    <w:r>
      <w:rPr>
        <w:noProof/>
        <w:sz w:val="2"/>
        <w:szCs w:val="2"/>
      </w:rPr>
      <w:drawing>
        <wp:inline distT="0" distB="0" distL="0" distR="0">
          <wp:extent cx="1962150" cy="666750"/>
          <wp:effectExtent l="0" t="0" r="0" b="0"/>
          <wp:docPr id="120" name="Immagine 120" descr="nota-prezzi-prod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nota-prezzi-produ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66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C5" w:rsidRPr="00FF6BE9" w:rsidRDefault="004F5AC5" w:rsidP="00FF6BE9">
    <w:pPr>
      <w:pStyle w:val="Intestazione"/>
      <w:rPr>
        <w:sz w:val="2"/>
        <w:szCs w:val="2"/>
      </w:rPr>
    </w:pPr>
    <w:r>
      <w:rPr>
        <w:noProof/>
        <w:sz w:val="2"/>
        <w:szCs w:val="2"/>
      </w:rPr>
      <w:drawing>
        <wp:inline distT="0" distB="0" distL="0" distR="0">
          <wp:extent cx="1962150" cy="666750"/>
          <wp:effectExtent l="0" t="0" r="0" b="0"/>
          <wp:docPr id="122" name="Immagine 122" descr="nota-prezzi-prod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nota-prezzi-produ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E4375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7B1513"/>
    <w:multiLevelType w:val="hybridMultilevel"/>
    <w:tmpl w:val="79B697D2"/>
    <w:lvl w:ilvl="0" w:tplc="0410000F">
      <w:start w:val="1"/>
      <w:numFmt w:val="decimal"/>
      <w:lvlText w:val="%1."/>
      <w:lvlJc w:val="left"/>
      <w:pPr>
        <w:tabs>
          <w:tab w:val="num" w:pos="2520"/>
        </w:tabs>
        <w:ind w:left="2520" w:hanging="360"/>
      </w:pPr>
    </w:lvl>
    <w:lvl w:ilvl="1" w:tplc="04100019" w:tentative="1">
      <w:start w:val="1"/>
      <w:numFmt w:val="lowerLetter"/>
      <w:lvlText w:val="%2."/>
      <w:lvlJc w:val="left"/>
      <w:pPr>
        <w:tabs>
          <w:tab w:val="num" w:pos="3240"/>
        </w:tabs>
        <w:ind w:left="3240" w:hanging="360"/>
      </w:pPr>
    </w:lvl>
    <w:lvl w:ilvl="2" w:tplc="0410001B" w:tentative="1">
      <w:start w:val="1"/>
      <w:numFmt w:val="lowerRoman"/>
      <w:lvlText w:val="%3."/>
      <w:lvlJc w:val="right"/>
      <w:pPr>
        <w:tabs>
          <w:tab w:val="num" w:pos="3960"/>
        </w:tabs>
        <w:ind w:left="3960" w:hanging="180"/>
      </w:pPr>
    </w:lvl>
    <w:lvl w:ilvl="3" w:tplc="0410000F" w:tentative="1">
      <w:start w:val="1"/>
      <w:numFmt w:val="decimal"/>
      <w:lvlText w:val="%4."/>
      <w:lvlJc w:val="left"/>
      <w:pPr>
        <w:tabs>
          <w:tab w:val="num" w:pos="4680"/>
        </w:tabs>
        <w:ind w:left="4680" w:hanging="360"/>
      </w:pPr>
    </w:lvl>
    <w:lvl w:ilvl="4" w:tplc="04100019" w:tentative="1">
      <w:start w:val="1"/>
      <w:numFmt w:val="lowerLetter"/>
      <w:lvlText w:val="%5."/>
      <w:lvlJc w:val="left"/>
      <w:pPr>
        <w:tabs>
          <w:tab w:val="num" w:pos="5400"/>
        </w:tabs>
        <w:ind w:left="5400" w:hanging="360"/>
      </w:pPr>
    </w:lvl>
    <w:lvl w:ilvl="5" w:tplc="0410001B" w:tentative="1">
      <w:start w:val="1"/>
      <w:numFmt w:val="lowerRoman"/>
      <w:lvlText w:val="%6."/>
      <w:lvlJc w:val="right"/>
      <w:pPr>
        <w:tabs>
          <w:tab w:val="num" w:pos="6120"/>
        </w:tabs>
        <w:ind w:left="6120" w:hanging="180"/>
      </w:pPr>
    </w:lvl>
    <w:lvl w:ilvl="6" w:tplc="0410000F" w:tentative="1">
      <w:start w:val="1"/>
      <w:numFmt w:val="decimal"/>
      <w:lvlText w:val="%7."/>
      <w:lvlJc w:val="left"/>
      <w:pPr>
        <w:tabs>
          <w:tab w:val="num" w:pos="6840"/>
        </w:tabs>
        <w:ind w:left="6840" w:hanging="360"/>
      </w:pPr>
    </w:lvl>
    <w:lvl w:ilvl="7" w:tplc="04100019" w:tentative="1">
      <w:start w:val="1"/>
      <w:numFmt w:val="lowerLetter"/>
      <w:lvlText w:val="%8."/>
      <w:lvlJc w:val="left"/>
      <w:pPr>
        <w:tabs>
          <w:tab w:val="num" w:pos="7560"/>
        </w:tabs>
        <w:ind w:left="7560" w:hanging="360"/>
      </w:pPr>
    </w:lvl>
    <w:lvl w:ilvl="8" w:tplc="0410001B" w:tentative="1">
      <w:start w:val="1"/>
      <w:numFmt w:val="lowerRoman"/>
      <w:lvlText w:val="%9."/>
      <w:lvlJc w:val="right"/>
      <w:pPr>
        <w:tabs>
          <w:tab w:val="num" w:pos="8280"/>
        </w:tabs>
        <w:ind w:left="8280" w:hanging="180"/>
      </w:pPr>
    </w:lvl>
  </w:abstractNum>
  <w:abstractNum w:abstractNumId="2">
    <w:nsid w:val="13EA361D"/>
    <w:multiLevelType w:val="hybridMultilevel"/>
    <w:tmpl w:val="8780AC46"/>
    <w:lvl w:ilvl="0" w:tplc="8E6EA0D4">
      <w:start w:val="1"/>
      <w:numFmt w:val="lowerLetter"/>
      <w:lvlText w:val="%1)"/>
      <w:lvlJc w:val="left"/>
      <w:pPr>
        <w:tabs>
          <w:tab w:val="num" w:pos="2174"/>
        </w:tabs>
        <w:ind w:left="2174" w:hanging="360"/>
      </w:pPr>
      <w:rPr>
        <w:rFonts w:hint="default"/>
      </w:rPr>
    </w:lvl>
    <w:lvl w:ilvl="1" w:tplc="04100019" w:tentative="1">
      <w:start w:val="1"/>
      <w:numFmt w:val="lowerLetter"/>
      <w:lvlText w:val="%2."/>
      <w:lvlJc w:val="left"/>
      <w:pPr>
        <w:tabs>
          <w:tab w:val="num" w:pos="2894"/>
        </w:tabs>
        <w:ind w:left="2894" w:hanging="360"/>
      </w:pPr>
    </w:lvl>
    <w:lvl w:ilvl="2" w:tplc="0410001B" w:tentative="1">
      <w:start w:val="1"/>
      <w:numFmt w:val="lowerRoman"/>
      <w:lvlText w:val="%3."/>
      <w:lvlJc w:val="right"/>
      <w:pPr>
        <w:tabs>
          <w:tab w:val="num" w:pos="3614"/>
        </w:tabs>
        <w:ind w:left="3614" w:hanging="180"/>
      </w:pPr>
    </w:lvl>
    <w:lvl w:ilvl="3" w:tplc="0410000F" w:tentative="1">
      <w:start w:val="1"/>
      <w:numFmt w:val="decimal"/>
      <w:lvlText w:val="%4."/>
      <w:lvlJc w:val="left"/>
      <w:pPr>
        <w:tabs>
          <w:tab w:val="num" w:pos="4334"/>
        </w:tabs>
        <w:ind w:left="4334" w:hanging="360"/>
      </w:pPr>
    </w:lvl>
    <w:lvl w:ilvl="4" w:tplc="04100019" w:tentative="1">
      <w:start w:val="1"/>
      <w:numFmt w:val="lowerLetter"/>
      <w:lvlText w:val="%5."/>
      <w:lvlJc w:val="left"/>
      <w:pPr>
        <w:tabs>
          <w:tab w:val="num" w:pos="5054"/>
        </w:tabs>
        <w:ind w:left="5054" w:hanging="360"/>
      </w:pPr>
    </w:lvl>
    <w:lvl w:ilvl="5" w:tplc="0410001B" w:tentative="1">
      <w:start w:val="1"/>
      <w:numFmt w:val="lowerRoman"/>
      <w:lvlText w:val="%6."/>
      <w:lvlJc w:val="right"/>
      <w:pPr>
        <w:tabs>
          <w:tab w:val="num" w:pos="5774"/>
        </w:tabs>
        <w:ind w:left="5774" w:hanging="180"/>
      </w:pPr>
    </w:lvl>
    <w:lvl w:ilvl="6" w:tplc="0410000F" w:tentative="1">
      <w:start w:val="1"/>
      <w:numFmt w:val="decimal"/>
      <w:lvlText w:val="%7."/>
      <w:lvlJc w:val="left"/>
      <w:pPr>
        <w:tabs>
          <w:tab w:val="num" w:pos="6494"/>
        </w:tabs>
        <w:ind w:left="6494" w:hanging="360"/>
      </w:pPr>
    </w:lvl>
    <w:lvl w:ilvl="7" w:tplc="04100019" w:tentative="1">
      <w:start w:val="1"/>
      <w:numFmt w:val="lowerLetter"/>
      <w:lvlText w:val="%8."/>
      <w:lvlJc w:val="left"/>
      <w:pPr>
        <w:tabs>
          <w:tab w:val="num" w:pos="7214"/>
        </w:tabs>
        <w:ind w:left="7214" w:hanging="360"/>
      </w:pPr>
    </w:lvl>
    <w:lvl w:ilvl="8" w:tplc="0410001B" w:tentative="1">
      <w:start w:val="1"/>
      <w:numFmt w:val="lowerRoman"/>
      <w:lvlText w:val="%9."/>
      <w:lvlJc w:val="right"/>
      <w:pPr>
        <w:tabs>
          <w:tab w:val="num" w:pos="7934"/>
        </w:tabs>
        <w:ind w:left="7934" w:hanging="180"/>
      </w:pPr>
    </w:lvl>
  </w:abstractNum>
  <w:abstractNum w:abstractNumId="3">
    <w:nsid w:val="165C07B8"/>
    <w:multiLevelType w:val="hybridMultilevel"/>
    <w:tmpl w:val="26F4B56C"/>
    <w:lvl w:ilvl="0" w:tplc="EFECF512">
      <w:start w:val="1"/>
      <w:numFmt w:val="bullet"/>
      <w:lvlText w:val=""/>
      <w:lvlJc w:val="left"/>
      <w:pPr>
        <w:tabs>
          <w:tab w:val="num" w:pos="360"/>
        </w:tabs>
        <w:ind w:left="0" w:firstLine="0"/>
      </w:pPr>
      <w:rPr>
        <w:rFonts w:ascii="Wingdings" w:hAnsi="Wingdings" w:hint="default"/>
        <w:color w:val="99CC00"/>
        <w:sz w:val="26"/>
        <w:szCs w:val="26"/>
      </w:rPr>
    </w:lvl>
    <w:lvl w:ilvl="1" w:tplc="89C6D932">
      <w:start w:val="1"/>
      <w:numFmt w:val="bullet"/>
      <w:lvlText w:val=""/>
      <w:lvlJc w:val="left"/>
      <w:pPr>
        <w:tabs>
          <w:tab w:val="num" w:pos="510"/>
        </w:tabs>
        <w:ind w:left="113" w:firstLine="0"/>
      </w:pPr>
      <w:rPr>
        <w:rFonts w:ascii="Wingdings" w:hAnsi="Wingdings" w:hint="default"/>
        <w:color w:val="99CC00"/>
        <w:sz w:val="16"/>
        <w:szCs w:val="2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1933F78"/>
    <w:multiLevelType w:val="hybridMultilevel"/>
    <w:tmpl w:val="7152D6B6"/>
    <w:lvl w:ilvl="0" w:tplc="C8808C40">
      <w:start w:val="1"/>
      <w:numFmt w:val="bullet"/>
      <w:lvlText w:val=""/>
      <w:lvlJc w:val="left"/>
      <w:pPr>
        <w:tabs>
          <w:tab w:val="num" w:pos="360"/>
        </w:tabs>
        <w:ind w:left="360" w:hanging="360"/>
      </w:pPr>
      <w:rPr>
        <w:rFonts w:ascii="Wingdings" w:hAnsi="Wingdings" w:hint="default"/>
        <w:color w:val="99CC00"/>
        <w:sz w:val="26"/>
        <w:szCs w:val="26"/>
      </w:rPr>
    </w:lvl>
    <w:lvl w:ilvl="1" w:tplc="1BD0725C">
      <w:start w:val="1"/>
      <w:numFmt w:val="bullet"/>
      <w:lvlText w:val=""/>
      <w:lvlJc w:val="left"/>
      <w:pPr>
        <w:tabs>
          <w:tab w:val="num" w:pos="284"/>
        </w:tabs>
        <w:ind w:left="0" w:firstLine="0"/>
      </w:pPr>
      <w:rPr>
        <w:rFonts w:ascii="Wingdings" w:hAnsi="Wingdings" w:hint="default"/>
        <w:color w:val="99CC00"/>
        <w:sz w:val="16"/>
        <w:szCs w:val="26"/>
      </w:rPr>
    </w:lvl>
    <w:lvl w:ilvl="2" w:tplc="EFECF512">
      <w:start w:val="1"/>
      <w:numFmt w:val="bullet"/>
      <w:lvlText w:val=""/>
      <w:lvlJc w:val="left"/>
      <w:pPr>
        <w:tabs>
          <w:tab w:val="num" w:pos="2160"/>
        </w:tabs>
        <w:ind w:left="1800" w:firstLine="0"/>
      </w:pPr>
      <w:rPr>
        <w:rFonts w:ascii="Wingdings" w:hAnsi="Wingdings" w:hint="default"/>
        <w:color w:val="99CC00"/>
        <w:sz w:val="26"/>
        <w:szCs w:val="2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5F14B92"/>
    <w:multiLevelType w:val="hybridMultilevel"/>
    <w:tmpl w:val="DDACB686"/>
    <w:lvl w:ilvl="0" w:tplc="7AA0B3CA">
      <w:start w:val="1"/>
      <w:numFmt w:val="decimal"/>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
    <w:nsid w:val="27DC58FC"/>
    <w:multiLevelType w:val="hybridMultilevel"/>
    <w:tmpl w:val="BAD86DD0"/>
    <w:lvl w:ilvl="0" w:tplc="9936556E">
      <w:start w:val="1"/>
      <w:numFmt w:val="decimal"/>
      <w:lvlText w:val="%1."/>
      <w:lvlJc w:val="left"/>
      <w:pPr>
        <w:tabs>
          <w:tab w:val="num" w:pos="2160"/>
        </w:tabs>
        <w:ind w:left="2160" w:hanging="360"/>
      </w:pPr>
      <w:rPr>
        <w:rFonts w:hint="default"/>
        <w:b/>
      </w:rPr>
    </w:lvl>
    <w:lvl w:ilvl="1" w:tplc="04100019" w:tentative="1">
      <w:start w:val="1"/>
      <w:numFmt w:val="lowerLetter"/>
      <w:lvlText w:val="%2."/>
      <w:lvlJc w:val="left"/>
      <w:pPr>
        <w:tabs>
          <w:tab w:val="num" w:pos="2880"/>
        </w:tabs>
        <w:ind w:left="2880" w:hanging="360"/>
      </w:pPr>
    </w:lvl>
    <w:lvl w:ilvl="2" w:tplc="0410001B" w:tentative="1">
      <w:start w:val="1"/>
      <w:numFmt w:val="lowerRoman"/>
      <w:lvlText w:val="%3."/>
      <w:lvlJc w:val="right"/>
      <w:pPr>
        <w:tabs>
          <w:tab w:val="num" w:pos="3600"/>
        </w:tabs>
        <w:ind w:left="3600" w:hanging="180"/>
      </w:pPr>
    </w:lvl>
    <w:lvl w:ilvl="3" w:tplc="0410000F" w:tentative="1">
      <w:start w:val="1"/>
      <w:numFmt w:val="decimal"/>
      <w:lvlText w:val="%4."/>
      <w:lvlJc w:val="left"/>
      <w:pPr>
        <w:tabs>
          <w:tab w:val="num" w:pos="4320"/>
        </w:tabs>
        <w:ind w:left="4320" w:hanging="360"/>
      </w:pPr>
    </w:lvl>
    <w:lvl w:ilvl="4" w:tplc="04100019" w:tentative="1">
      <w:start w:val="1"/>
      <w:numFmt w:val="lowerLetter"/>
      <w:lvlText w:val="%5."/>
      <w:lvlJc w:val="left"/>
      <w:pPr>
        <w:tabs>
          <w:tab w:val="num" w:pos="5040"/>
        </w:tabs>
        <w:ind w:left="5040" w:hanging="360"/>
      </w:pPr>
    </w:lvl>
    <w:lvl w:ilvl="5" w:tplc="0410001B" w:tentative="1">
      <w:start w:val="1"/>
      <w:numFmt w:val="lowerRoman"/>
      <w:lvlText w:val="%6."/>
      <w:lvlJc w:val="right"/>
      <w:pPr>
        <w:tabs>
          <w:tab w:val="num" w:pos="5760"/>
        </w:tabs>
        <w:ind w:left="5760" w:hanging="180"/>
      </w:pPr>
    </w:lvl>
    <w:lvl w:ilvl="6" w:tplc="0410000F" w:tentative="1">
      <w:start w:val="1"/>
      <w:numFmt w:val="decimal"/>
      <w:lvlText w:val="%7."/>
      <w:lvlJc w:val="left"/>
      <w:pPr>
        <w:tabs>
          <w:tab w:val="num" w:pos="6480"/>
        </w:tabs>
        <w:ind w:left="6480" w:hanging="360"/>
      </w:pPr>
    </w:lvl>
    <w:lvl w:ilvl="7" w:tplc="04100019" w:tentative="1">
      <w:start w:val="1"/>
      <w:numFmt w:val="lowerLetter"/>
      <w:lvlText w:val="%8."/>
      <w:lvlJc w:val="left"/>
      <w:pPr>
        <w:tabs>
          <w:tab w:val="num" w:pos="7200"/>
        </w:tabs>
        <w:ind w:left="7200" w:hanging="360"/>
      </w:pPr>
    </w:lvl>
    <w:lvl w:ilvl="8" w:tplc="0410001B" w:tentative="1">
      <w:start w:val="1"/>
      <w:numFmt w:val="lowerRoman"/>
      <w:lvlText w:val="%9."/>
      <w:lvlJc w:val="right"/>
      <w:pPr>
        <w:tabs>
          <w:tab w:val="num" w:pos="7920"/>
        </w:tabs>
        <w:ind w:left="7920" w:hanging="180"/>
      </w:pPr>
    </w:lvl>
  </w:abstractNum>
  <w:abstractNum w:abstractNumId="7">
    <w:nsid w:val="370D3431"/>
    <w:multiLevelType w:val="hybridMultilevel"/>
    <w:tmpl w:val="920ED030"/>
    <w:lvl w:ilvl="0" w:tplc="D094358A">
      <w:start w:val="1"/>
      <w:numFmt w:val="bullet"/>
      <w:lvlText w:val=""/>
      <w:lvlJc w:val="left"/>
      <w:pPr>
        <w:tabs>
          <w:tab w:val="num" w:pos="357"/>
        </w:tabs>
        <w:ind w:left="0" w:firstLine="0"/>
      </w:pPr>
      <w:rPr>
        <w:rFonts w:ascii="Wingdings" w:hAnsi="Wingdings" w:cs="Times New Roman" w:hint="default"/>
        <w:b/>
        <w:i w:val="0"/>
        <w:color w:val="99CC0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7BF5EE7"/>
    <w:multiLevelType w:val="hybridMultilevel"/>
    <w:tmpl w:val="85E65BBC"/>
    <w:lvl w:ilvl="0" w:tplc="8C202332">
      <w:start w:val="1"/>
      <w:numFmt w:val="decimal"/>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9">
    <w:nsid w:val="430E3D76"/>
    <w:multiLevelType w:val="hybridMultilevel"/>
    <w:tmpl w:val="323C9CBE"/>
    <w:lvl w:ilvl="0" w:tplc="5E9AA9A2">
      <w:start w:val="1"/>
      <w:numFmt w:val="lowerLetter"/>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8064F93"/>
    <w:multiLevelType w:val="hybridMultilevel"/>
    <w:tmpl w:val="4226017C"/>
    <w:lvl w:ilvl="0" w:tplc="83EEC9E8">
      <w:start w:val="1"/>
      <w:numFmt w:val="bullet"/>
      <w:lvlText w:val=""/>
      <w:lvlJc w:val="left"/>
      <w:pPr>
        <w:tabs>
          <w:tab w:val="num" w:pos="360"/>
        </w:tabs>
        <w:ind w:left="0" w:firstLine="0"/>
      </w:pPr>
      <w:rPr>
        <w:rFonts w:ascii="Wingdings" w:hAnsi="Wingdings" w:hint="default"/>
        <w:color w:val="99CC00"/>
        <w:sz w:val="26"/>
        <w:szCs w:val="26"/>
      </w:rPr>
    </w:lvl>
    <w:lvl w:ilvl="1" w:tplc="1BD0725C">
      <w:start w:val="1"/>
      <w:numFmt w:val="bullet"/>
      <w:lvlText w:val=""/>
      <w:lvlJc w:val="left"/>
      <w:pPr>
        <w:tabs>
          <w:tab w:val="num" w:pos="284"/>
        </w:tabs>
        <w:ind w:left="0" w:firstLine="0"/>
      </w:pPr>
      <w:rPr>
        <w:rFonts w:ascii="Wingdings" w:hAnsi="Wingdings" w:hint="default"/>
        <w:color w:val="99CC00"/>
        <w:sz w:val="16"/>
        <w:szCs w:val="26"/>
      </w:rPr>
    </w:lvl>
    <w:lvl w:ilvl="2" w:tplc="EFECF512">
      <w:start w:val="1"/>
      <w:numFmt w:val="bullet"/>
      <w:lvlText w:val=""/>
      <w:lvlJc w:val="left"/>
      <w:pPr>
        <w:tabs>
          <w:tab w:val="num" w:pos="2160"/>
        </w:tabs>
        <w:ind w:left="1800" w:firstLine="0"/>
      </w:pPr>
      <w:rPr>
        <w:rFonts w:ascii="Wingdings" w:hAnsi="Wingdings" w:hint="default"/>
        <w:color w:val="99CC00"/>
        <w:sz w:val="26"/>
        <w:szCs w:val="2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EA85BA7"/>
    <w:multiLevelType w:val="hybridMultilevel"/>
    <w:tmpl w:val="7B08880C"/>
    <w:lvl w:ilvl="0" w:tplc="88BE6CB2">
      <w:start w:val="1"/>
      <w:numFmt w:val="decimal"/>
      <w:lvlText w:val="%1."/>
      <w:lvlJc w:val="left"/>
      <w:pPr>
        <w:ind w:left="2174" w:hanging="360"/>
      </w:pPr>
      <w:rPr>
        <w:rFonts w:hint="default"/>
        <w:b/>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2">
    <w:nsid w:val="51020802"/>
    <w:multiLevelType w:val="hybridMultilevel"/>
    <w:tmpl w:val="7B08880C"/>
    <w:lvl w:ilvl="0" w:tplc="88BE6CB2">
      <w:start w:val="1"/>
      <w:numFmt w:val="decimal"/>
      <w:lvlText w:val="%1."/>
      <w:lvlJc w:val="left"/>
      <w:pPr>
        <w:ind w:left="2174" w:hanging="360"/>
      </w:pPr>
      <w:rPr>
        <w:rFonts w:hint="default"/>
        <w:b/>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3">
    <w:nsid w:val="549E7370"/>
    <w:multiLevelType w:val="hybridMultilevel"/>
    <w:tmpl w:val="66C6194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7E6481"/>
    <w:multiLevelType w:val="hybridMultilevel"/>
    <w:tmpl w:val="16DECAB0"/>
    <w:lvl w:ilvl="0" w:tplc="0D665C86">
      <w:start w:val="1"/>
      <w:numFmt w:val="lowerRoman"/>
      <w:lvlText w:val="%1)"/>
      <w:lvlJc w:val="right"/>
      <w:pPr>
        <w:ind w:left="2534" w:hanging="360"/>
      </w:pPr>
      <w:rPr>
        <w:rFonts w:hint="default"/>
      </w:rPr>
    </w:lvl>
    <w:lvl w:ilvl="1" w:tplc="04100019" w:tentative="1">
      <w:start w:val="1"/>
      <w:numFmt w:val="lowerLetter"/>
      <w:lvlText w:val="%2."/>
      <w:lvlJc w:val="left"/>
      <w:pPr>
        <w:ind w:left="3254" w:hanging="360"/>
      </w:pPr>
    </w:lvl>
    <w:lvl w:ilvl="2" w:tplc="0410001B" w:tentative="1">
      <w:start w:val="1"/>
      <w:numFmt w:val="lowerRoman"/>
      <w:lvlText w:val="%3."/>
      <w:lvlJc w:val="right"/>
      <w:pPr>
        <w:ind w:left="3974" w:hanging="180"/>
      </w:pPr>
    </w:lvl>
    <w:lvl w:ilvl="3" w:tplc="0410000F" w:tentative="1">
      <w:start w:val="1"/>
      <w:numFmt w:val="decimal"/>
      <w:lvlText w:val="%4."/>
      <w:lvlJc w:val="left"/>
      <w:pPr>
        <w:ind w:left="4694" w:hanging="360"/>
      </w:pPr>
    </w:lvl>
    <w:lvl w:ilvl="4" w:tplc="04100019" w:tentative="1">
      <w:start w:val="1"/>
      <w:numFmt w:val="lowerLetter"/>
      <w:lvlText w:val="%5."/>
      <w:lvlJc w:val="left"/>
      <w:pPr>
        <w:ind w:left="5414" w:hanging="360"/>
      </w:pPr>
    </w:lvl>
    <w:lvl w:ilvl="5" w:tplc="0410001B" w:tentative="1">
      <w:start w:val="1"/>
      <w:numFmt w:val="lowerRoman"/>
      <w:lvlText w:val="%6."/>
      <w:lvlJc w:val="right"/>
      <w:pPr>
        <w:ind w:left="6134" w:hanging="180"/>
      </w:pPr>
    </w:lvl>
    <w:lvl w:ilvl="6" w:tplc="0410000F" w:tentative="1">
      <w:start w:val="1"/>
      <w:numFmt w:val="decimal"/>
      <w:lvlText w:val="%7."/>
      <w:lvlJc w:val="left"/>
      <w:pPr>
        <w:ind w:left="6854" w:hanging="360"/>
      </w:pPr>
    </w:lvl>
    <w:lvl w:ilvl="7" w:tplc="04100019" w:tentative="1">
      <w:start w:val="1"/>
      <w:numFmt w:val="lowerLetter"/>
      <w:lvlText w:val="%8."/>
      <w:lvlJc w:val="left"/>
      <w:pPr>
        <w:ind w:left="7574" w:hanging="360"/>
      </w:pPr>
    </w:lvl>
    <w:lvl w:ilvl="8" w:tplc="0410001B" w:tentative="1">
      <w:start w:val="1"/>
      <w:numFmt w:val="lowerRoman"/>
      <w:lvlText w:val="%9."/>
      <w:lvlJc w:val="right"/>
      <w:pPr>
        <w:ind w:left="8294" w:hanging="180"/>
      </w:pPr>
    </w:lvl>
  </w:abstractNum>
  <w:abstractNum w:abstractNumId="15">
    <w:nsid w:val="70C62D85"/>
    <w:multiLevelType w:val="hybridMultilevel"/>
    <w:tmpl w:val="FF646ACA"/>
    <w:lvl w:ilvl="0" w:tplc="D094358A">
      <w:start w:val="1"/>
      <w:numFmt w:val="bullet"/>
      <w:lvlText w:val=""/>
      <w:lvlJc w:val="left"/>
      <w:pPr>
        <w:tabs>
          <w:tab w:val="num" w:pos="357"/>
        </w:tabs>
        <w:ind w:left="0" w:firstLine="0"/>
      </w:pPr>
      <w:rPr>
        <w:rFonts w:ascii="Wingdings" w:hAnsi="Wingdings" w:cs="Times New Roman" w:hint="default"/>
        <w:b/>
        <w:i w:val="0"/>
        <w:color w:val="99CC0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5034C48"/>
    <w:multiLevelType w:val="hybridMultilevel"/>
    <w:tmpl w:val="0BFABAD0"/>
    <w:lvl w:ilvl="0" w:tplc="57C0F754">
      <w:start w:val="1"/>
      <w:numFmt w:val="decimal"/>
      <w:lvlText w:val="%1."/>
      <w:lvlJc w:val="left"/>
      <w:pPr>
        <w:tabs>
          <w:tab w:val="num" w:pos="2174"/>
        </w:tabs>
        <w:ind w:left="2174" w:hanging="360"/>
      </w:pPr>
      <w:rPr>
        <w:rFonts w:hint="default"/>
      </w:rPr>
    </w:lvl>
    <w:lvl w:ilvl="1" w:tplc="04100019" w:tentative="1">
      <w:start w:val="1"/>
      <w:numFmt w:val="lowerLetter"/>
      <w:lvlText w:val="%2."/>
      <w:lvlJc w:val="left"/>
      <w:pPr>
        <w:tabs>
          <w:tab w:val="num" w:pos="2894"/>
        </w:tabs>
        <w:ind w:left="2894" w:hanging="360"/>
      </w:pPr>
    </w:lvl>
    <w:lvl w:ilvl="2" w:tplc="0410001B" w:tentative="1">
      <w:start w:val="1"/>
      <w:numFmt w:val="lowerRoman"/>
      <w:lvlText w:val="%3."/>
      <w:lvlJc w:val="right"/>
      <w:pPr>
        <w:tabs>
          <w:tab w:val="num" w:pos="3614"/>
        </w:tabs>
        <w:ind w:left="3614" w:hanging="180"/>
      </w:pPr>
    </w:lvl>
    <w:lvl w:ilvl="3" w:tplc="0410000F" w:tentative="1">
      <w:start w:val="1"/>
      <w:numFmt w:val="decimal"/>
      <w:lvlText w:val="%4."/>
      <w:lvlJc w:val="left"/>
      <w:pPr>
        <w:tabs>
          <w:tab w:val="num" w:pos="4334"/>
        </w:tabs>
        <w:ind w:left="4334" w:hanging="360"/>
      </w:pPr>
    </w:lvl>
    <w:lvl w:ilvl="4" w:tplc="04100019" w:tentative="1">
      <w:start w:val="1"/>
      <w:numFmt w:val="lowerLetter"/>
      <w:lvlText w:val="%5."/>
      <w:lvlJc w:val="left"/>
      <w:pPr>
        <w:tabs>
          <w:tab w:val="num" w:pos="5054"/>
        </w:tabs>
        <w:ind w:left="5054" w:hanging="360"/>
      </w:pPr>
    </w:lvl>
    <w:lvl w:ilvl="5" w:tplc="0410001B" w:tentative="1">
      <w:start w:val="1"/>
      <w:numFmt w:val="lowerRoman"/>
      <w:lvlText w:val="%6."/>
      <w:lvlJc w:val="right"/>
      <w:pPr>
        <w:tabs>
          <w:tab w:val="num" w:pos="5774"/>
        </w:tabs>
        <w:ind w:left="5774" w:hanging="180"/>
      </w:pPr>
    </w:lvl>
    <w:lvl w:ilvl="6" w:tplc="0410000F" w:tentative="1">
      <w:start w:val="1"/>
      <w:numFmt w:val="decimal"/>
      <w:lvlText w:val="%7."/>
      <w:lvlJc w:val="left"/>
      <w:pPr>
        <w:tabs>
          <w:tab w:val="num" w:pos="6494"/>
        </w:tabs>
        <w:ind w:left="6494" w:hanging="360"/>
      </w:pPr>
    </w:lvl>
    <w:lvl w:ilvl="7" w:tplc="04100019" w:tentative="1">
      <w:start w:val="1"/>
      <w:numFmt w:val="lowerLetter"/>
      <w:lvlText w:val="%8."/>
      <w:lvlJc w:val="left"/>
      <w:pPr>
        <w:tabs>
          <w:tab w:val="num" w:pos="7214"/>
        </w:tabs>
        <w:ind w:left="7214" w:hanging="360"/>
      </w:pPr>
    </w:lvl>
    <w:lvl w:ilvl="8" w:tplc="0410001B" w:tentative="1">
      <w:start w:val="1"/>
      <w:numFmt w:val="lowerRoman"/>
      <w:lvlText w:val="%9."/>
      <w:lvlJc w:val="right"/>
      <w:pPr>
        <w:tabs>
          <w:tab w:val="num" w:pos="7934"/>
        </w:tabs>
        <w:ind w:left="7934" w:hanging="180"/>
      </w:pPr>
    </w:lvl>
  </w:abstractNum>
  <w:abstractNum w:abstractNumId="17">
    <w:nsid w:val="7D6443C1"/>
    <w:multiLevelType w:val="multilevel"/>
    <w:tmpl w:val="8CA636EE"/>
    <w:lvl w:ilvl="0">
      <w:start w:val="1"/>
      <w:numFmt w:val="bullet"/>
      <w:lvlText w:val=""/>
      <w:lvlJc w:val="left"/>
      <w:pPr>
        <w:tabs>
          <w:tab w:val="num" w:pos="360"/>
        </w:tabs>
        <w:ind w:left="0" w:firstLine="0"/>
      </w:pPr>
      <w:rPr>
        <w:rFonts w:ascii="Wingdings" w:hAnsi="Wingdings" w:hint="default"/>
        <w:color w:val="99CC00"/>
        <w:sz w:val="26"/>
        <w:szCs w:val="26"/>
      </w:rPr>
    </w:lvl>
    <w:lvl w:ilvl="1">
      <w:start w:val="1"/>
      <w:numFmt w:val="bullet"/>
      <w:lvlText w:val=""/>
      <w:lvlJc w:val="left"/>
      <w:pPr>
        <w:tabs>
          <w:tab w:val="num" w:pos="510"/>
        </w:tabs>
        <w:ind w:left="113" w:firstLine="0"/>
      </w:pPr>
      <w:rPr>
        <w:rFonts w:ascii="Wingdings" w:hAnsi="Wingdings" w:hint="default"/>
        <w:color w:val="99CC00"/>
        <w:sz w:val="16"/>
        <w:szCs w:val="2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DAC1393"/>
    <w:multiLevelType w:val="hybridMultilevel"/>
    <w:tmpl w:val="2804AC2C"/>
    <w:lvl w:ilvl="0" w:tplc="F8AEC422">
      <w:start w:val="1"/>
      <w:numFmt w:val="bullet"/>
      <w:lvlText w:val=""/>
      <w:lvlJc w:val="left"/>
      <w:pPr>
        <w:tabs>
          <w:tab w:val="num" w:pos="357"/>
        </w:tabs>
        <w:ind w:left="0" w:firstLine="0"/>
      </w:pPr>
      <w:rPr>
        <w:rFonts w:ascii="Wingdings" w:hAnsi="Wingdings" w:cs="Times New Roman" w:hint="default"/>
        <w:b/>
        <w:i w:val="0"/>
        <w:color w:val="99CC0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0"/>
  </w:num>
  <w:num w:numId="4">
    <w:abstractNumId w:val="17"/>
  </w:num>
  <w:num w:numId="5">
    <w:abstractNumId w:val="18"/>
  </w:num>
  <w:num w:numId="6">
    <w:abstractNumId w:val="7"/>
  </w:num>
  <w:num w:numId="7">
    <w:abstractNumId w:val="15"/>
  </w:num>
  <w:num w:numId="8">
    <w:abstractNumId w:val="1"/>
  </w:num>
  <w:num w:numId="9">
    <w:abstractNumId w:val="0"/>
  </w:num>
  <w:num w:numId="10">
    <w:abstractNumId w:val="9"/>
  </w:num>
  <w:num w:numId="11">
    <w:abstractNumId w:val="2"/>
  </w:num>
  <w:num w:numId="12">
    <w:abstractNumId w:val="16"/>
  </w:num>
  <w:num w:numId="13">
    <w:abstractNumId w:val="14"/>
  </w:num>
  <w:num w:numId="14">
    <w:abstractNumId w:val="8"/>
  </w:num>
  <w:num w:numId="15">
    <w:abstractNumId w:val="12"/>
  </w:num>
  <w:num w:numId="16">
    <w:abstractNumId w:val="11"/>
  </w:num>
  <w:num w:numId="17">
    <w:abstractNumId w:val="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E9"/>
    <w:rsid w:val="000000F7"/>
    <w:rsid w:val="00000310"/>
    <w:rsid w:val="00000525"/>
    <w:rsid w:val="00002C33"/>
    <w:rsid w:val="00005453"/>
    <w:rsid w:val="00005AAE"/>
    <w:rsid w:val="00007269"/>
    <w:rsid w:val="00007BDE"/>
    <w:rsid w:val="00011102"/>
    <w:rsid w:val="00012C12"/>
    <w:rsid w:val="00014AB2"/>
    <w:rsid w:val="0001507F"/>
    <w:rsid w:val="00016057"/>
    <w:rsid w:val="0001685C"/>
    <w:rsid w:val="00016C81"/>
    <w:rsid w:val="00016F3E"/>
    <w:rsid w:val="00017BF0"/>
    <w:rsid w:val="00021326"/>
    <w:rsid w:val="00021B33"/>
    <w:rsid w:val="0002492A"/>
    <w:rsid w:val="00024A14"/>
    <w:rsid w:val="00026681"/>
    <w:rsid w:val="00026B5D"/>
    <w:rsid w:val="00026BC9"/>
    <w:rsid w:val="000277DE"/>
    <w:rsid w:val="00027A57"/>
    <w:rsid w:val="00027BDA"/>
    <w:rsid w:val="00031BBB"/>
    <w:rsid w:val="00033CC2"/>
    <w:rsid w:val="00034673"/>
    <w:rsid w:val="0003690E"/>
    <w:rsid w:val="00037707"/>
    <w:rsid w:val="0004138E"/>
    <w:rsid w:val="00043116"/>
    <w:rsid w:val="00044BA2"/>
    <w:rsid w:val="000456FA"/>
    <w:rsid w:val="00045A54"/>
    <w:rsid w:val="000479F1"/>
    <w:rsid w:val="0005076C"/>
    <w:rsid w:val="00050BCF"/>
    <w:rsid w:val="00050DA5"/>
    <w:rsid w:val="00051C0E"/>
    <w:rsid w:val="00051C77"/>
    <w:rsid w:val="00053A4E"/>
    <w:rsid w:val="00054896"/>
    <w:rsid w:val="00054EC1"/>
    <w:rsid w:val="00060844"/>
    <w:rsid w:val="00060F62"/>
    <w:rsid w:val="00062272"/>
    <w:rsid w:val="000640C0"/>
    <w:rsid w:val="00064C8E"/>
    <w:rsid w:val="00065C85"/>
    <w:rsid w:val="00065E82"/>
    <w:rsid w:val="00066759"/>
    <w:rsid w:val="000673EA"/>
    <w:rsid w:val="00071C4E"/>
    <w:rsid w:val="00071F2B"/>
    <w:rsid w:val="000726E1"/>
    <w:rsid w:val="00072B4A"/>
    <w:rsid w:val="0007336F"/>
    <w:rsid w:val="00073747"/>
    <w:rsid w:val="000744AE"/>
    <w:rsid w:val="00074B48"/>
    <w:rsid w:val="00074D67"/>
    <w:rsid w:val="00076A05"/>
    <w:rsid w:val="00077072"/>
    <w:rsid w:val="00077571"/>
    <w:rsid w:val="00080B51"/>
    <w:rsid w:val="00082879"/>
    <w:rsid w:val="00082EF7"/>
    <w:rsid w:val="0008307E"/>
    <w:rsid w:val="00084174"/>
    <w:rsid w:val="00084E6C"/>
    <w:rsid w:val="0008549E"/>
    <w:rsid w:val="00085B41"/>
    <w:rsid w:val="00086A7F"/>
    <w:rsid w:val="000872E0"/>
    <w:rsid w:val="00087963"/>
    <w:rsid w:val="0009098A"/>
    <w:rsid w:val="0009128F"/>
    <w:rsid w:val="000924C2"/>
    <w:rsid w:val="00092F6B"/>
    <w:rsid w:val="00094CE0"/>
    <w:rsid w:val="000A1782"/>
    <w:rsid w:val="000A37C6"/>
    <w:rsid w:val="000A473F"/>
    <w:rsid w:val="000A535E"/>
    <w:rsid w:val="000A5461"/>
    <w:rsid w:val="000A5FE6"/>
    <w:rsid w:val="000A6CF9"/>
    <w:rsid w:val="000A7FAA"/>
    <w:rsid w:val="000B1616"/>
    <w:rsid w:val="000B16F5"/>
    <w:rsid w:val="000B1CF0"/>
    <w:rsid w:val="000B2058"/>
    <w:rsid w:val="000B2CE3"/>
    <w:rsid w:val="000B3562"/>
    <w:rsid w:val="000B52F1"/>
    <w:rsid w:val="000B5AB4"/>
    <w:rsid w:val="000B70C5"/>
    <w:rsid w:val="000B715D"/>
    <w:rsid w:val="000B7385"/>
    <w:rsid w:val="000C0229"/>
    <w:rsid w:val="000C11F2"/>
    <w:rsid w:val="000C16D5"/>
    <w:rsid w:val="000C2BC7"/>
    <w:rsid w:val="000C4D56"/>
    <w:rsid w:val="000D10E0"/>
    <w:rsid w:val="000D41AE"/>
    <w:rsid w:val="000D5828"/>
    <w:rsid w:val="000E1375"/>
    <w:rsid w:val="000E180E"/>
    <w:rsid w:val="000E3AA7"/>
    <w:rsid w:val="000E4E1E"/>
    <w:rsid w:val="000E4E70"/>
    <w:rsid w:val="000E5567"/>
    <w:rsid w:val="000E5CCF"/>
    <w:rsid w:val="000E7AF8"/>
    <w:rsid w:val="000F01BB"/>
    <w:rsid w:val="000F1512"/>
    <w:rsid w:val="000F3833"/>
    <w:rsid w:val="000F5B53"/>
    <w:rsid w:val="00100895"/>
    <w:rsid w:val="00100EA1"/>
    <w:rsid w:val="001055A1"/>
    <w:rsid w:val="001061B7"/>
    <w:rsid w:val="00106C9B"/>
    <w:rsid w:val="00106ECF"/>
    <w:rsid w:val="00107D46"/>
    <w:rsid w:val="0011286A"/>
    <w:rsid w:val="00112E65"/>
    <w:rsid w:val="001141CD"/>
    <w:rsid w:val="00116C8C"/>
    <w:rsid w:val="001170E9"/>
    <w:rsid w:val="00117170"/>
    <w:rsid w:val="0012027A"/>
    <w:rsid w:val="0012365A"/>
    <w:rsid w:val="001241DC"/>
    <w:rsid w:val="00124488"/>
    <w:rsid w:val="0012535E"/>
    <w:rsid w:val="00125A0B"/>
    <w:rsid w:val="00125D8C"/>
    <w:rsid w:val="00130C97"/>
    <w:rsid w:val="00130E68"/>
    <w:rsid w:val="00132275"/>
    <w:rsid w:val="0013246D"/>
    <w:rsid w:val="0013275E"/>
    <w:rsid w:val="00133144"/>
    <w:rsid w:val="00133455"/>
    <w:rsid w:val="00133CB9"/>
    <w:rsid w:val="00134F6D"/>
    <w:rsid w:val="0013726A"/>
    <w:rsid w:val="001424F1"/>
    <w:rsid w:val="001429DF"/>
    <w:rsid w:val="0014344C"/>
    <w:rsid w:val="00146868"/>
    <w:rsid w:val="00146A40"/>
    <w:rsid w:val="00150995"/>
    <w:rsid w:val="00151305"/>
    <w:rsid w:val="00151BDE"/>
    <w:rsid w:val="00152802"/>
    <w:rsid w:val="001552D0"/>
    <w:rsid w:val="00160A14"/>
    <w:rsid w:val="00160EFA"/>
    <w:rsid w:val="00161A1C"/>
    <w:rsid w:val="00162177"/>
    <w:rsid w:val="001635D5"/>
    <w:rsid w:val="001643E0"/>
    <w:rsid w:val="001645A2"/>
    <w:rsid w:val="00165090"/>
    <w:rsid w:val="0016748F"/>
    <w:rsid w:val="00167A48"/>
    <w:rsid w:val="00174B1F"/>
    <w:rsid w:val="00175504"/>
    <w:rsid w:val="00175886"/>
    <w:rsid w:val="001759E0"/>
    <w:rsid w:val="001767FC"/>
    <w:rsid w:val="00177ACA"/>
    <w:rsid w:val="00180425"/>
    <w:rsid w:val="00181048"/>
    <w:rsid w:val="00181812"/>
    <w:rsid w:val="00182069"/>
    <w:rsid w:val="001821F0"/>
    <w:rsid w:val="0018364A"/>
    <w:rsid w:val="00184B5E"/>
    <w:rsid w:val="00185AC2"/>
    <w:rsid w:val="00192B0D"/>
    <w:rsid w:val="0019419C"/>
    <w:rsid w:val="00194907"/>
    <w:rsid w:val="00195C0E"/>
    <w:rsid w:val="00196412"/>
    <w:rsid w:val="00196604"/>
    <w:rsid w:val="00196A46"/>
    <w:rsid w:val="00197370"/>
    <w:rsid w:val="001975E0"/>
    <w:rsid w:val="001A0A6A"/>
    <w:rsid w:val="001A3C68"/>
    <w:rsid w:val="001A6322"/>
    <w:rsid w:val="001A73D7"/>
    <w:rsid w:val="001A74D2"/>
    <w:rsid w:val="001B12D6"/>
    <w:rsid w:val="001B1724"/>
    <w:rsid w:val="001B1E41"/>
    <w:rsid w:val="001B2E87"/>
    <w:rsid w:val="001B4B1B"/>
    <w:rsid w:val="001B50E9"/>
    <w:rsid w:val="001C1CB3"/>
    <w:rsid w:val="001D015C"/>
    <w:rsid w:val="001D01DF"/>
    <w:rsid w:val="001D0AB4"/>
    <w:rsid w:val="001D35C3"/>
    <w:rsid w:val="001D4491"/>
    <w:rsid w:val="001D49C8"/>
    <w:rsid w:val="001D4A46"/>
    <w:rsid w:val="001D4DC0"/>
    <w:rsid w:val="001D7410"/>
    <w:rsid w:val="001E0534"/>
    <w:rsid w:val="001E1D2B"/>
    <w:rsid w:val="001E2B1C"/>
    <w:rsid w:val="001E3B26"/>
    <w:rsid w:val="001E4E22"/>
    <w:rsid w:val="001E596F"/>
    <w:rsid w:val="001E5ADB"/>
    <w:rsid w:val="001F0384"/>
    <w:rsid w:val="001F0FA6"/>
    <w:rsid w:val="001F2524"/>
    <w:rsid w:val="001F4743"/>
    <w:rsid w:val="001F7386"/>
    <w:rsid w:val="001F78E3"/>
    <w:rsid w:val="001F7A05"/>
    <w:rsid w:val="00200BC4"/>
    <w:rsid w:val="002016E0"/>
    <w:rsid w:val="00201845"/>
    <w:rsid w:val="002029E6"/>
    <w:rsid w:val="0020384E"/>
    <w:rsid w:val="00206D56"/>
    <w:rsid w:val="00210BBE"/>
    <w:rsid w:val="00212890"/>
    <w:rsid w:val="00217573"/>
    <w:rsid w:val="002179FB"/>
    <w:rsid w:val="002223D4"/>
    <w:rsid w:val="00222B47"/>
    <w:rsid w:val="00224652"/>
    <w:rsid w:val="0022498F"/>
    <w:rsid w:val="00230ACD"/>
    <w:rsid w:val="00230FC2"/>
    <w:rsid w:val="00232018"/>
    <w:rsid w:val="00232BE6"/>
    <w:rsid w:val="00235076"/>
    <w:rsid w:val="00235BE1"/>
    <w:rsid w:val="0023619E"/>
    <w:rsid w:val="002365B5"/>
    <w:rsid w:val="00237961"/>
    <w:rsid w:val="002400E9"/>
    <w:rsid w:val="00241C65"/>
    <w:rsid w:val="0024233E"/>
    <w:rsid w:val="00242463"/>
    <w:rsid w:val="0024254D"/>
    <w:rsid w:val="002428B8"/>
    <w:rsid w:val="00242F8E"/>
    <w:rsid w:val="00247CA3"/>
    <w:rsid w:val="00251264"/>
    <w:rsid w:val="002523A4"/>
    <w:rsid w:val="002523F1"/>
    <w:rsid w:val="00253C4D"/>
    <w:rsid w:val="00256157"/>
    <w:rsid w:val="00257748"/>
    <w:rsid w:val="00260109"/>
    <w:rsid w:val="00260E60"/>
    <w:rsid w:val="002614A5"/>
    <w:rsid w:val="00261802"/>
    <w:rsid w:val="00261858"/>
    <w:rsid w:val="00262200"/>
    <w:rsid w:val="00265319"/>
    <w:rsid w:val="00266156"/>
    <w:rsid w:val="002705B1"/>
    <w:rsid w:val="00270DD8"/>
    <w:rsid w:val="00271DA0"/>
    <w:rsid w:val="00272B75"/>
    <w:rsid w:val="0027373D"/>
    <w:rsid w:val="00275BBE"/>
    <w:rsid w:val="002774CA"/>
    <w:rsid w:val="002806C8"/>
    <w:rsid w:val="00281082"/>
    <w:rsid w:val="00281C01"/>
    <w:rsid w:val="00281C3D"/>
    <w:rsid w:val="002852B0"/>
    <w:rsid w:val="00286353"/>
    <w:rsid w:val="002867B7"/>
    <w:rsid w:val="00286D97"/>
    <w:rsid w:val="00287206"/>
    <w:rsid w:val="00287F30"/>
    <w:rsid w:val="002913A3"/>
    <w:rsid w:val="00292702"/>
    <w:rsid w:val="00292803"/>
    <w:rsid w:val="00292A91"/>
    <w:rsid w:val="00292DE8"/>
    <w:rsid w:val="0029358F"/>
    <w:rsid w:val="0029597F"/>
    <w:rsid w:val="00296527"/>
    <w:rsid w:val="00296C28"/>
    <w:rsid w:val="002A0740"/>
    <w:rsid w:val="002A0855"/>
    <w:rsid w:val="002A4A4B"/>
    <w:rsid w:val="002A527B"/>
    <w:rsid w:val="002A5AB5"/>
    <w:rsid w:val="002A6655"/>
    <w:rsid w:val="002A77A9"/>
    <w:rsid w:val="002A7CBC"/>
    <w:rsid w:val="002B07EA"/>
    <w:rsid w:val="002B20AD"/>
    <w:rsid w:val="002B32D2"/>
    <w:rsid w:val="002B4DB9"/>
    <w:rsid w:val="002B681C"/>
    <w:rsid w:val="002C04AF"/>
    <w:rsid w:val="002C04D3"/>
    <w:rsid w:val="002C5D0F"/>
    <w:rsid w:val="002C66BC"/>
    <w:rsid w:val="002C7846"/>
    <w:rsid w:val="002D0753"/>
    <w:rsid w:val="002D204F"/>
    <w:rsid w:val="002D2F4E"/>
    <w:rsid w:val="002D3301"/>
    <w:rsid w:val="002D5ACB"/>
    <w:rsid w:val="002D60EA"/>
    <w:rsid w:val="002D6A51"/>
    <w:rsid w:val="002D746C"/>
    <w:rsid w:val="002E159D"/>
    <w:rsid w:val="002E1877"/>
    <w:rsid w:val="002E2E68"/>
    <w:rsid w:val="002E603B"/>
    <w:rsid w:val="002E683B"/>
    <w:rsid w:val="002F1959"/>
    <w:rsid w:val="002F1BCC"/>
    <w:rsid w:val="002F4822"/>
    <w:rsid w:val="002F61BB"/>
    <w:rsid w:val="002F6C65"/>
    <w:rsid w:val="003019DD"/>
    <w:rsid w:val="00302761"/>
    <w:rsid w:val="0030409B"/>
    <w:rsid w:val="003043A0"/>
    <w:rsid w:val="003069D1"/>
    <w:rsid w:val="003103EB"/>
    <w:rsid w:val="00314FBE"/>
    <w:rsid w:val="00315803"/>
    <w:rsid w:val="00315854"/>
    <w:rsid w:val="003167C5"/>
    <w:rsid w:val="003201E4"/>
    <w:rsid w:val="00320CB1"/>
    <w:rsid w:val="00321C2E"/>
    <w:rsid w:val="00322830"/>
    <w:rsid w:val="003229E5"/>
    <w:rsid w:val="00325499"/>
    <w:rsid w:val="00325E04"/>
    <w:rsid w:val="0032609A"/>
    <w:rsid w:val="00326721"/>
    <w:rsid w:val="003314EF"/>
    <w:rsid w:val="00332142"/>
    <w:rsid w:val="0033292B"/>
    <w:rsid w:val="00334A1E"/>
    <w:rsid w:val="00334AF4"/>
    <w:rsid w:val="003354CE"/>
    <w:rsid w:val="0033652F"/>
    <w:rsid w:val="003402E3"/>
    <w:rsid w:val="00340A3B"/>
    <w:rsid w:val="00340CE1"/>
    <w:rsid w:val="00342200"/>
    <w:rsid w:val="00342210"/>
    <w:rsid w:val="003433C2"/>
    <w:rsid w:val="003434A5"/>
    <w:rsid w:val="00345421"/>
    <w:rsid w:val="00345703"/>
    <w:rsid w:val="003462FB"/>
    <w:rsid w:val="0034703C"/>
    <w:rsid w:val="00347DA9"/>
    <w:rsid w:val="003504BE"/>
    <w:rsid w:val="00354947"/>
    <w:rsid w:val="00357C33"/>
    <w:rsid w:val="00357D85"/>
    <w:rsid w:val="00357DAF"/>
    <w:rsid w:val="00360477"/>
    <w:rsid w:val="003605E9"/>
    <w:rsid w:val="00364A19"/>
    <w:rsid w:val="00364F67"/>
    <w:rsid w:val="00365079"/>
    <w:rsid w:val="00365282"/>
    <w:rsid w:val="00367A52"/>
    <w:rsid w:val="00371F7C"/>
    <w:rsid w:val="0037356E"/>
    <w:rsid w:val="00374738"/>
    <w:rsid w:val="0037532C"/>
    <w:rsid w:val="00376E8D"/>
    <w:rsid w:val="00377A7F"/>
    <w:rsid w:val="003838FB"/>
    <w:rsid w:val="00384F7C"/>
    <w:rsid w:val="003859EB"/>
    <w:rsid w:val="00386504"/>
    <w:rsid w:val="00386A0D"/>
    <w:rsid w:val="00386ED0"/>
    <w:rsid w:val="00387CC4"/>
    <w:rsid w:val="003912AD"/>
    <w:rsid w:val="0039138B"/>
    <w:rsid w:val="00391EA0"/>
    <w:rsid w:val="00392583"/>
    <w:rsid w:val="0039364B"/>
    <w:rsid w:val="00394FC4"/>
    <w:rsid w:val="00396D90"/>
    <w:rsid w:val="003A0922"/>
    <w:rsid w:val="003A0E2E"/>
    <w:rsid w:val="003A1D5B"/>
    <w:rsid w:val="003A34BE"/>
    <w:rsid w:val="003A5B01"/>
    <w:rsid w:val="003A6E02"/>
    <w:rsid w:val="003A7E2D"/>
    <w:rsid w:val="003B0398"/>
    <w:rsid w:val="003B163D"/>
    <w:rsid w:val="003B2120"/>
    <w:rsid w:val="003B23A0"/>
    <w:rsid w:val="003B345B"/>
    <w:rsid w:val="003B505C"/>
    <w:rsid w:val="003B591F"/>
    <w:rsid w:val="003B61F6"/>
    <w:rsid w:val="003B6DBB"/>
    <w:rsid w:val="003B7169"/>
    <w:rsid w:val="003B7794"/>
    <w:rsid w:val="003C3FEA"/>
    <w:rsid w:val="003C4081"/>
    <w:rsid w:val="003C5928"/>
    <w:rsid w:val="003C7067"/>
    <w:rsid w:val="003D02D7"/>
    <w:rsid w:val="003D19CE"/>
    <w:rsid w:val="003D4620"/>
    <w:rsid w:val="003D52D3"/>
    <w:rsid w:val="003D540B"/>
    <w:rsid w:val="003D748E"/>
    <w:rsid w:val="003D7E41"/>
    <w:rsid w:val="003E171A"/>
    <w:rsid w:val="003E32AF"/>
    <w:rsid w:val="003E3A53"/>
    <w:rsid w:val="003E4887"/>
    <w:rsid w:val="003E5733"/>
    <w:rsid w:val="003E7AD9"/>
    <w:rsid w:val="003F010B"/>
    <w:rsid w:val="003F04F1"/>
    <w:rsid w:val="003F3410"/>
    <w:rsid w:val="003F4FD5"/>
    <w:rsid w:val="003F5BF2"/>
    <w:rsid w:val="003F65A2"/>
    <w:rsid w:val="003F6B2B"/>
    <w:rsid w:val="00407A3B"/>
    <w:rsid w:val="00407D67"/>
    <w:rsid w:val="00413962"/>
    <w:rsid w:val="00413A65"/>
    <w:rsid w:val="00413EEE"/>
    <w:rsid w:val="00415089"/>
    <w:rsid w:val="00416D8D"/>
    <w:rsid w:val="004176CE"/>
    <w:rsid w:val="00421E43"/>
    <w:rsid w:val="00422827"/>
    <w:rsid w:val="00423C20"/>
    <w:rsid w:val="00424BDC"/>
    <w:rsid w:val="00427E6A"/>
    <w:rsid w:val="004300E1"/>
    <w:rsid w:val="00430CA7"/>
    <w:rsid w:val="00431C69"/>
    <w:rsid w:val="004335B8"/>
    <w:rsid w:val="00433AF7"/>
    <w:rsid w:val="00436002"/>
    <w:rsid w:val="0043725C"/>
    <w:rsid w:val="0044282F"/>
    <w:rsid w:val="0044286C"/>
    <w:rsid w:val="004443E7"/>
    <w:rsid w:val="00444DD6"/>
    <w:rsid w:val="0044532D"/>
    <w:rsid w:val="004462FC"/>
    <w:rsid w:val="00446CA9"/>
    <w:rsid w:val="00452DC9"/>
    <w:rsid w:val="0045383A"/>
    <w:rsid w:val="0045568F"/>
    <w:rsid w:val="0046052A"/>
    <w:rsid w:val="00460C31"/>
    <w:rsid w:val="00460E6F"/>
    <w:rsid w:val="004616B3"/>
    <w:rsid w:val="00464B52"/>
    <w:rsid w:val="00464C00"/>
    <w:rsid w:val="004663E3"/>
    <w:rsid w:val="00466840"/>
    <w:rsid w:val="00470A7C"/>
    <w:rsid w:val="00471199"/>
    <w:rsid w:val="00471887"/>
    <w:rsid w:val="00473439"/>
    <w:rsid w:val="00473662"/>
    <w:rsid w:val="004762FF"/>
    <w:rsid w:val="00480309"/>
    <w:rsid w:val="0048392F"/>
    <w:rsid w:val="0048654E"/>
    <w:rsid w:val="0049072E"/>
    <w:rsid w:val="0049282A"/>
    <w:rsid w:val="00493BE9"/>
    <w:rsid w:val="00493CAF"/>
    <w:rsid w:val="0049432A"/>
    <w:rsid w:val="004A03AB"/>
    <w:rsid w:val="004A06E9"/>
    <w:rsid w:val="004A0A80"/>
    <w:rsid w:val="004A104E"/>
    <w:rsid w:val="004A5872"/>
    <w:rsid w:val="004A5A1D"/>
    <w:rsid w:val="004A6370"/>
    <w:rsid w:val="004B02E9"/>
    <w:rsid w:val="004B062E"/>
    <w:rsid w:val="004B12DA"/>
    <w:rsid w:val="004B1CB2"/>
    <w:rsid w:val="004B2A41"/>
    <w:rsid w:val="004B48B7"/>
    <w:rsid w:val="004B559B"/>
    <w:rsid w:val="004B5929"/>
    <w:rsid w:val="004B5FF5"/>
    <w:rsid w:val="004B66A8"/>
    <w:rsid w:val="004B7772"/>
    <w:rsid w:val="004C0343"/>
    <w:rsid w:val="004C0398"/>
    <w:rsid w:val="004C2958"/>
    <w:rsid w:val="004C6CF5"/>
    <w:rsid w:val="004D065D"/>
    <w:rsid w:val="004D259C"/>
    <w:rsid w:val="004D504E"/>
    <w:rsid w:val="004D55F8"/>
    <w:rsid w:val="004D69DB"/>
    <w:rsid w:val="004E0240"/>
    <w:rsid w:val="004E2215"/>
    <w:rsid w:val="004E2280"/>
    <w:rsid w:val="004E284C"/>
    <w:rsid w:val="004E2DD0"/>
    <w:rsid w:val="004E71B0"/>
    <w:rsid w:val="004F074D"/>
    <w:rsid w:val="004F18BB"/>
    <w:rsid w:val="004F5AC5"/>
    <w:rsid w:val="004F6544"/>
    <w:rsid w:val="00500DE8"/>
    <w:rsid w:val="00501BE5"/>
    <w:rsid w:val="00503101"/>
    <w:rsid w:val="0050397A"/>
    <w:rsid w:val="00503EE0"/>
    <w:rsid w:val="00504C8B"/>
    <w:rsid w:val="00505F90"/>
    <w:rsid w:val="00507329"/>
    <w:rsid w:val="005118E1"/>
    <w:rsid w:val="00512F70"/>
    <w:rsid w:val="005132A2"/>
    <w:rsid w:val="00513350"/>
    <w:rsid w:val="0051483F"/>
    <w:rsid w:val="00516751"/>
    <w:rsid w:val="005171C5"/>
    <w:rsid w:val="00517CCF"/>
    <w:rsid w:val="005258D5"/>
    <w:rsid w:val="00527056"/>
    <w:rsid w:val="00531FE5"/>
    <w:rsid w:val="00534FF3"/>
    <w:rsid w:val="00537DA7"/>
    <w:rsid w:val="00537DE3"/>
    <w:rsid w:val="00540C85"/>
    <w:rsid w:val="005422F9"/>
    <w:rsid w:val="005424B1"/>
    <w:rsid w:val="00542783"/>
    <w:rsid w:val="00545BCA"/>
    <w:rsid w:val="005502F9"/>
    <w:rsid w:val="00551839"/>
    <w:rsid w:val="00551972"/>
    <w:rsid w:val="005525CE"/>
    <w:rsid w:val="00553B7A"/>
    <w:rsid w:val="0055674B"/>
    <w:rsid w:val="005570AB"/>
    <w:rsid w:val="00557CFD"/>
    <w:rsid w:val="00557D4D"/>
    <w:rsid w:val="0056054E"/>
    <w:rsid w:val="00560D8C"/>
    <w:rsid w:val="00562BCC"/>
    <w:rsid w:val="00563196"/>
    <w:rsid w:val="00563788"/>
    <w:rsid w:val="00570B79"/>
    <w:rsid w:val="00570D33"/>
    <w:rsid w:val="00573087"/>
    <w:rsid w:val="0057413F"/>
    <w:rsid w:val="00574483"/>
    <w:rsid w:val="005775E8"/>
    <w:rsid w:val="005779E8"/>
    <w:rsid w:val="00580DDC"/>
    <w:rsid w:val="00581827"/>
    <w:rsid w:val="005822AF"/>
    <w:rsid w:val="00582D56"/>
    <w:rsid w:val="00583F90"/>
    <w:rsid w:val="00584B3B"/>
    <w:rsid w:val="00584E2D"/>
    <w:rsid w:val="005859FF"/>
    <w:rsid w:val="00585D4C"/>
    <w:rsid w:val="005869A0"/>
    <w:rsid w:val="00587D7F"/>
    <w:rsid w:val="00593051"/>
    <w:rsid w:val="00593290"/>
    <w:rsid w:val="005934CB"/>
    <w:rsid w:val="00593BB4"/>
    <w:rsid w:val="00593D5A"/>
    <w:rsid w:val="005957B3"/>
    <w:rsid w:val="00597C75"/>
    <w:rsid w:val="005A0048"/>
    <w:rsid w:val="005A0569"/>
    <w:rsid w:val="005A1950"/>
    <w:rsid w:val="005A19AF"/>
    <w:rsid w:val="005A316B"/>
    <w:rsid w:val="005A375A"/>
    <w:rsid w:val="005A5A02"/>
    <w:rsid w:val="005B11A7"/>
    <w:rsid w:val="005B273E"/>
    <w:rsid w:val="005B3B9D"/>
    <w:rsid w:val="005B59A4"/>
    <w:rsid w:val="005C3024"/>
    <w:rsid w:val="005C39F8"/>
    <w:rsid w:val="005C3C59"/>
    <w:rsid w:val="005C4713"/>
    <w:rsid w:val="005C7CAA"/>
    <w:rsid w:val="005C7D77"/>
    <w:rsid w:val="005D0CE3"/>
    <w:rsid w:val="005D1EEC"/>
    <w:rsid w:val="005D286C"/>
    <w:rsid w:val="005D2EE8"/>
    <w:rsid w:val="005D3F3E"/>
    <w:rsid w:val="005D436C"/>
    <w:rsid w:val="005D70E0"/>
    <w:rsid w:val="005D795E"/>
    <w:rsid w:val="005E0202"/>
    <w:rsid w:val="005E0903"/>
    <w:rsid w:val="005E1007"/>
    <w:rsid w:val="005E2143"/>
    <w:rsid w:val="005E2D69"/>
    <w:rsid w:val="005E4B41"/>
    <w:rsid w:val="005E661F"/>
    <w:rsid w:val="005F37F5"/>
    <w:rsid w:val="005F5BA3"/>
    <w:rsid w:val="006008BA"/>
    <w:rsid w:val="0060100C"/>
    <w:rsid w:val="006023E5"/>
    <w:rsid w:val="00602567"/>
    <w:rsid w:val="006026F7"/>
    <w:rsid w:val="00602BE9"/>
    <w:rsid w:val="00603999"/>
    <w:rsid w:val="00604101"/>
    <w:rsid w:val="00606D1A"/>
    <w:rsid w:val="0061181A"/>
    <w:rsid w:val="00612214"/>
    <w:rsid w:val="00613231"/>
    <w:rsid w:val="0061356F"/>
    <w:rsid w:val="0061463C"/>
    <w:rsid w:val="00616A61"/>
    <w:rsid w:val="00617453"/>
    <w:rsid w:val="006208CA"/>
    <w:rsid w:val="006260CD"/>
    <w:rsid w:val="00626C80"/>
    <w:rsid w:val="00626D42"/>
    <w:rsid w:val="00627D62"/>
    <w:rsid w:val="00632132"/>
    <w:rsid w:val="00634358"/>
    <w:rsid w:val="00634EAD"/>
    <w:rsid w:val="0063503D"/>
    <w:rsid w:val="0063521B"/>
    <w:rsid w:val="006419F8"/>
    <w:rsid w:val="0064294B"/>
    <w:rsid w:val="00642C4C"/>
    <w:rsid w:val="00643BC3"/>
    <w:rsid w:val="006460E6"/>
    <w:rsid w:val="00647509"/>
    <w:rsid w:val="0065238D"/>
    <w:rsid w:val="0065286A"/>
    <w:rsid w:val="00654240"/>
    <w:rsid w:val="00656ADB"/>
    <w:rsid w:val="00656BAF"/>
    <w:rsid w:val="00657A72"/>
    <w:rsid w:val="0066037C"/>
    <w:rsid w:val="0066100D"/>
    <w:rsid w:val="006626C4"/>
    <w:rsid w:val="006648BF"/>
    <w:rsid w:val="00664DF1"/>
    <w:rsid w:val="00665568"/>
    <w:rsid w:val="006657CB"/>
    <w:rsid w:val="00667303"/>
    <w:rsid w:val="00667A9D"/>
    <w:rsid w:val="00670666"/>
    <w:rsid w:val="0067227E"/>
    <w:rsid w:val="006723EF"/>
    <w:rsid w:val="00672974"/>
    <w:rsid w:val="00680DB9"/>
    <w:rsid w:val="006810FD"/>
    <w:rsid w:val="00681BED"/>
    <w:rsid w:val="00681F86"/>
    <w:rsid w:val="006869DF"/>
    <w:rsid w:val="00686EF5"/>
    <w:rsid w:val="00687ACF"/>
    <w:rsid w:val="00690734"/>
    <w:rsid w:val="00693F5D"/>
    <w:rsid w:val="00694C00"/>
    <w:rsid w:val="00694EA0"/>
    <w:rsid w:val="006965EF"/>
    <w:rsid w:val="0069677A"/>
    <w:rsid w:val="00696E8C"/>
    <w:rsid w:val="006973BD"/>
    <w:rsid w:val="00697482"/>
    <w:rsid w:val="006A0195"/>
    <w:rsid w:val="006A0275"/>
    <w:rsid w:val="006A0427"/>
    <w:rsid w:val="006A0456"/>
    <w:rsid w:val="006A0E87"/>
    <w:rsid w:val="006A1680"/>
    <w:rsid w:val="006A1AF5"/>
    <w:rsid w:val="006A34BF"/>
    <w:rsid w:val="006A4878"/>
    <w:rsid w:val="006A62E1"/>
    <w:rsid w:val="006B2B73"/>
    <w:rsid w:val="006B3C00"/>
    <w:rsid w:val="006B6EEB"/>
    <w:rsid w:val="006B7FFE"/>
    <w:rsid w:val="006C006C"/>
    <w:rsid w:val="006C032D"/>
    <w:rsid w:val="006C0DBF"/>
    <w:rsid w:val="006C2200"/>
    <w:rsid w:val="006C39AC"/>
    <w:rsid w:val="006C58DD"/>
    <w:rsid w:val="006C5FEF"/>
    <w:rsid w:val="006D04B0"/>
    <w:rsid w:val="006D1620"/>
    <w:rsid w:val="006D65F5"/>
    <w:rsid w:val="006E0A3F"/>
    <w:rsid w:val="006E0C83"/>
    <w:rsid w:val="006E115E"/>
    <w:rsid w:val="006E3248"/>
    <w:rsid w:val="006E48C4"/>
    <w:rsid w:val="006E7584"/>
    <w:rsid w:val="006F0721"/>
    <w:rsid w:val="006F0F28"/>
    <w:rsid w:val="006F1B50"/>
    <w:rsid w:val="006F1CDA"/>
    <w:rsid w:val="006F24CD"/>
    <w:rsid w:val="006F29BE"/>
    <w:rsid w:val="006F33B5"/>
    <w:rsid w:val="006F4ED5"/>
    <w:rsid w:val="006F6D21"/>
    <w:rsid w:val="006F6F24"/>
    <w:rsid w:val="006F73AD"/>
    <w:rsid w:val="006F7B0E"/>
    <w:rsid w:val="00700F2F"/>
    <w:rsid w:val="00702063"/>
    <w:rsid w:val="00702A2D"/>
    <w:rsid w:val="00702D87"/>
    <w:rsid w:val="00702E5E"/>
    <w:rsid w:val="00703911"/>
    <w:rsid w:val="00703F39"/>
    <w:rsid w:val="0070504F"/>
    <w:rsid w:val="0070616B"/>
    <w:rsid w:val="007141A0"/>
    <w:rsid w:val="00714BBA"/>
    <w:rsid w:val="00714C50"/>
    <w:rsid w:val="007167D6"/>
    <w:rsid w:val="00716E57"/>
    <w:rsid w:val="00717201"/>
    <w:rsid w:val="007224CA"/>
    <w:rsid w:val="00723809"/>
    <w:rsid w:val="00724ABD"/>
    <w:rsid w:val="007252C3"/>
    <w:rsid w:val="007263D1"/>
    <w:rsid w:val="00727D27"/>
    <w:rsid w:val="00730F5C"/>
    <w:rsid w:val="00731B71"/>
    <w:rsid w:val="0073256A"/>
    <w:rsid w:val="007329E8"/>
    <w:rsid w:val="00734C13"/>
    <w:rsid w:val="007352DB"/>
    <w:rsid w:val="00735CA4"/>
    <w:rsid w:val="00735DC6"/>
    <w:rsid w:val="00736970"/>
    <w:rsid w:val="00737A56"/>
    <w:rsid w:val="00740772"/>
    <w:rsid w:val="00741AB0"/>
    <w:rsid w:val="00742BDB"/>
    <w:rsid w:val="00742E23"/>
    <w:rsid w:val="00745152"/>
    <w:rsid w:val="0074653D"/>
    <w:rsid w:val="0074663E"/>
    <w:rsid w:val="007546D4"/>
    <w:rsid w:val="007549CF"/>
    <w:rsid w:val="007568ED"/>
    <w:rsid w:val="00756ECA"/>
    <w:rsid w:val="00760567"/>
    <w:rsid w:val="007617B5"/>
    <w:rsid w:val="007619D7"/>
    <w:rsid w:val="00763608"/>
    <w:rsid w:val="00764FDC"/>
    <w:rsid w:val="0076589D"/>
    <w:rsid w:val="00766E6F"/>
    <w:rsid w:val="007676C0"/>
    <w:rsid w:val="00767D31"/>
    <w:rsid w:val="007709E8"/>
    <w:rsid w:val="00774B62"/>
    <w:rsid w:val="0077570D"/>
    <w:rsid w:val="007759BB"/>
    <w:rsid w:val="00776C3C"/>
    <w:rsid w:val="00776E1E"/>
    <w:rsid w:val="00777115"/>
    <w:rsid w:val="00780087"/>
    <w:rsid w:val="00781FEE"/>
    <w:rsid w:val="00782332"/>
    <w:rsid w:val="00782515"/>
    <w:rsid w:val="00782B44"/>
    <w:rsid w:val="007846DF"/>
    <w:rsid w:val="00787CD3"/>
    <w:rsid w:val="00790BD0"/>
    <w:rsid w:val="00791D95"/>
    <w:rsid w:val="00792DD8"/>
    <w:rsid w:val="00792FDF"/>
    <w:rsid w:val="007945A2"/>
    <w:rsid w:val="007970DF"/>
    <w:rsid w:val="007A0089"/>
    <w:rsid w:val="007A48E3"/>
    <w:rsid w:val="007A56A3"/>
    <w:rsid w:val="007A600E"/>
    <w:rsid w:val="007A656A"/>
    <w:rsid w:val="007A674F"/>
    <w:rsid w:val="007B0C01"/>
    <w:rsid w:val="007B1082"/>
    <w:rsid w:val="007B5071"/>
    <w:rsid w:val="007B516F"/>
    <w:rsid w:val="007B56A7"/>
    <w:rsid w:val="007C1FE9"/>
    <w:rsid w:val="007C26BD"/>
    <w:rsid w:val="007C339B"/>
    <w:rsid w:val="007C48E2"/>
    <w:rsid w:val="007C5CC0"/>
    <w:rsid w:val="007C62E8"/>
    <w:rsid w:val="007C64B1"/>
    <w:rsid w:val="007C761D"/>
    <w:rsid w:val="007D0974"/>
    <w:rsid w:val="007D18F3"/>
    <w:rsid w:val="007D3832"/>
    <w:rsid w:val="007D43D9"/>
    <w:rsid w:val="007D48D5"/>
    <w:rsid w:val="007D4947"/>
    <w:rsid w:val="007D5D22"/>
    <w:rsid w:val="007D6488"/>
    <w:rsid w:val="007D750D"/>
    <w:rsid w:val="007D7CA5"/>
    <w:rsid w:val="007E22E6"/>
    <w:rsid w:val="007E31AC"/>
    <w:rsid w:val="007E7825"/>
    <w:rsid w:val="007F19F2"/>
    <w:rsid w:val="007F4AF9"/>
    <w:rsid w:val="007F547E"/>
    <w:rsid w:val="007F7D6C"/>
    <w:rsid w:val="00800C32"/>
    <w:rsid w:val="00801301"/>
    <w:rsid w:val="00804702"/>
    <w:rsid w:val="00806020"/>
    <w:rsid w:val="00811749"/>
    <w:rsid w:val="0081631E"/>
    <w:rsid w:val="00820587"/>
    <w:rsid w:val="00820A23"/>
    <w:rsid w:val="00820E39"/>
    <w:rsid w:val="00821718"/>
    <w:rsid w:val="008226F1"/>
    <w:rsid w:val="00824C6E"/>
    <w:rsid w:val="0082507F"/>
    <w:rsid w:val="00826681"/>
    <w:rsid w:val="00834EAF"/>
    <w:rsid w:val="0083555C"/>
    <w:rsid w:val="00835A10"/>
    <w:rsid w:val="0083615E"/>
    <w:rsid w:val="00841606"/>
    <w:rsid w:val="00845370"/>
    <w:rsid w:val="00851FA1"/>
    <w:rsid w:val="00854C6B"/>
    <w:rsid w:val="008555FA"/>
    <w:rsid w:val="0085587E"/>
    <w:rsid w:val="00861A48"/>
    <w:rsid w:val="0086208B"/>
    <w:rsid w:val="00862F7E"/>
    <w:rsid w:val="0086362F"/>
    <w:rsid w:val="00864694"/>
    <w:rsid w:val="00865391"/>
    <w:rsid w:val="0086694D"/>
    <w:rsid w:val="0087002F"/>
    <w:rsid w:val="00871A8A"/>
    <w:rsid w:val="00872746"/>
    <w:rsid w:val="008754F6"/>
    <w:rsid w:val="00880678"/>
    <w:rsid w:val="00882477"/>
    <w:rsid w:val="00882CF0"/>
    <w:rsid w:val="00886324"/>
    <w:rsid w:val="00886618"/>
    <w:rsid w:val="0088740F"/>
    <w:rsid w:val="008876BB"/>
    <w:rsid w:val="008907C4"/>
    <w:rsid w:val="008912C8"/>
    <w:rsid w:val="00891D18"/>
    <w:rsid w:val="008947F5"/>
    <w:rsid w:val="00894856"/>
    <w:rsid w:val="00894961"/>
    <w:rsid w:val="00896EBA"/>
    <w:rsid w:val="008A0657"/>
    <w:rsid w:val="008A1B26"/>
    <w:rsid w:val="008A2484"/>
    <w:rsid w:val="008A3112"/>
    <w:rsid w:val="008A3A97"/>
    <w:rsid w:val="008A3C42"/>
    <w:rsid w:val="008A4B56"/>
    <w:rsid w:val="008A6F98"/>
    <w:rsid w:val="008A7080"/>
    <w:rsid w:val="008A7AA5"/>
    <w:rsid w:val="008A7CA9"/>
    <w:rsid w:val="008B2003"/>
    <w:rsid w:val="008B32A1"/>
    <w:rsid w:val="008B4289"/>
    <w:rsid w:val="008B4839"/>
    <w:rsid w:val="008B5790"/>
    <w:rsid w:val="008B6732"/>
    <w:rsid w:val="008B75FE"/>
    <w:rsid w:val="008C05F4"/>
    <w:rsid w:val="008C305F"/>
    <w:rsid w:val="008C3D4E"/>
    <w:rsid w:val="008C586F"/>
    <w:rsid w:val="008D0138"/>
    <w:rsid w:val="008D1676"/>
    <w:rsid w:val="008D2E0D"/>
    <w:rsid w:val="008D3573"/>
    <w:rsid w:val="008D3E6C"/>
    <w:rsid w:val="008D48F6"/>
    <w:rsid w:val="008D4978"/>
    <w:rsid w:val="008D4C73"/>
    <w:rsid w:val="008D5040"/>
    <w:rsid w:val="008D7320"/>
    <w:rsid w:val="008D7875"/>
    <w:rsid w:val="008E08C2"/>
    <w:rsid w:val="008E0F66"/>
    <w:rsid w:val="008E2650"/>
    <w:rsid w:val="008E3450"/>
    <w:rsid w:val="008E45CC"/>
    <w:rsid w:val="008E55D6"/>
    <w:rsid w:val="008F0571"/>
    <w:rsid w:val="008F0723"/>
    <w:rsid w:val="008F22E7"/>
    <w:rsid w:val="008F246B"/>
    <w:rsid w:val="008F254F"/>
    <w:rsid w:val="008F73F3"/>
    <w:rsid w:val="008F7D04"/>
    <w:rsid w:val="008F7E09"/>
    <w:rsid w:val="008F7E85"/>
    <w:rsid w:val="0090289F"/>
    <w:rsid w:val="00903245"/>
    <w:rsid w:val="00903419"/>
    <w:rsid w:val="00903FBD"/>
    <w:rsid w:val="009054FF"/>
    <w:rsid w:val="00905857"/>
    <w:rsid w:val="009065F9"/>
    <w:rsid w:val="00906CA6"/>
    <w:rsid w:val="00906CC0"/>
    <w:rsid w:val="00910DDD"/>
    <w:rsid w:val="00911B6F"/>
    <w:rsid w:val="00911D15"/>
    <w:rsid w:val="00914370"/>
    <w:rsid w:val="00915635"/>
    <w:rsid w:val="00916222"/>
    <w:rsid w:val="0091674F"/>
    <w:rsid w:val="00916F9A"/>
    <w:rsid w:val="00921FDD"/>
    <w:rsid w:val="0092235E"/>
    <w:rsid w:val="00922F63"/>
    <w:rsid w:val="00925FAA"/>
    <w:rsid w:val="00925FD6"/>
    <w:rsid w:val="00926CFD"/>
    <w:rsid w:val="00927BA7"/>
    <w:rsid w:val="00927FCB"/>
    <w:rsid w:val="00936A35"/>
    <w:rsid w:val="00936E87"/>
    <w:rsid w:val="0094153C"/>
    <w:rsid w:val="00946598"/>
    <w:rsid w:val="00946F10"/>
    <w:rsid w:val="0094728C"/>
    <w:rsid w:val="00947C57"/>
    <w:rsid w:val="00947FE9"/>
    <w:rsid w:val="009501BB"/>
    <w:rsid w:val="00951871"/>
    <w:rsid w:val="00952700"/>
    <w:rsid w:val="009531B3"/>
    <w:rsid w:val="00954A76"/>
    <w:rsid w:val="00955285"/>
    <w:rsid w:val="009579E7"/>
    <w:rsid w:val="00957DE7"/>
    <w:rsid w:val="00962DB0"/>
    <w:rsid w:val="009639ED"/>
    <w:rsid w:val="00965FE1"/>
    <w:rsid w:val="009660CE"/>
    <w:rsid w:val="00966289"/>
    <w:rsid w:val="0096665B"/>
    <w:rsid w:val="00973DC6"/>
    <w:rsid w:val="00974BD5"/>
    <w:rsid w:val="00976460"/>
    <w:rsid w:val="009774A6"/>
    <w:rsid w:val="00977B07"/>
    <w:rsid w:val="009807F9"/>
    <w:rsid w:val="009811B1"/>
    <w:rsid w:val="00981AEE"/>
    <w:rsid w:val="00982248"/>
    <w:rsid w:val="009836D4"/>
    <w:rsid w:val="00985992"/>
    <w:rsid w:val="00987562"/>
    <w:rsid w:val="009949E1"/>
    <w:rsid w:val="00995164"/>
    <w:rsid w:val="009958FD"/>
    <w:rsid w:val="009965EA"/>
    <w:rsid w:val="00996B40"/>
    <w:rsid w:val="009A0472"/>
    <w:rsid w:val="009A0BA3"/>
    <w:rsid w:val="009A3043"/>
    <w:rsid w:val="009A7239"/>
    <w:rsid w:val="009A7CD2"/>
    <w:rsid w:val="009B0E24"/>
    <w:rsid w:val="009B0F68"/>
    <w:rsid w:val="009B22F0"/>
    <w:rsid w:val="009B2AB5"/>
    <w:rsid w:val="009B42C2"/>
    <w:rsid w:val="009B562D"/>
    <w:rsid w:val="009B61D5"/>
    <w:rsid w:val="009B62BA"/>
    <w:rsid w:val="009B6925"/>
    <w:rsid w:val="009C0014"/>
    <w:rsid w:val="009C314B"/>
    <w:rsid w:val="009C47E1"/>
    <w:rsid w:val="009C6B7D"/>
    <w:rsid w:val="009C7969"/>
    <w:rsid w:val="009C7AF7"/>
    <w:rsid w:val="009D1628"/>
    <w:rsid w:val="009D331C"/>
    <w:rsid w:val="009D3943"/>
    <w:rsid w:val="009D47F1"/>
    <w:rsid w:val="009D4D43"/>
    <w:rsid w:val="009D5A4E"/>
    <w:rsid w:val="009D5E4C"/>
    <w:rsid w:val="009E1BB2"/>
    <w:rsid w:val="009E35E0"/>
    <w:rsid w:val="009E3BD1"/>
    <w:rsid w:val="009E4C58"/>
    <w:rsid w:val="009E53AF"/>
    <w:rsid w:val="009E5B18"/>
    <w:rsid w:val="009E7F8C"/>
    <w:rsid w:val="009F176F"/>
    <w:rsid w:val="009F3D6E"/>
    <w:rsid w:val="009F54C7"/>
    <w:rsid w:val="009F5CB0"/>
    <w:rsid w:val="009F62C2"/>
    <w:rsid w:val="009F7544"/>
    <w:rsid w:val="009F7F46"/>
    <w:rsid w:val="00A01647"/>
    <w:rsid w:val="00A0272B"/>
    <w:rsid w:val="00A02747"/>
    <w:rsid w:val="00A027D8"/>
    <w:rsid w:val="00A04882"/>
    <w:rsid w:val="00A06466"/>
    <w:rsid w:val="00A07357"/>
    <w:rsid w:val="00A15FA3"/>
    <w:rsid w:val="00A1728E"/>
    <w:rsid w:val="00A17CFB"/>
    <w:rsid w:val="00A2190B"/>
    <w:rsid w:val="00A22C63"/>
    <w:rsid w:val="00A23AFF"/>
    <w:rsid w:val="00A25007"/>
    <w:rsid w:val="00A27E47"/>
    <w:rsid w:val="00A32358"/>
    <w:rsid w:val="00A3318B"/>
    <w:rsid w:val="00A339F0"/>
    <w:rsid w:val="00A33C9D"/>
    <w:rsid w:val="00A34AD1"/>
    <w:rsid w:val="00A41D95"/>
    <w:rsid w:val="00A42C03"/>
    <w:rsid w:val="00A45979"/>
    <w:rsid w:val="00A50765"/>
    <w:rsid w:val="00A53E2F"/>
    <w:rsid w:val="00A5407B"/>
    <w:rsid w:val="00A562D9"/>
    <w:rsid w:val="00A56704"/>
    <w:rsid w:val="00A57E58"/>
    <w:rsid w:val="00A600E4"/>
    <w:rsid w:val="00A6276D"/>
    <w:rsid w:val="00A62CEC"/>
    <w:rsid w:val="00A64B35"/>
    <w:rsid w:val="00A64C2E"/>
    <w:rsid w:val="00A650DD"/>
    <w:rsid w:val="00A66A44"/>
    <w:rsid w:val="00A7163D"/>
    <w:rsid w:val="00A728A3"/>
    <w:rsid w:val="00A7340E"/>
    <w:rsid w:val="00A7392F"/>
    <w:rsid w:val="00A74718"/>
    <w:rsid w:val="00A74D80"/>
    <w:rsid w:val="00A76F49"/>
    <w:rsid w:val="00A777B4"/>
    <w:rsid w:val="00A8062D"/>
    <w:rsid w:val="00A81529"/>
    <w:rsid w:val="00A8285B"/>
    <w:rsid w:val="00A82A82"/>
    <w:rsid w:val="00A84548"/>
    <w:rsid w:val="00A84E78"/>
    <w:rsid w:val="00A85351"/>
    <w:rsid w:val="00A85391"/>
    <w:rsid w:val="00A860CA"/>
    <w:rsid w:val="00A8646A"/>
    <w:rsid w:val="00A91D55"/>
    <w:rsid w:val="00A92CEB"/>
    <w:rsid w:val="00A9388E"/>
    <w:rsid w:val="00A93D95"/>
    <w:rsid w:val="00A93FFF"/>
    <w:rsid w:val="00A96529"/>
    <w:rsid w:val="00A976C2"/>
    <w:rsid w:val="00AA1C75"/>
    <w:rsid w:val="00AA5C97"/>
    <w:rsid w:val="00AB0A60"/>
    <w:rsid w:val="00AB13D9"/>
    <w:rsid w:val="00AB210B"/>
    <w:rsid w:val="00AB30A2"/>
    <w:rsid w:val="00AB4A4F"/>
    <w:rsid w:val="00AB5C40"/>
    <w:rsid w:val="00AB5CCF"/>
    <w:rsid w:val="00AB674B"/>
    <w:rsid w:val="00AB69F8"/>
    <w:rsid w:val="00AC033E"/>
    <w:rsid w:val="00AC0675"/>
    <w:rsid w:val="00AC26D8"/>
    <w:rsid w:val="00AC33FF"/>
    <w:rsid w:val="00AC371A"/>
    <w:rsid w:val="00AD2539"/>
    <w:rsid w:val="00AD3B98"/>
    <w:rsid w:val="00AD3FC0"/>
    <w:rsid w:val="00AD52B3"/>
    <w:rsid w:val="00AD5956"/>
    <w:rsid w:val="00AD5E42"/>
    <w:rsid w:val="00AD79FD"/>
    <w:rsid w:val="00AE2710"/>
    <w:rsid w:val="00AE2A38"/>
    <w:rsid w:val="00AE7237"/>
    <w:rsid w:val="00AF16BA"/>
    <w:rsid w:val="00AF18FF"/>
    <w:rsid w:val="00AF1AA2"/>
    <w:rsid w:val="00AF63FD"/>
    <w:rsid w:val="00B00C78"/>
    <w:rsid w:val="00B015E5"/>
    <w:rsid w:val="00B01675"/>
    <w:rsid w:val="00B02243"/>
    <w:rsid w:val="00B0279B"/>
    <w:rsid w:val="00B0365F"/>
    <w:rsid w:val="00B043BA"/>
    <w:rsid w:val="00B043DE"/>
    <w:rsid w:val="00B04C3D"/>
    <w:rsid w:val="00B05FC9"/>
    <w:rsid w:val="00B0699E"/>
    <w:rsid w:val="00B07B36"/>
    <w:rsid w:val="00B179FF"/>
    <w:rsid w:val="00B21167"/>
    <w:rsid w:val="00B21B2A"/>
    <w:rsid w:val="00B21D6F"/>
    <w:rsid w:val="00B25764"/>
    <w:rsid w:val="00B264BB"/>
    <w:rsid w:val="00B27FE0"/>
    <w:rsid w:val="00B32AC7"/>
    <w:rsid w:val="00B33ECD"/>
    <w:rsid w:val="00B356A3"/>
    <w:rsid w:val="00B361DA"/>
    <w:rsid w:val="00B365BE"/>
    <w:rsid w:val="00B42589"/>
    <w:rsid w:val="00B429FA"/>
    <w:rsid w:val="00B43063"/>
    <w:rsid w:val="00B43F30"/>
    <w:rsid w:val="00B51573"/>
    <w:rsid w:val="00B52749"/>
    <w:rsid w:val="00B5295F"/>
    <w:rsid w:val="00B52A21"/>
    <w:rsid w:val="00B53470"/>
    <w:rsid w:val="00B541CF"/>
    <w:rsid w:val="00B55E26"/>
    <w:rsid w:val="00B57754"/>
    <w:rsid w:val="00B6116B"/>
    <w:rsid w:val="00B613F6"/>
    <w:rsid w:val="00B668E3"/>
    <w:rsid w:val="00B669BD"/>
    <w:rsid w:val="00B67033"/>
    <w:rsid w:val="00B71072"/>
    <w:rsid w:val="00B71D74"/>
    <w:rsid w:val="00B73F5F"/>
    <w:rsid w:val="00B819B2"/>
    <w:rsid w:val="00B82E3D"/>
    <w:rsid w:val="00B83544"/>
    <w:rsid w:val="00B90353"/>
    <w:rsid w:val="00B91828"/>
    <w:rsid w:val="00B9351A"/>
    <w:rsid w:val="00B95416"/>
    <w:rsid w:val="00B95B62"/>
    <w:rsid w:val="00B96766"/>
    <w:rsid w:val="00B96FD1"/>
    <w:rsid w:val="00B97852"/>
    <w:rsid w:val="00BA195E"/>
    <w:rsid w:val="00BA2484"/>
    <w:rsid w:val="00BA50C1"/>
    <w:rsid w:val="00BA67E6"/>
    <w:rsid w:val="00BB162D"/>
    <w:rsid w:val="00BB1FE8"/>
    <w:rsid w:val="00BB2FB7"/>
    <w:rsid w:val="00BB38E3"/>
    <w:rsid w:val="00BB4BCD"/>
    <w:rsid w:val="00BC150A"/>
    <w:rsid w:val="00BC161A"/>
    <w:rsid w:val="00BC1CF3"/>
    <w:rsid w:val="00BC2767"/>
    <w:rsid w:val="00BC2BE3"/>
    <w:rsid w:val="00BC2FD6"/>
    <w:rsid w:val="00BC4A20"/>
    <w:rsid w:val="00BC54E2"/>
    <w:rsid w:val="00BC7FE4"/>
    <w:rsid w:val="00BD033D"/>
    <w:rsid w:val="00BD1A6F"/>
    <w:rsid w:val="00BD1AAA"/>
    <w:rsid w:val="00BD362E"/>
    <w:rsid w:val="00BD3819"/>
    <w:rsid w:val="00BD3BFC"/>
    <w:rsid w:val="00BD4F4A"/>
    <w:rsid w:val="00BE15AA"/>
    <w:rsid w:val="00BE1F58"/>
    <w:rsid w:val="00BE32B2"/>
    <w:rsid w:val="00BE54A6"/>
    <w:rsid w:val="00BE604B"/>
    <w:rsid w:val="00BE6765"/>
    <w:rsid w:val="00BF04AC"/>
    <w:rsid w:val="00BF0815"/>
    <w:rsid w:val="00BF0FBE"/>
    <w:rsid w:val="00BF2BB7"/>
    <w:rsid w:val="00BF3E59"/>
    <w:rsid w:val="00BF413F"/>
    <w:rsid w:val="00BF5238"/>
    <w:rsid w:val="00BF7B5D"/>
    <w:rsid w:val="00C001A4"/>
    <w:rsid w:val="00C00A9F"/>
    <w:rsid w:val="00C014D6"/>
    <w:rsid w:val="00C0154C"/>
    <w:rsid w:val="00C01C73"/>
    <w:rsid w:val="00C021DE"/>
    <w:rsid w:val="00C030CF"/>
    <w:rsid w:val="00C03E4F"/>
    <w:rsid w:val="00C10510"/>
    <w:rsid w:val="00C10B26"/>
    <w:rsid w:val="00C10D03"/>
    <w:rsid w:val="00C11F97"/>
    <w:rsid w:val="00C15F24"/>
    <w:rsid w:val="00C15FB9"/>
    <w:rsid w:val="00C17300"/>
    <w:rsid w:val="00C17FBF"/>
    <w:rsid w:val="00C206C3"/>
    <w:rsid w:val="00C22C66"/>
    <w:rsid w:val="00C24460"/>
    <w:rsid w:val="00C24947"/>
    <w:rsid w:val="00C26DB8"/>
    <w:rsid w:val="00C274A3"/>
    <w:rsid w:val="00C300FD"/>
    <w:rsid w:val="00C3118F"/>
    <w:rsid w:val="00C3272C"/>
    <w:rsid w:val="00C3275E"/>
    <w:rsid w:val="00C33091"/>
    <w:rsid w:val="00C3495A"/>
    <w:rsid w:val="00C35ABA"/>
    <w:rsid w:val="00C41E01"/>
    <w:rsid w:val="00C41F57"/>
    <w:rsid w:val="00C425EC"/>
    <w:rsid w:val="00C455DC"/>
    <w:rsid w:val="00C46A54"/>
    <w:rsid w:val="00C50E45"/>
    <w:rsid w:val="00C53827"/>
    <w:rsid w:val="00C54384"/>
    <w:rsid w:val="00C545AD"/>
    <w:rsid w:val="00C54EB9"/>
    <w:rsid w:val="00C559F4"/>
    <w:rsid w:val="00C55D30"/>
    <w:rsid w:val="00C60A63"/>
    <w:rsid w:val="00C61FBB"/>
    <w:rsid w:val="00C62051"/>
    <w:rsid w:val="00C62300"/>
    <w:rsid w:val="00C64801"/>
    <w:rsid w:val="00C65786"/>
    <w:rsid w:val="00C66DAA"/>
    <w:rsid w:val="00C67DCD"/>
    <w:rsid w:val="00C7035C"/>
    <w:rsid w:val="00C71266"/>
    <w:rsid w:val="00C72142"/>
    <w:rsid w:val="00C72984"/>
    <w:rsid w:val="00C73123"/>
    <w:rsid w:val="00C7326A"/>
    <w:rsid w:val="00C73FC9"/>
    <w:rsid w:val="00C74B44"/>
    <w:rsid w:val="00C75052"/>
    <w:rsid w:val="00C761FA"/>
    <w:rsid w:val="00C7682B"/>
    <w:rsid w:val="00C76FE4"/>
    <w:rsid w:val="00C76FF1"/>
    <w:rsid w:val="00C8095A"/>
    <w:rsid w:val="00C81D55"/>
    <w:rsid w:val="00C81F26"/>
    <w:rsid w:val="00C81FA8"/>
    <w:rsid w:val="00C8208E"/>
    <w:rsid w:val="00C829F2"/>
    <w:rsid w:val="00C82B0E"/>
    <w:rsid w:val="00C84539"/>
    <w:rsid w:val="00C849BA"/>
    <w:rsid w:val="00C8504C"/>
    <w:rsid w:val="00C86F21"/>
    <w:rsid w:val="00C872AC"/>
    <w:rsid w:val="00C8750D"/>
    <w:rsid w:val="00C8776C"/>
    <w:rsid w:val="00C90C4F"/>
    <w:rsid w:val="00C924B5"/>
    <w:rsid w:val="00C94E83"/>
    <w:rsid w:val="00C95F19"/>
    <w:rsid w:val="00C976ED"/>
    <w:rsid w:val="00CA13FE"/>
    <w:rsid w:val="00CA41F8"/>
    <w:rsid w:val="00CA425F"/>
    <w:rsid w:val="00CA587F"/>
    <w:rsid w:val="00CB414B"/>
    <w:rsid w:val="00CB43AF"/>
    <w:rsid w:val="00CB4B70"/>
    <w:rsid w:val="00CB6890"/>
    <w:rsid w:val="00CB6CBC"/>
    <w:rsid w:val="00CB7E4D"/>
    <w:rsid w:val="00CC05D0"/>
    <w:rsid w:val="00CC1D67"/>
    <w:rsid w:val="00CC28E3"/>
    <w:rsid w:val="00CC3BD5"/>
    <w:rsid w:val="00CC3EC3"/>
    <w:rsid w:val="00CC4443"/>
    <w:rsid w:val="00CC457D"/>
    <w:rsid w:val="00CC4B7A"/>
    <w:rsid w:val="00CC5B62"/>
    <w:rsid w:val="00CC7D22"/>
    <w:rsid w:val="00CD1048"/>
    <w:rsid w:val="00CD34AA"/>
    <w:rsid w:val="00CD3969"/>
    <w:rsid w:val="00CD77C0"/>
    <w:rsid w:val="00CD79EC"/>
    <w:rsid w:val="00CE2141"/>
    <w:rsid w:val="00CE3732"/>
    <w:rsid w:val="00CF1641"/>
    <w:rsid w:val="00CF1C04"/>
    <w:rsid w:val="00CF1FAB"/>
    <w:rsid w:val="00CF3593"/>
    <w:rsid w:val="00CF3D23"/>
    <w:rsid w:val="00CF46CF"/>
    <w:rsid w:val="00CF5858"/>
    <w:rsid w:val="00CF6297"/>
    <w:rsid w:val="00D006E2"/>
    <w:rsid w:val="00D00AC8"/>
    <w:rsid w:val="00D03280"/>
    <w:rsid w:val="00D03DAD"/>
    <w:rsid w:val="00D06884"/>
    <w:rsid w:val="00D10D8F"/>
    <w:rsid w:val="00D11570"/>
    <w:rsid w:val="00D11D87"/>
    <w:rsid w:val="00D13193"/>
    <w:rsid w:val="00D1583A"/>
    <w:rsid w:val="00D17D79"/>
    <w:rsid w:val="00D21905"/>
    <w:rsid w:val="00D21E2C"/>
    <w:rsid w:val="00D22AF2"/>
    <w:rsid w:val="00D258AB"/>
    <w:rsid w:val="00D302E5"/>
    <w:rsid w:val="00D31481"/>
    <w:rsid w:val="00D31B87"/>
    <w:rsid w:val="00D31E47"/>
    <w:rsid w:val="00D31E52"/>
    <w:rsid w:val="00D34E1F"/>
    <w:rsid w:val="00D41132"/>
    <w:rsid w:val="00D4165F"/>
    <w:rsid w:val="00D4204A"/>
    <w:rsid w:val="00D42B68"/>
    <w:rsid w:val="00D437CE"/>
    <w:rsid w:val="00D439A9"/>
    <w:rsid w:val="00D451FD"/>
    <w:rsid w:val="00D45D41"/>
    <w:rsid w:val="00D5016F"/>
    <w:rsid w:val="00D50E03"/>
    <w:rsid w:val="00D51FAE"/>
    <w:rsid w:val="00D523EF"/>
    <w:rsid w:val="00D53319"/>
    <w:rsid w:val="00D53602"/>
    <w:rsid w:val="00D53A7E"/>
    <w:rsid w:val="00D56423"/>
    <w:rsid w:val="00D575F5"/>
    <w:rsid w:val="00D6049F"/>
    <w:rsid w:val="00D62247"/>
    <w:rsid w:val="00D626D9"/>
    <w:rsid w:val="00D62B96"/>
    <w:rsid w:val="00D639F5"/>
    <w:rsid w:val="00D64847"/>
    <w:rsid w:val="00D662BB"/>
    <w:rsid w:val="00D66684"/>
    <w:rsid w:val="00D7002F"/>
    <w:rsid w:val="00D70574"/>
    <w:rsid w:val="00D70D90"/>
    <w:rsid w:val="00D7196E"/>
    <w:rsid w:val="00D74D24"/>
    <w:rsid w:val="00D74FBE"/>
    <w:rsid w:val="00D75E9E"/>
    <w:rsid w:val="00D77303"/>
    <w:rsid w:val="00D820EE"/>
    <w:rsid w:val="00D822C4"/>
    <w:rsid w:val="00D82450"/>
    <w:rsid w:val="00D82A5C"/>
    <w:rsid w:val="00D83001"/>
    <w:rsid w:val="00D84B66"/>
    <w:rsid w:val="00D85981"/>
    <w:rsid w:val="00D866BC"/>
    <w:rsid w:val="00D8773B"/>
    <w:rsid w:val="00D879F1"/>
    <w:rsid w:val="00D87CE5"/>
    <w:rsid w:val="00D90D79"/>
    <w:rsid w:val="00D91AA8"/>
    <w:rsid w:val="00D92EA9"/>
    <w:rsid w:val="00D94174"/>
    <w:rsid w:val="00D94FC8"/>
    <w:rsid w:val="00D963D4"/>
    <w:rsid w:val="00DA0DD2"/>
    <w:rsid w:val="00DA0EEA"/>
    <w:rsid w:val="00DA1A86"/>
    <w:rsid w:val="00DA440A"/>
    <w:rsid w:val="00DA47D2"/>
    <w:rsid w:val="00DA69DA"/>
    <w:rsid w:val="00DB4A7E"/>
    <w:rsid w:val="00DB5B64"/>
    <w:rsid w:val="00DB5C8B"/>
    <w:rsid w:val="00DB5EF0"/>
    <w:rsid w:val="00DB65D4"/>
    <w:rsid w:val="00DB7C16"/>
    <w:rsid w:val="00DC31E2"/>
    <w:rsid w:val="00DC47F6"/>
    <w:rsid w:val="00DC4DD9"/>
    <w:rsid w:val="00DC6EE3"/>
    <w:rsid w:val="00DD3634"/>
    <w:rsid w:val="00DD3EED"/>
    <w:rsid w:val="00DD4C87"/>
    <w:rsid w:val="00DD4E82"/>
    <w:rsid w:val="00DD5811"/>
    <w:rsid w:val="00DD6267"/>
    <w:rsid w:val="00DE0C90"/>
    <w:rsid w:val="00DE26F6"/>
    <w:rsid w:val="00DE5F9D"/>
    <w:rsid w:val="00DE6386"/>
    <w:rsid w:val="00DE750E"/>
    <w:rsid w:val="00DE785F"/>
    <w:rsid w:val="00DE7D34"/>
    <w:rsid w:val="00DF0B7B"/>
    <w:rsid w:val="00DF0E04"/>
    <w:rsid w:val="00DF121B"/>
    <w:rsid w:val="00DF1D79"/>
    <w:rsid w:val="00DF3ABE"/>
    <w:rsid w:val="00DF5142"/>
    <w:rsid w:val="00DF53B2"/>
    <w:rsid w:val="00DF7A78"/>
    <w:rsid w:val="00DF7A81"/>
    <w:rsid w:val="00DF7EBD"/>
    <w:rsid w:val="00E0119A"/>
    <w:rsid w:val="00E0179D"/>
    <w:rsid w:val="00E01FEF"/>
    <w:rsid w:val="00E03EED"/>
    <w:rsid w:val="00E047E4"/>
    <w:rsid w:val="00E04889"/>
    <w:rsid w:val="00E0727F"/>
    <w:rsid w:val="00E07EC4"/>
    <w:rsid w:val="00E1046A"/>
    <w:rsid w:val="00E10EAD"/>
    <w:rsid w:val="00E11356"/>
    <w:rsid w:val="00E136F2"/>
    <w:rsid w:val="00E14E46"/>
    <w:rsid w:val="00E14F2A"/>
    <w:rsid w:val="00E15FDB"/>
    <w:rsid w:val="00E171CC"/>
    <w:rsid w:val="00E17620"/>
    <w:rsid w:val="00E17C1C"/>
    <w:rsid w:val="00E20C7A"/>
    <w:rsid w:val="00E21530"/>
    <w:rsid w:val="00E217C4"/>
    <w:rsid w:val="00E21A34"/>
    <w:rsid w:val="00E222F3"/>
    <w:rsid w:val="00E23577"/>
    <w:rsid w:val="00E24444"/>
    <w:rsid w:val="00E24AC9"/>
    <w:rsid w:val="00E252BF"/>
    <w:rsid w:val="00E276F7"/>
    <w:rsid w:val="00E2778D"/>
    <w:rsid w:val="00E30F0C"/>
    <w:rsid w:val="00E3250D"/>
    <w:rsid w:val="00E32BBB"/>
    <w:rsid w:val="00E3416F"/>
    <w:rsid w:val="00E341F3"/>
    <w:rsid w:val="00E35D50"/>
    <w:rsid w:val="00E3795E"/>
    <w:rsid w:val="00E41283"/>
    <w:rsid w:val="00E4195F"/>
    <w:rsid w:val="00E43686"/>
    <w:rsid w:val="00E43CDC"/>
    <w:rsid w:val="00E46863"/>
    <w:rsid w:val="00E4705F"/>
    <w:rsid w:val="00E472C5"/>
    <w:rsid w:val="00E50269"/>
    <w:rsid w:val="00E5107D"/>
    <w:rsid w:val="00E51D07"/>
    <w:rsid w:val="00E52E3A"/>
    <w:rsid w:val="00E538C9"/>
    <w:rsid w:val="00E55E98"/>
    <w:rsid w:val="00E56153"/>
    <w:rsid w:val="00E6131B"/>
    <w:rsid w:val="00E6137D"/>
    <w:rsid w:val="00E62AC0"/>
    <w:rsid w:val="00E668E1"/>
    <w:rsid w:val="00E73550"/>
    <w:rsid w:val="00E75DE1"/>
    <w:rsid w:val="00E76944"/>
    <w:rsid w:val="00E77D7E"/>
    <w:rsid w:val="00E80C99"/>
    <w:rsid w:val="00E80FD2"/>
    <w:rsid w:val="00E81A96"/>
    <w:rsid w:val="00E8473A"/>
    <w:rsid w:val="00E84AEB"/>
    <w:rsid w:val="00E85867"/>
    <w:rsid w:val="00E85925"/>
    <w:rsid w:val="00E90E44"/>
    <w:rsid w:val="00E915C1"/>
    <w:rsid w:val="00E917D9"/>
    <w:rsid w:val="00E918E0"/>
    <w:rsid w:val="00E930BD"/>
    <w:rsid w:val="00E943CF"/>
    <w:rsid w:val="00E96263"/>
    <w:rsid w:val="00E962FF"/>
    <w:rsid w:val="00EA0067"/>
    <w:rsid w:val="00EA063F"/>
    <w:rsid w:val="00EA196C"/>
    <w:rsid w:val="00EA315D"/>
    <w:rsid w:val="00EA3EFE"/>
    <w:rsid w:val="00EA48B2"/>
    <w:rsid w:val="00EA54A8"/>
    <w:rsid w:val="00EA69B5"/>
    <w:rsid w:val="00EA6CEB"/>
    <w:rsid w:val="00EA7654"/>
    <w:rsid w:val="00EB0025"/>
    <w:rsid w:val="00EB1315"/>
    <w:rsid w:val="00EB1F3A"/>
    <w:rsid w:val="00EB2463"/>
    <w:rsid w:val="00EB2812"/>
    <w:rsid w:val="00EB5325"/>
    <w:rsid w:val="00EB5C05"/>
    <w:rsid w:val="00EC2D7E"/>
    <w:rsid w:val="00EC3980"/>
    <w:rsid w:val="00EC3C22"/>
    <w:rsid w:val="00EC4008"/>
    <w:rsid w:val="00EC442E"/>
    <w:rsid w:val="00EC4C42"/>
    <w:rsid w:val="00EC5917"/>
    <w:rsid w:val="00EC670E"/>
    <w:rsid w:val="00ED0B31"/>
    <w:rsid w:val="00ED4370"/>
    <w:rsid w:val="00ED4A69"/>
    <w:rsid w:val="00ED4DFA"/>
    <w:rsid w:val="00ED57F1"/>
    <w:rsid w:val="00ED5898"/>
    <w:rsid w:val="00EE2AA7"/>
    <w:rsid w:val="00EE3105"/>
    <w:rsid w:val="00EE38EC"/>
    <w:rsid w:val="00EE3BA6"/>
    <w:rsid w:val="00EE5264"/>
    <w:rsid w:val="00EE67F9"/>
    <w:rsid w:val="00EE6B55"/>
    <w:rsid w:val="00EE7D9C"/>
    <w:rsid w:val="00EF5C29"/>
    <w:rsid w:val="00EF6F19"/>
    <w:rsid w:val="00F01B8B"/>
    <w:rsid w:val="00F02723"/>
    <w:rsid w:val="00F06CFF"/>
    <w:rsid w:val="00F07142"/>
    <w:rsid w:val="00F07DD4"/>
    <w:rsid w:val="00F10549"/>
    <w:rsid w:val="00F107FD"/>
    <w:rsid w:val="00F114B5"/>
    <w:rsid w:val="00F11BCD"/>
    <w:rsid w:val="00F12336"/>
    <w:rsid w:val="00F139E7"/>
    <w:rsid w:val="00F1442C"/>
    <w:rsid w:val="00F1510B"/>
    <w:rsid w:val="00F17299"/>
    <w:rsid w:val="00F20C7A"/>
    <w:rsid w:val="00F20F86"/>
    <w:rsid w:val="00F21462"/>
    <w:rsid w:val="00F21D02"/>
    <w:rsid w:val="00F24A6A"/>
    <w:rsid w:val="00F2552A"/>
    <w:rsid w:val="00F25A3A"/>
    <w:rsid w:val="00F273CE"/>
    <w:rsid w:val="00F27D52"/>
    <w:rsid w:val="00F32974"/>
    <w:rsid w:val="00F3329D"/>
    <w:rsid w:val="00F3435F"/>
    <w:rsid w:val="00F35744"/>
    <w:rsid w:val="00F3777E"/>
    <w:rsid w:val="00F37EF1"/>
    <w:rsid w:val="00F426FA"/>
    <w:rsid w:val="00F43C0F"/>
    <w:rsid w:val="00F45552"/>
    <w:rsid w:val="00F46635"/>
    <w:rsid w:val="00F469D0"/>
    <w:rsid w:val="00F50954"/>
    <w:rsid w:val="00F50D4D"/>
    <w:rsid w:val="00F51C5E"/>
    <w:rsid w:val="00F52960"/>
    <w:rsid w:val="00F54343"/>
    <w:rsid w:val="00F5560F"/>
    <w:rsid w:val="00F569FC"/>
    <w:rsid w:val="00F61F2E"/>
    <w:rsid w:val="00F62CB5"/>
    <w:rsid w:val="00F63528"/>
    <w:rsid w:val="00F6439D"/>
    <w:rsid w:val="00F6613D"/>
    <w:rsid w:val="00F666BA"/>
    <w:rsid w:val="00F66714"/>
    <w:rsid w:val="00F728BD"/>
    <w:rsid w:val="00F734E0"/>
    <w:rsid w:val="00F735D1"/>
    <w:rsid w:val="00F75AD1"/>
    <w:rsid w:val="00F772E6"/>
    <w:rsid w:val="00F80890"/>
    <w:rsid w:val="00F8282A"/>
    <w:rsid w:val="00F82975"/>
    <w:rsid w:val="00F829C7"/>
    <w:rsid w:val="00F84A65"/>
    <w:rsid w:val="00F8703E"/>
    <w:rsid w:val="00F872EE"/>
    <w:rsid w:val="00F90D40"/>
    <w:rsid w:val="00F91B60"/>
    <w:rsid w:val="00F92E5A"/>
    <w:rsid w:val="00F939D6"/>
    <w:rsid w:val="00F95934"/>
    <w:rsid w:val="00F95E2D"/>
    <w:rsid w:val="00F9655C"/>
    <w:rsid w:val="00FA0D33"/>
    <w:rsid w:val="00FA14A9"/>
    <w:rsid w:val="00FA1900"/>
    <w:rsid w:val="00FA476D"/>
    <w:rsid w:val="00FA541A"/>
    <w:rsid w:val="00FA5697"/>
    <w:rsid w:val="00FA6667"/>
    <w:rsid w:val="00FB10DA"/>
    <w:rsid w:val="00FB1BEC"/>
    <w:rsid w:val="00FB2278"/>
    <w:rsid w:val="00FB4AE1"/>
    <w:rsid w:val="00FB5008"/>
    <w:rsid w:val="00FB5486"/>
    <w:rsid w:val="00FB6A6A"/>
    <w:rsid w:val="00FC3596"/>
    <w:rsid w:val="00FC4D28"/>
    <w:rsid w:val="00FC4EBF"/>
    <w:rsid w:val="00FC717F"/>
    <w:rsid w:val="00FC7B6A"/>
    <w:rsid w:val="00FD32F5"/>
    <w:rsid w:val="00FD43CB"/>
    <w:rsid w:val="00FD4DF4"/>
    <w:rsid w:val="00FD6F3B"/>
    <w:rsid w:val="00FD7772"/>
    <w:rsid w:val="00FD7DC8"/>
    <w:rsid w:val="00FE1346"/>
    <w:rsid w:val="00FE21EB"/>
    <w:rsid w:val="00FE2239"/>
    <w:rsid w:val="00FE26AD"/>
    <w:rsid w:val="00FE289C"/>
    <w:rsid w:val="00FE2E28"/>
    <w:rsid w:val="00FE452E"/>
    <w:rsid w:val="00FE4E77"/>
    <w:rsid w:val="00FE7ED9"/>
    <w:rsid w:val="00FF444C"/>
    <w:rsid w:val="00FF5853"/>
    <w:rsid w:val="00FF6BBE"/>
    <w:rsid w:val="00FF6BE9"/>
    <w:rsid w:val="00FF6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jc w:val="both"/>
      <w:outlineLvl w:val="0"/>
    </w:pPr>
    <w:rPr>
      <w:rFonts w:ascii="Verdana" w:hAnsi="Verdana"/>
      <w:b/>
      <w:bCs/>
      <w:sz w:val="22"/>
    </w:rPr>
  </w:style>
  <w:style w:type="paragraph" w:styleId="Titolo2">
    <w:name w:val="heading 2"/>
    <w:basedOn w:val="Normale"/>
    <w:qFormat/>
    <w:pPr>
      <w:spacing w:after="120"/>
      <w:outlineLvl w:val="1"/>
    </w:pPr>
    <w:rPr>
      <w:rFonts w:ascii="Verdana" w:hAnsi="Verdana"/>
      <w:bCs/>
      <w:i/>
      <w:sz w:val="21"/>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spacing w:after="120"/>
      <w:ind w:left="1814"/>
      <w:jc w:val="both"/>
      <w:outlineLvl w:val="3"/>
    </w:pPr>
    <w:rPr>
      <w:rFonts w:ascii="Arial" w:hAnsi="Arial" w:cs="Arial"/>
      <w:b/>
      <w:sz w:val="22"/>
      <w:szCs w:val="20"/>
    </w:rPr>
  </w:style>
  <w:style w:type="paragraph" w:styleId="Titolo5">
    <w:name w:val="heading 5"/>
    <w:basedOn w:val="Normale"/>
    <w:next w:val="Normale"/>
    <w:qFormat/>
    <w:pPr>
      <w:keepNext/>
      <w:spacing w:before="40" w:after="20"/>
      <w:jc w:val="center"/>
      <w:outlineLvl w:val="4"/>
    </w:pPr>
    <w:rPr>
      <w:rFonts w:ascii="Arial Narrow" w:hAnsi="Arial Narrow" w:cs="Arial"/>
      <w:b/>
      <w:sz w:val="18"/>
      <w:szCs w:val="1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keepNext/>
      <w:spacing w:before="40" w:after="20"/>
      <w:jc w:val="right"/>
      <w:outlineLvl w:val="6"/>
    </w:pPr>
    <w:rPr>
      <w:rFonts w:ascii="Arial Narrow" w:hAnsi="Arial Narrow" w:cs="Arial"/>
      <w:b/>
      <w:sz w:val="18"/>
      <w:szCs w:val="16"/>
    </w:rPr>
  </w:style>
  <w:style w:type="paragraph" w:styleId="Titolo8">
    <w:name w:val="heading 8"/>
    <w:basedOn w:val="Normale"/>
    <w:next w:val="Normale"/>
    <w:qFormat/>
    <w:pPr>
      <w:keepNext/>
      <w:spacing w:after="120"/>
      <w:ind w:left="1814"/>
      <w:jc w:val="both"/>
      <w:outlineLvl w:val="7"/>
    </w:pPr>
    <w:rPr>
      <w:rFonts w:ascii="Arial" w:hAnsi="Arial" w:cs="Arial"/>
      <w:b/>
      <w:szCs w:val="20"/>
    </w:rPr>
  </w:style>
  <w:style w:type="paragraph" w:styleId="Titolo9">
    <w:name w:val="heading 9"/>
    <w:basedOn w:val="Normale"/>
    <w:next w:val="Normale"/>
    <w:qFormat/>
    <w:pPr>
      <w:keepNext/>
      <w:spacing w:before="40" w:after="20"/>
      <w:ind w:left="-57"/>
      <w:outlineLvl w:val="8"/>
    </w:pPr>
    <w:rPr>
      <w:rFonts w:ascii="Arial Narrow" w:hAnsi="Arial Narrow" w:cs="Arial"/>
      <w:b/>
      <w:sz w:val="1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paragraph" w:styleId="Intestazione">
    <w:name w:val="header"/>
    <w:basedOn w:val="Normale"/>
    <w:pPr>
      <w:tabs>
        <w:tab w:val="center" w:pos="4819"/>
        <w:tab w:val="right" w:pos="9638"/>
      </w:tabs>
      <w:jc w:val="both"/>
    </w:pPr>
    <w:rPr>
      <w:rFonts w:ascii="Garamond" w:hAnsi="Garamond"/>
      <w:sz w:val="28"/>
    </w:rPr>
  </w:style>
  <w:style w:type="paragraph" w:styleId="Pidipagina">
    <w:name w:val="footer"/>
    <w:basedOn w:val="Normale"/>
    <w:pPr>
      <w:tabs>
        <w:tab w:val="center" w:pos="4819"/>
        <w:tab w:val="right" w:pos="9638"/>
      </w:tabs>
      <w:jc w:val="both"/>
    </w:pPr>
    <w:rPr>
      <w:rFonts w:ascii="Garamond" w:hAnsi="Garamond"/>
      <w:sz w:val="28"/>
    </w:rPr>
  </w:style>
  <w:style w:type="character" w:styleId="Numeropagina">
    <w:name w:val="page number"/>
    <w:basedOn w:val="Carpredefinitoparagrafo"/>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customStyle="1" w:styleId="vedianche">
    <w:name w:val="vedianche"/>
    <w:basedOn w:val="Normale"/>
    <w:pPr>
      <w:spacing w:before="100" w:beforeAutospacing="1" w:after="100" w:afterAutospacing="1"/>
    </w:pPr>
  </w:style>
  <w:style w:type="character" w:styleId="Collegamentoipertestuale">
    <w:name w:val="Hyperlink"/>
    <w:rPr>
      <w:color w:val="0000FF"/>
      <w:u w:val="single"/>
    </w:rPr>
  </w:style>
  <w:style w:type="paragraph" w:styleId="Rientrocorpodeltesto">
    <w:name w:val="Body Text Indent"/>
    <w:basedOn w:val="Normale"/>
    <w:pPr>
      <w:spacing w:after="120"/>
      <w:ind w:left="283"/>
      <w:jc w:val="both"/>
    </w:pPr>
    <w:rPr>
      <w:rFonts w:ascii="Verdana" w:hAnsi="Verdana"/>
      <w:sz w:val="22"/>
    </w:rPr>
  </w:style>
  <w:style w:type="paragraph" w:styleId="Testofumetto">
    <w:name w:val="Balloon Text"/>
    <w:basedOn w:val="Normale"/>
    <w:semiHidden/>
    <w:rPr>
      <w:rFonts w:ascii="Tahoma" w:hAnsi="Tahoma" w:cs="Tahoma"/>
      <w:sz w:val="16"/>
      <w:szCs w:val="16"/>
    </w:rPr>
  </w:style>
  <w:style w:type="paragraph" w:styleId="Sommario1">
    <w:name w:val="toc 1"/>
    <w:basedOn w:val="Normale"/>
    <w:next w:val="Normale"/>
    <w:autoRedefine/>
    <w:semiHidden/>
    <w:pPr>
      <w:tabs>
        <w:tab w:val="right" w:leader="dot" w:pos="9060"/>
      </w:tabs>
      <w:spacing w:before="40" w:after="80"/>
    </w:pPr>
    <w:rPr>
      <w:rFonts w:ascii="Verdana" w:hAnsi="Verdana"/>
      <w:i/>
      <w:noProof/>
      <w:color w:val="800000"/>
      <w:sz w:val="18"/>
      <w:szCs w:val="18"/>
    </w:rPr>
  </w:style>
  <w:style w:type="paragraph" w:styleId="Corpotesto">
    <w:name w:val="Body Text"/>
    <w:basedOn w:val="Normale"/>
    <w:pPr>
      <w:spacing w:line="360" w:lineRule="auto"/>
    </w:pPr>
    <w:rPr>
      <w:rFonts w:ascii="Arial" w:hAnsi="Arial" w:cs="Arial"/>
      <w:b/>
      <w:bCs/>
      <w:szCs w:val="23"/>
    </w:rPr>
  </w:style>
  <w:style w:type="character" w:customStyle="1" w:styleId="apple-style-span">
    <w:name w:val="apple-style-span"/>
    <w:basedOn w:val="Carpredefinitoparagrafo"/>
  </w:style>
  <w:style w:type="paragraph" w:styleId="Corpodeltesto2">
    <w:name w:val="Body Text 2"/>
    <w:basedOn w:val="Normale"/>
    <w:pPr>
      <w:spacing w:after="80" w:line="360" w:lineRule="auto"/>
      <w:jc w:val="both"/>
    </w:pPr>
    <w:rPr>
      <w:rFonts w:ascii="Arial" w:hAnsi="Arial" w:cs="Arial"/>
      <w:sz w:val="23"/>
      <w:szCs w:val="23"/>
    </w:rPr>
  </w:style>
  <w:style w:type="character" w:customStyle="1" w:styleId="apple-converted-space">
    <w:name w:val="apple-converted-space"/>
    <w:basedOn w:val="Carpredefinitoparagrafo"/>
  </w:style>
  <w:style w:type="paragraph" w:styleId="Rientrocorpodeltesto2">
    <w:name w:val="Body Text Indent 2"/>
    <w:basedOn w:val="Normale"/>
    <w:pPr>
      <w:spacing w:after="120"/>
      <w:ind w:left="360"/>
      <w:jc w:val="both"/>
    </w:pPr>
    <w:rPr>
      <w:rFonts w:ascii="Arial" w:hAnsi="Arial" w:cs="Arial"/>
      <w:sz w:val="23"/>
      <w:szCs w:val="23"/>
    </w:rPr>
  </w:style>
  <w:style w:type="paragraph" w:styleId="Rientrocorpodeltesto3">
    <w:name w:val="Body Text Indent 3"/>
    <w:basedOn w:val="Normale"/>
    <w:pPr>
      <w:spacing w:after="120"/>
      <w:ind w:left="540"/>
      <w:jc w:val="both"/>
    </w:pPr>
    <w:rPr>
      <w:rFonts w:ascii="Arial" w:hAnsi="Arial" w:cs="Arial"/>
      <w:sz w:val="23"/>
      <w:szCs w:val="23"/>
    </w:rPr>
  </w:style>
  <w:style w:type="character" w:styleId="Enfasigrassetto">
    <w:name w:val="Strong"/>
    <w:qFormat/>
    <w:rPr>
      <w:b/>
      <w:bCs/>
    </w:rPr>
  </w:style>
  <w:style w:type="character" w:styleId="Enfasicorsivo">
    <w:name w:val="Emphasis"/>
    <w:qFormat/>
    <w:rPr>
      <w:i/>
      <w:iCs/>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normale">
    <w:name w:val="Plain Text"/>
    <w:basedOn w:val="Normale"/>
    <w:rPr>
      <w:rFonts w:ascii="Courier New" w:hAnsi="Courier New" w:cs="Courier New"/>
      <w:sz w:val="20"/>
      <w:szCs w:val="20"/>
    </w:rPr>
  </w:style>
  <w:style w:type="paragraph" w:styleId="Corpodeltesto3">
    <w:name w:val="Body Text 3"/>
    <w:basedOn w:val="Normale"/>
    <w:pPr>
      <w:spacing w:after="120"/>
      <w:jc w:val="both"/>
    </w:pPr>
    <w:rPr>
      <w:rFonts w:ascii="Arial" w:hAnsi="Arial" w:cs="Arial"/>
      <w:sz w:val="20"/>
      <w:szCs w:val="20"/>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rPr>
      <w:sz w:val="20"/>
      <w:szCs w:val="20"/>
    </w:rPr>
  </w:style>
  <w:style w:type="paragraph" w:styleId="Soggettocommento">
    <w:name w:val="annotation subject"/>
    <w:basedOn w:val="Testocommento"/>
    <w:next w:val="Testocommento"/>
    <w:link w:val="SoggettocommentoCarattere"/>
    <w:semiHidden/>
    <w:rPr>
      <w:b/>
      <w:bCs/>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cs="Tahoma"/>
      <w:sz w:val="20"/>
      <w:szCs w:val="20"/>
    </w:rPr>
  </w:style>
  <w:style w:type="paragraph" w:styleId="Paragrafoelenco">
    <w:name w:val="List Paragraph"/>
    <w:basedOn w:val="Normale"/>
    <w:uiPriority w:val="34"/>
    <w:qFormat/>
    <w:rsid w:val="00FE289C"/>
    <w:pPr>
      <w:ind w:left="708"/>
    </w:pPr>
  </w:style>
  <w:style w:type="paragraph" w:styleId="Puntoelenco">
    <w:name w:val="List Bullet"/>
    <w:basedOn w:val="Normale"/>
    <w:rsid w:val="008F73F3"/>
    <w:pPr>
      <w:numPr>
        <w:numId w:val="9"/>
      </w:numPr>
    </w:pPr>
  </w:style>
  <w:style w:type="character" w:customStyle="1" w:styleId="TestonotaapidipaginaCarattere">
    <w:name w:val="Testo nota a piè di pagina Carattere"/>
    <w:link w:val="Testonotaapidipagina"/>
    <w:semiHidden/>
    <w:locked/>
    <w:rsid w:val="00954A76"/>
    <w:rPr>
      <w:lang w:val="it-IT" w:eastAsia="it-IT" w:bidi="ar-SA"/>
    </w:rPr>
  </w:style>
  <w:style w:type="character" w:customStyle="1" w:styleId="TestocommentoCarattere">
    <w:name w:val="Testo commento Carattere"/>
    <w:link w:val="Testocommento"/>
    <w:semiHidden/>
    <w:locked/>
    <w:rsid w:val="00954A76"/>
    <w:rPr>
      <w:lang w:val="it-IT" w:eastAsia="it-IT" w:bidi="ar-SA"/>
    </w:rPr>
  </w:style>
  <w:style w:type="character" w:customStyle="1" w:styleId="SoggettocommentoCarattere">
    <w:name w:val="Soggetto commento Carattere"/>
    <w:link w:val="Soggettocommento"/>
    <w:semiHidden/>
    <w:locked/>
    <w:rsid w:val="00954A76"/>
    <w:rPr>
      <w:b/>
      <w:bCs/>
      <w:lang w:val="it-IT" w:eastAsia="it-IT" w:bidi="ar-SA"/>
    </w:rPr>
  </w:style>
  <w:style w:type="table" w:styleId="Grigliatabella">
    <w:name w:val="Table Grid"/>
    <w:basedOn w:val="Tabellanormale"/>
    <w:rsid w:val="00954A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semiHidden/>
    <w:locked/>
    <w:rsid w:val="00BD4F4A"/>
    <w:rPr>
      <w:b/>
      <w:bCs/>
      <w:lang w:val="it-IT" w:eastAsia="it-IT" w:bidi="ar-SA"/>
    </w:rPr>
  </w:style>
  <w:style w:type="paragraph" w:styleId="Revisione">
    <w:name w:val="Revision"/>
    <w:hidden/>
    <w:uiPriority w:val="99"/>
    <w:semiHidden/>
    <w:rsid w:val="007465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jc w:val="both"/>
      <w:outlineLvl w:val="0"/>
    </w:pPr>
    <w:rPr>
      <w:rFonts w:ascii="Verdana" w:hAnsi="Verdana"/>
      <w:b/>
      <w:bCs/>
      <w:sz w:val="22"/>
    </w:rPr>
  </w:style>
  <w:style w:type="paragraph" w:styleId="Titolo2">
    <w:name w:val="heading 2"/>
    <w:basedOn w:val="Normale"/>
    <w:qFormat/>
    <w:pPr>
      <w:spacing w:after="120"/>
      <w:outlineLvl w:val="1"/>
    </w:pPr>
    <w:rPr>
      <w:rFonts w:ascii="Verdana" w:hAnsi="Verdana"/>
      <w:bCs/>
      <w:i/>
      <w:sz w:val="21"/>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spacing w:after="120"/>
      <w:ind w:left="1814"/>
      <w:jc w:val="both"/>
      <w:outlineLvl w:val="3"/>
    </w:pPr>
    <w:rPr>
      <w:rFonts w:ascii="Arial" w:hAnsi="Arial" w:cs="Arial"/>
      <w:b/>
      <w:sz w:val="22"/>
      <w:szCs w:val="20"/>
    </w:rPr>
  </w:style>
  <w:style w:type="paragraph" w:styleId="Titolo5">
    <w:name w:val="heading 5"/>
    <w:basedOn w:val="Normale"/>
    <w:next w:val="Normale"/>
    <w:qFormat/>
    <w:pPr>
      <w:keepNext/>
      <w:spacing w:before="40" w:after="20"/>
      <w:jc w:val="center"/>
      <w:outlineLvl w:val="4"/>
    </w:pPr>
    <w:rPr>
      <w:rFonts w:ascii="Arial Narrow" w:hAnsi="Arial Narrow" w:cs="Arial"/>
      <w:b/>
      <w:sz w:val="18"/>
      <w:szCs w:val="1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keepNext/>
      <w:spacing w:before="40" w:after="20"/>
      <w:jc w:val="right"/>
      <w:outlineLvl w:val="6"/>
    </w:pPr>
    <w:rPr>
      <w:rFonts w:ascii="Arial Narrow" w:hAnsi="Arial Narrow" w:cs="Arial"/>
      <w:b/>
      <w:sz w:val="18"/>
      <w:szCs w:val="16"/>
    </w:rPr>
  </w:style>
  <w:style w:type="paragraph" w:styleId="Titolo8">
    <w:name w:val="heading 8"/>
    <w:basedOn w:val="Normale"/>
    <w:next w:val="Normale"/>
    <w:qFormat/>
    <w:pPr>
      <w:keepNext/>
      <w:spacing w:after="120"/>
      <w:ind w:left="1814"/>
      <w:jc w:val="both"/>
      <w:outlineLvl w:val="7"/>
    </w:pPr>
    <w:rPr>
      <w:rFonts w:ascii="Arial" w:hAnsi="Arial" w:cs="Arial"/>
      <w:b/>
      <w:szCs w:val="20"/>
    </w:rPr>
  </w:style>
  <w:style w:type="paragraph" w:styleId="Titolo9">
    <w:name w:val="heading 9"/>
    <w:basedOn w:val="Normale"/>
    <w:next w:val="Normale"/>
    <w:qFormat/>
    <w:pPr>
      <w:keepNext/>
      <w:spacing w:before="40" w:after="20"/>
      <w:ind w:left="-57"/>
      <w:outlineLvl w:val="8"/>
    </w:pPr>
    <w:rPr>
      <w:rFonts w:ascii="Arial Narrow" w:hAnsi="Arial Narrow" w:cs="Arial"/>
      <w:b/>
      <w:sz w:val="1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paragraph" w:styleId="Intestazione">
    <w:name w:val="header"/>
    <w:basedOn w:val="Normale"/>
    <w:pPr>
      <w:tabs>
        <w:tab w:val="center" w:pos="4819"/>
        <w:tab w:val="right" w:pos="9638"/>
      </w:tabs>
      <w:jc w:val="both"/>
    </w:pPr>
    <w:rPr>
      <w:rFonts w:ascii="Garamond" w:hAnsi="Garamond"/>
      <w:sz w:val="28"/>
    </w:rPr>
  </w:style>
  <w:style w:type="paragraph" w:styleId="Pidipagina">
    <w:name w:val="footer"/>
    <w:basedOn w:val="Normale"/>
    <w:pPr>
      <w:tabs>
        <w:tab w:val="center" w:pos="4819"/>
        <w:tab w:val="right" w:pos="9638"/>
      </w:tabs>
      <w:jc w:val="both"/>
    </w:pPr>
    <w:rPr>
      <w:rFonts w:ascii="Garamond" w:hAnsi="Garamond"/>
      <w:sz w:val="28"/>
    </w:rPr>
  </w:style>
  <w:style w:type="character" w:styleId="Numeropagina">
    <w:name w:val="page number"/>
    <w:basedOn w:val="Carpredefinitoparagrafo"/>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customStyle="1" w:styleId="vedianche">
    <w:name w:val="vedianche"/>
    <w:basedOn w:val="Normale"/>
    <w:pPr>
      <w:spacing w:before="100" w:beforeAutospacing="1" w:after="100" w:afterAutospacing="1"/>
    </w:pPr>
  </w:style>
  <w:style w:type="character" w:styleId="Collegamentoipertestuale">
    <w:name w:val="Hyperlink"/>
    <w:rPr>
      <w:color w:val="0000FF"/>
      <w:u w:val="single"/>
    </w:rPr>
  </w:style>
  <w:style w:type="paragraph" w:styleId="Rientrocorpodeltesto">
    <w:name w:val="Body Text Indent"/>
    <w:basedOn w:val="Normale"/>
    <w:pPr>
      <w:spacing w:after="120"/>
      <w:ind w:left="283"/>
      <w:jc w:val="both"/>
    </w:pPr>
    <w:rPr>
      <w:rFonts w:ascii="Verdana" w:hAnsi="Verdana"/>
      <w:sz w:val="22"/>
    </w:rPr>
  </w:style>
  <w:style w:type="paragraph" w:styleId="Testofumetto">
    <w:name w:val="Balloon Text"/>
    <w:basedOn w:val="Normale"/>
    <w:semiHidden/>
    <w:rPr>
      <w:rFonts w:ascii="Tahoma" w:hAnsi="Tahoma" w:cs="Tahoma"/>
      <w:sz w:val="16"/>
      <w:szCs w:val="16"/>
    </w:rPr>
  </w:style>
  <w:style w:type="paragraph" w:styleId="Sommario1">
    <w:name w:val="toc 1"/>
    <w:basedOn w:val="Normale"/>
    <w:next w:val="Normale"/>
    <w:autoRedefine/>
    <w:semiHidden/>
    <w:pPr>
      <w:tabs>
        <w:tab w:val="right" w:leader="dot" w:pos="9060"/>
      </w:tabs>
      <w:spacing w:before="40" w:after="80"/>
    </w:pPr>
    <w:rPr>
      <w:rFonts w:ascii="Verdana" w:hAnsi="Verdana"/>
      <w:i/>
      <w:noProof/>
      <w:color w:val="800000"/>
      <w:sz w:val="18"/>
      <w:szCs w:val="18"/>
    </w:rPr>
  </w:style>
  <w:style w:type="paragraph" w:styleId="Corpotesto">
    <w:name w:val="Body Text"/>
    <w:basedOn w:val="Normale"/>
    <w:pPr>
      <w:spacing w:line="360" w:lineRule="auto"/>
    </w:pPr>
    <w:rPr>
      <w:rFonts w:ascii="Arial" w:hAnsi="Arial" w:cs="Arial"/>
      <w:b/>
      <w:bCs/>
      <w:szCs w:val="23"/>
    </w:rPr>
  </w:style>
  <w:style w:type="character" w:customStyle="1" w:styleId="apple-style-span">
    <w:name w:val="apple-style-span"/>
    <w:basedOn w:val="Carpredefinitoparagrafo"/>
  </w:style>
  <w:style w:type="paragraph" w:styleId="Corpodeltesto2">
    <w:name w:val="Body Text 2"/>
    <w:basedOn w:val="Normale"/>
    <w:pPr>
      <w:spacing w:after="80" w:line="360" w:lineRule="auto"/>
      <w:jc w:val="both"/>
    </w:pPr>
    <w:rPr>
      <w:rFonts w:ascii="Arial" w:hAnsi="Arial" w:cs="Arial"/>
      <w:sz w:val="23"/>
      <w:szCs w:val="23"/>
    </w:rPr>
  </w:style>
  <w:style w:type="character" w:customStyle="1" w:styleId="apple-converted-space">
    <w:name w:val="apple-converted-space"/>
    <w:basedOn w:val="Carpredefinitoparagrafo"/>
  </w:style>
  <w:style w:type="paragraph" w:styleId="Rientrocorpodeltesto2">
    <w:name w:val="Body Text Indent 2"/>
    <w:basedOn w:val="Normale"/>
    <w:pPr>
      <w:spacing w:after="120"/>
      <w:ind w:left="360"/>
      <w:jc w:val="both"/>
    </w:pPr>
    <w:rPr>
      <w:rFonts w:ascii="Arial" w:hAnsi="Arial" w:cs="Arial"/>
      <w:sz w:val="23"/>
      <w:szCs w:val="23"/>
    </w:rPr>
  </w:style>
  <w:style w:type="paragraph" w:styleId="Rientrocorpodeltesto3">
    <w:name w:val="Body Text Indent 3"/>
    <w:basedOn w:val="Normale"/>
    <w:pPr>
      <w:spacing w:after="120"/>
      <w:ind w:left="540"/>
      <w:jc w:val="both"/>
    </w:pPr>
    <w:rPr>
      <w:rFonts w:ascii="Arial" w:hAnsi="Arial" w:cs="Arial"/>
      <w:sz w:val="23"/>
      <w:szCs w:val="23"/>
    </w:rPr>
  </w:style>
  <w:style w:type="character" w:styleId="Enfasigrassetto">
    <w:name w:val="Strong"/>
    <w:qFormat/>
    <w:rPr>
      <w:b/>
      <w:bCs/>
    </w:rPr>
  </w:style>
  <w:style w:type="character" w:styleId="Enfasicorsivo">
    <w:name w:val="Emphasis"/>
    <w:qFormat/>
    <w:rPr>
      <w:i/>
      <w:iCs/>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normale">
    <w:name w:val="Plain Text"/>
    <w:basedOn w:val="Normale"/>
    <w:rPr>
      <w:rFonts w:ascii="Courier New" w:hAnsi="Courier New" w:cs="Courier New"/>
      <w:sz w:val="20"/>
      <w:szCs w:val="20"/>
    </w:rPr>
  </w:style>
  <w:style w:type="paragraph" w:styleId="Corpodeltesto3">
    <w:name w:val="Body Text 3"/>
    <w:basedOn w:val="Normale"/>
    <w:pPr>
      <w:spacing w:after="120"/>
      <w:jc w:val="both"/>
    </w:pPr>
    <w:rPr>
      <w:rFonts w:ascii="Arial" w:hAnsi="Arial" w:cs="Arial"/>
      <w:sz w:val="20"/>
      <w:szCs w:val="20"/>
    </w:rPr>
  </w:style>
  <w:style w:type="character" w:styleId="Rimandocommento">
    <w:name w:val="annotation reference"/>
    <w:semiHidden/>
    <w:rPr>
      <w:sz w:val="16"/>
      <w:szCs w:val="16"/>
    </w:rPr>
  </w:style>
  <w:style w:type="paragraph" w:styleId="Testocommento">
    <w:name w:val="annotation text"/>
    <w:basedOn w:val="Normale"/>
    <w:link w:val="TestocommentoCarattere"/>
    <w:semiHidden/>
    <w:rPr>
      <w:sz w:val="20"/>
      <w:szCs w:val="20"/>
    </w:rPr>
  </w:style>
  <w:style w:type="paragraph" w:styleId="Soggettocommento">
    <w:name w:val="annotation subject"/>
    <w:basedOn w:val="Testocommento"/>
    <w:next w:val="Testocommento"/>
    <w:link w:val="SoggettocommentoCarattere"/>
    <w:semiHidden/>
    <w:rPr>
      <w:b/>
      <w:bCs/>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cs="Tahoma"/>
      <w:sz w:val="20"/>
      <w:szCs w:val="20"/>
    </w:rPr>
  </w:style>
  <w:style w:type="paragraph" w:styleId="Paragrafoelenco">
    <w:name w:val="List Paragraph"/>
    <w:basedOn w:val="Normale"/>
    <w:uiPriority w:val="34"/>
    <w:qFormat/>
    <w:rsid w:val="00FE289C"/>
    <w:pPr>
      <w:ind w:left="708"/>
    </w:pPr>
  </w:style>
  <w:style w:type="paragraph" w:styleId="Puntoelenco">
    <w:name w:val="List Bullet"/>
    <w:basedOn w:val="Normale"/>
    <w:rsid w:val="008F73F3"/>
    <w:pPr>
      <w:numPr>
        <w:numId w:val="9"/>
      </w:numPr>
    </w:pPr>
  </w:style>
  <w:style w:type="character" w:customStyle="1" w:styleId="TestonotaapidipaginaCarattere">
    <w:name w:val="Testo nota a piè di pagina Carattere"/>
    <w:link w:val="Testonotaapidipagina"/>
    <w:semiHidden/>
    <w:locked/>
    <w:rsid w:val="00954A76"/>
    <w:rPr>
      <w:lang w:val="it-IT" w:eastAsia="it-IT" w:bidi="ar-SA"/>
    </w:rPr>
  </w:style>
  <w:style w:type="character" w:customStyle="1" w:styleId="TestocommentoCarattere">
    <w:name w:val="Testo commento Carattere"/>
    <w:link w:val="Testocommento"/>
    <w:semiHidden/>
    <w:locked/>
    <w:rsid w:val="00954A76"/>
    <w:rPr>
      <w:lang w:val="it-IT" w:eastAsia="it-IT" w:bidi="ar-SA"/>
    </w:rPr>
  </w:style>
  <w:style w:type="character" w:customStyle="1" w:styleId="SoggettocommentoCarattere">
    <w:name w:val="Soggetto commento Carattere"/>
    <w:link w:val="Soggettocommento"/>
    <w:semiHidden/>
    <w:locked/>
    <w:rsid w:val="00954A76"/>
    <w:rPr>
      <w:b/>
      <w:bCs/>
      <w:lang w:val="it-IT" w:eastAsia="it-IT" w:bidi="ar-SA"/>
    </w:rPr>
  </w:style>
  <w:style w:type="table" w:styleId="Grigliatabella">
    <w:name w:val="Table Grid"/>
    <w:basedOn w:val="Tabellanormale"/>
    <w:rsid w:val="00954A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semiHidden/>
    <w:locked/>
    <w:rsid w:val="00BD4F4A"/>
    <w:rPr>
      <w:b/>
      <w:bCs/>
      <w:lang w:val="it-IT" w:eastAsia="it-IT" w:bidi="ar-SA"/>
    </w:rPr>
  </w:style>
  <w:style w:type="paragraph" w:styleId="Revisione">
    <w:name w:val="Revision"/>
    <w:hidden/>
    <w:uiPriority w:val="99"/>
    <w:semiHidden/>
    <w:rsid w:val="007465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oleObject" Target="embeddings/oleObject76.bin"/><Relationship Id="rId170" Type="http://schemas.openxmlformats.org/officeDocument/2006/relationships/image" Target="media/image78.wmf"/><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1.bin"/><Relationship Id="rId107" Type="http://schemas.openxmlformats.org/officeDocument/2006/relationships/oleObject" Target="embeddings/oleObject48.bin"/><Relationship Id="rId11" Type="http://schemas.openxmlformats.org/officeDocument/2006/relationships/footer" Target="footer1.xml"/><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image" Target="media/image32.wmf"/><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image" Target="media/image73.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header" Target="header2.xml"/><Relationship Id="rId22" Type="http://schemas.openxmlformats.org/officeDocument/2006/relationships/oleObject" Target="embeddings/oleObject5.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oleObject" Target="embeddings/oleObject66.bin"/><Relationship Id="rId80" Type="http://schemas.openxmlformats.org/officeDocument/2006/relationships/image" Target="media/image35.wmf"/><Relationship Id="rId85" Type="http://schemas.openxmlformats.org/officeDocument/2006/relationships/oleObject" Target="embeddings/oleObject39.bin"/><Relationship Id="rId150" Type="http://schemas.openxmlformats.org/officeDocument/2006/relationships/image" Target="media/image68.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1.wmf"/><Relationship Id="rId192" Type="http://schemas.openxmlformats.org/officeDocument/2006/relationships/oleObject" Target="embeddings/oleObject93.bin"/><Relationship Id="rId197" Type="http://schemas.openxmlformats.org/officeDocument/2006/relationships/image" Target="media/image91.wmf"/><Relationship Id="rId206" Type="http://schemas.openxmlformats.org/officeDocument/2006/relationships/oleObject" Target="embeddings/oleObject100.bin"/><Relationship Id="rId227" Type="http://schemas.openxmlformats.org/officeDocument/2006/relationships/image" Target="media/image105.wmf"/><Relationship Id="rId201" Type="http://schemas.openxmlformats.org/officeDocument/2006/relationships/image" Target="media/image93.wmf"/><Relationship Id="rId222" Type="http://schemas.openxmlformats.org/officeDocument/2006/relationships/image" Target="media/image103.wmf"/><Relationship Id="rId12" Type="http://schemas.openxmlformats.org/officeDocument/2006/relationships/footer" Target="footer2.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oleObject" Target="embeddings/oleObject30.bin"/><Relationship Id="rId75" Type="http://schemas.openxmlformats.org/officeDocument/2006/relationships/oleObject" Target="embeddings/oleObject34.bin"/><Relationship Id="rId91" Type="http://schemas.openxmlformats.org/officeDocument/2006/relationships/package" Target="embeddings/Microsoft_Word_Document2.docx"/><Relationship Id="rId96" Type="http://schemas.openxmlformats.org/officeDocument/2006/relationships/image" Target="media/image43.wmf"/><Relationship Id="rId140" Type="http://schemas.openxmlformats.org/officeDocument/2006/relationships/image" Target="media/image63.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image" Target="media/image86.wmf"/><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3.bin"/><Relationship Id="rId233" Type="http://schemas.openxmlformats.org/officeDocument/2006/relationships/image" Target="media/image108.wmf"/><Relationship Id="rId238"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image" Target="media/image27.wmf"/><Relationship Id="rId65" Type="http://schemas.openxmlformats.org/officeDocument/2006/relationships/oleObject" Target="embeddings/oleObject27.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1.wmf"/><Relationship Id="rId177" Type="http://schemas.openxmlformats.org/officeDocument/2006/relationships/oleObject" Target="embeddings/oleObject85.bin"/><Relationship Id="rId198" Type="http://schemas.openxmlformats.org/officeDocument/2006/relationships/oleObject" Target="embeddings/oleObject96.bin"/><Relationship Id="rId172" Type="http://schemas.openxmlformats.org/officeDocument/2006/relationships/image" Target="media/image79.wmf"/><Relationship Id="rId193" Type="http://schemas.openxmlformats.org/officeDocument/2006/relationships/image" Target="media/image89.wmf"/><Relationship Id="rId202" Type="http://schemas.openxmlformats.org/officeDocument/2006/relationships/oleObject" Target="embeddings/oleObject98.bin"/><Relationship Id="rId207" Type="http://schemas.openxmlformats.org/officeDocument/2006/relationships/image" Target="media/image96.wmf"/><Relationship Id="rId223" Type="http://schemas.openxmlformats.org/officeDocument/2006/relationships/oleObject" Target="embeddings/oleObject109.bin"/><Relationship Id="rId228" Type="http://schemas.openxmlformats.org/officeDocument/2006/relationships/oleObject" Target="embeddings/oleObject112.bin"/><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oleObject" Target="embeddings/oleObject67.bin"/><Relationship Id="rId146" Type="http://schemas.openxmlformats.org/officeDocument/2006/relationships/image" Target="media/image66.wmf"/><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1.wmf"/><Relationship Id="rId162" Type="http://schemas.openxmlformats.org/officeDocument/2006/relationships/image" Target="media/image74.wmf"/><Relationship Id="rId183" Type="http://schemas.openxmlformats.org/officeDocument/2006/relationships/oleObject" Target="embeddings/oleObject88.bin"/><Relationship Id="rId213" Type="http://schemas.openxmlformats.org/officeDocument/2006/relationships/image" Target="media/image99.wmf"/><Relationship Id="rId218" Type="http://schemas.openxmlformats.org/officeDocument/2006/relationships/image" Target="media/image101.wmf"/><Relationship Id="rId234" Type="http://schemas.openxmlformats.org/officeDocument/2006/relationships/oleObject" Target="embeddings/oleObject115.bin"/><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image" Target="media/image59.wmf"/><Relationship Id="rId136" Type="http://schemas.openxmlformats.org/officeDocument/2006/relationships/image" Target="media/image61.wmf"/><Relationship Id="rId157" Type="http://schemas.openxmlformats.org/officeDocument/2006/relationships/oleObject" Target="embeddings/oleObject75.bin"/><Relationship Id="rId178" Type="http://schemas.openxmlformats.org/officeDocument/2006/relationships/image" Target="media/image82.wmf"/><Relationship Id="rId61" Type="http://schemas.openxmlformats.org/officeDocument/2006/relationships/oleObject" Target="embeddings/oleObject25.bin"/><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oleObject" Target="embeddings/oleObject83.bin"/><Relationship Id="rId194" Type="http://schemas.openxmlformats.org/officeDocument/2006/relationships/oleObject" Target="embeddings/oleObject94.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1.bin"/><Relationship Id="rId229" Type="http://schemas.openxmlformats.org/officeDocument/2006/relationships/image" Target="media/image106.wmf"/><Relationship Id="rId19" Type="http://schemas.openxmlformats.org/officeDocument/2006/relationships/image" Target="media/image7.wmf"/><Relationship Id="rId224" Type="http://schemas.openxmlformats.org/officeDocument/2006/relationships/image" Target="media/image10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image" Target="media/image77.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87.wmf"/><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3.bin"/><Relationship Id="rId235" Type="http://schemas.openxmlformats.org/officeDocument/2006/relationships/image" Target="media/image109.wmf"/><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0.wmf"/><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image" Target="media/image72.wmf"/><Relationship Id="rId20" Type="http://schemas.openxmlformats.org/officeDocument/2006/relationships/oleObject" Target="embeddings/oleObject4.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39.emf"/><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0.wmf"/><Relationship Id="rId179" Type="http://schemas.openxmlformats.org/officeDocument/2006/relationships/oleObject" Target="embeddings/oleObject86.bin"/><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2.wmf"/><Relationship Id="rId225"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header" Target="header1.xml"/><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68.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1.bin"/><Relationship Id="rId185" Type="http://schemas.openxmlformats.org/officeDocument/2006/relationships/image" Target="media/image85.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83.wmf"/><Relationship Id="rId210" Type="http://schemas.openxmlformats.org/officeDocument/2006/relationships/oleObject" Target="embeddings/oleObject102.bin"/><Relationship Id="rId215" Type="http://schemas.openxmlformats.org/officeDocument/2006/relationships/image" Target="media/image100.wmf"/><Relationship Id="rId236" Type="http://schemas.openxmlformats.org/officeDocument/2006/relationships/oleObject" Target="embeddings/oleObject116.bin"/><Relationship Id="rId26" Type="http://schemas.openxmlformats.org/officeDocument/2006/relationships/oleObject" Target="embeddings/oleObject7.bin"/><Relationship Id="rId231" Type="http://schemas.openxmlformats.org/officeDocument/2006/relationships/image" Target="media/image107.wmf"/><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package" Target="embeddings/Microsoft_Word_Document1.docx"/><Relationship Id="rId112" Type="http://schemas.openxmlformats.org/officeDocument/2006/relationships/image" Target="media/image51.wmf"/><Relationship Id="rId133" Type="http://schemas.openxmlformats.org/officeDocument/2006/relationships/oleObject" Target="embeddings/oleObject63.bin"/><Relationship Id="rId154" Type="http://schemas.openxmlformats.org/officeDocument/2006/relationships/image" Target="media/image70.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2.bin"/><Relationship Id="rId221" Type="http://schemas.openxmlformats.org/officeDocument/2006/relationships/oleObject" Target="embeddings/oleObject108.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5.wmf"/><Relationship Id="rId90" Type="http://schemas.openxmlformats.org/officeDocument/2006/relationships/image" Target="media/image40.e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98.wmf"/><Relationship Id="rId232" Type="http://schemas.openxmlformats.org/officeDocument/2006/relationships/oleObject" Target="embeddings/oleObject114.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image" Target="media/image60.wm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ista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C746-1DEC-40F7-BCD8-66809757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7665</Words>
  <Characters>43694</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74/</vt:lpstr>
    </vt:vector>
  </TitlesOfParts>
  <Company>ISTAT</Company>
  <LinksUpToDate>false</LinksUpToDate>
  <CharactersWithSpaces>51257</CharactersWithSpaces>
  <SharedDoc>false</SharedDoc>
  <HLinks>
    <vt:vector size="6" baseType="variant">
      <vt:variant>
        <vt:i4>262168</vt:i4>
      </vt:variant>
      <vt:variant>
        <vt:i4>0</vt:i4>
      </vt:variant>
      <vt:variant>
        <vt:i4>0</vt:i4>
      </vt:variant>
      <vt:variant>
        <vt:i4>5</vt:i4>
      </vt:variant>
      <vt:variant>
        <vt:lpwstr>http://www.istat.it/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dc:title>
  <dc:creator>istat</dc:creator>
  <cp:lastModifiedBy>Tiberio Damiani</cp:lastModifiedBy>
  <cp:revision>5</cp:revision>
  <cp:lastPrinted>2014-03-26T09:48:00Z</cp:lastPrinted>
  <dcterms:created xsi:type="dcterms:W3CDTF">2014-03-27T09:26:00Z</dcterms:created>
  <dcterms:modified xsi:type="dcterms:W3CDTF">2014-03-27T09:54:00Z</dcterms:modified>
</cp:coreProperties>
</file>