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256B" w14:textId="77777777" w:rsidR="002D5C04" w:rsidRDefault="002D5C04" w:rsidP="008A05B0">
      <w:pPr>
        <w:pStyle w:val="Testonormale"/>
        <w:tabs>
          <w:tab w:val="left" w:pos="8001"/>
        </w:tabs>
        <w:ind w:left="1843"/>
        <w:rPr>
          <w:rFonts w:ascii="Arial" w:hAnsi="Arial" w:cs="Arial"/>
          <w:b/>
          <w:bCs/>
          <w:caps/>
          <w:color w:val="595959"/>
          <w:sz w:val="36"/>
          <w:szCs w:val="40"/>
          <w:u w:color="595959"/>
        </w:rPr>
      </w:pPr>
    </w:p>
    <w:p w14:paraId="32065655" w14:textId="77777777" w:rsidR="002D5C04" w:rsidRDefault="002D5C04" w:rsidP="008A05B0">
      <w:pPr>
        <w:pStyle w:val="Testonormale"/>
        <w:tabs>
          <w:tab w:val="left" w:pos="8001"/>
        </w:tabs>
        <w:ind w:left="1843"/>
        <w:rPr>
          <w:rFonts w:ascii="Arial" w:hAnsi="Arial" w:cs="Arial"/>
          <w:b/>
          <w:bCs/>
          <w:caps/>
          <w:color w:val="595959"/>
          <w:sz w:val="36"/>
          <w:szCs w:val="40"/>
          <w:u w:color="595959"/>
        </w:rPr>
      </w:pPr>
    </w:p>
    <w:p w14:paraId="382ADA43" w14:textId="77777777" w:rsidR="002D5C04" w:rsidRDefault="002D5C04" w:rsidP="008A05B0">
      <w:pPr>
        <w:pStyle w:val="Testonormale"/>
        <w:tabs>
          <w:tab w:val="left" w:pos="8001"/>
        </w:tabs>
        <w:ind w:left="1843"/>
        <w:rPr>
          <w:rFonts w:ascii="Arial" w:hAnsi="Arial" w:cs="Arial"/>
          <w:b/>
          <w:bCs/>
          <w:caps/>
          <w:color w:val="595959"/>
          <w:sz w:val="36"/>
          <w:szCs w:val="40"/>
          <w:u w:color="595959"/>
        </w:rPr>
      </w:pPr>
    </w:p>
    <w:p w14:paraId="5F041EF2" w14:textId="77777777" w:rsidR="008A05B0" w:rsidRDefault="008A05B0" w:rsidP="008A05B0">
      <w:pPr>
        <w:pStyle w:val="Testonormale"/>
        <w:tabs>
          <w:tab w:val="left" w:pos="8001"/>
        </w:tabs>
        <w:ind w:left="1843"/>
        <w:rPr>
          <w:rFonts w:ascii="Arial" w:hAnsi="Arial" w:cs="Arial"/>
          <w:b/>
          <w:bCs/>
          <w:caps/>
          <w:color w:val="595959"/>
          <w:sz w:val="36"/>
          <w:szCs w:val="40"/>
          <w:u w:color="595959"/>
        </w:rPr>
      </w:pPr>
      <w:r w:rsidRPr="009552AE">
        <w:rPr>
          <w:rFonts w:ascii="Arial" w:hAnsi="Arial" w:cs="Arial"/>
          <w:b/>
          <w:bCs/>
          <w:caps/>
          <w:color w:val="595959"/>
          <w:sz w:val="36"/>
          <w:szCs w:val="40"/>
          <w:u w:color="595959"/>
        </w:rPr>
        <w:t xml:space="preserve">I divari territoriali nel PNRR: </w:t>
      </w:r>
    </w:p>
    <w:p w14:paraId="3C240541" w14:textId="77777777" w:rsidR="008A05B0" w:rsidRPr="009552AE" w:rsidRDefault="008A05B0" w:rsidP="008A05B0">
      <w:pPr>
        <w:pStyle w:val="Testonormale"/>
        <w:tabs>
          <w:tab w:val="left" w:pos="8001"/>
        </w:tabs>
        <w:ind w:left="1843"/>
        <w:rPr>
          <w:rFonts w:ascii="Arial" w:hAnsi="Arial" w:cs="Arial"/>
          <w:b/>
          <w:bCs/>
          <w:caps/>
          <w:color w:val="595959"/>
          <w:sz w:val="36"/>
          <w:szCs w:val="40"/>
          <w:u w:color="595959"/>
        </w:rPr>
      </w:pPr>
      <w:r w:rsidRPr="009552AE">
        <w:rPr>
          <w:rFonts w:ascii="Arial" w:hAnsi="Arial" w:cs="Arial"/>
          <w:b/>
          <w:bCs/>
          <w:caps/>
          <w:color w:val="595959"/>
          <w:sz w:val="36"/>
          <w:szCs w:val="40"/>
          <w:u w:color="595959"/>
        </w:rPr>
        <w:t xml:space="preserve">dieci </w:t>
      </w:r>
      <w:r w:rsidR="002D5C04">
        <w:rPr>
          <w:rFonts w:ascii="Arial" w:hAnsi="Arial" w:cs="Arial"/>
          <w:b/>
          <w:bCs/>
          <w:caps/>
          <w:color w:val="595959"/>
          <w:sz w:val="36"/>
          <w:szCs w:val="40"/>
          <w:u w:color="595959"/>
        </w:rPr>
        <w:t>Obiettivi</w:t>
      </w:r>
      <w:r w:rsidRPr="009552AE">
        <w:rPr>
          <w:rFonts w:ascii="Arial" w:hAnsi="Arial" w:cs="Arial"/>
          <w:b/>
          <w:bCs/>
          <w:caps/>
          <w:color w:val="595959"/>
          <w:sz w:val="36"/>
          <w:szCs w:val="40"/>
          <w:u w:color="595959"/>
        </w:rPr>
        <w:t xml:space="preserve"> per il Mezzogiorno</w:t>
      </w:r>
    </w:p>
    <w:p w14:paraId="4CEA5233" w14:textId="77777777" w:rsidR="008A05B0" w:rsidRDefault="008A05B0" w:rsidP="008A05B0">
      <w:pPr>
        <w:jc w:val="center"/>
        <w:rPr>
          <w:rStyle w:val="markedcontent"/>
          <w:rFonts w:ascii="Arial" w:hAnsi="Arial" w:cs="Arial"/>
          <w:i/>
          <w:caps/>
          <w:sz w:val="28"/>
          <w:szCs w:val="24"/>
        </w:rPr>
      </w:pPr>
    </w:p>
    <w:p w14:paraId="54604239" w14:textId="77777777" w:rsidR="00217FED" w:rsidRDefault="00217FED" w:rsidP="008A05B0">
      <w:pPr>
        <w:jc w:val="center"/>
        <w:rPr>
          <w:rStyle w:val="markedcontent"/>
          <w:rFonts w:ascii="Arial" w:hAnsi="Arial" w:cs="Arial"/>
          <w:i/>
          <w:caps/>
          <w:sz w:val="28"/>
          <w:szCs w:val="24"/>
        </w:rPr>
      </w:pPr>
    </w:p>
    <w:p w14:paraId="0BD95A6E" w14:textId="77777777" w:rsidR="008A05B0" w:rsidRPr="00217FED" w:rsidRDefault="00217FED" w:rsidP="008A05B0">
      <w:pPr>
        <w:jc w:val="center"/>
        <w:rPr>
          <w:rStyle w:val="markedcontent"/>
          <w:rFonts w:ascii="Arial" w:hAnsi="Arial" w:cs="Arial"/>
          <w:caps/>
          <w:sz w:val="28"/>
          <w:szCs w:val="24"/>
        </w:rPr>
      </w:pPr>
      <w:r>
        <w:rPr>
          <w:rStyle w:val="markedcontent"/>
          <w:rFonts w:ascii="Arial" w:hAnsi="Arial" w:cs="Arial"/>
          <w:caps/>
          <w:sz w:val="28"/>
          <w:szCs w:val="24"/>
        </w:rPr>
        <w:t>“</w:t>
      </w:r>
      <w:r w:rsidR="008A05B0" w:rsidRPr="00217FED">
        <w:rPr>
          <w:rStyle w:val="markedcontent"/>
          <w:rFonts w:ascii="Arial" w:hAnsi="Arial" w:cs="Arial"/>
          <w:caps/>
          <w:sz w:val="28"/>
          <w:szCs w:val="24"/>
        </w:rPr>
        <w:t>Allegato metodologico e bibliografico</w:t>
      </w:r>
      <w:r>
        <w:rPr>
          <w:rStyle w:val="markedcontent"/>
          <w:rFonts w:ascii="Arial" w:hAnsi="Arial" w:cs="Arial"/>
          <w:caps/>
          <w:sz w:val="28"/>
          <w:szCs w:val="24"/>
        </w:rPr>
        <w:t>”</w:t>
      </w:r>
    </w:p>
    <w:p w14:paraId="2C6ED9A5" w14:textId="77777777" w:rsidR="00F54648" w:rsidRDefault="00F54648"/>
    <w:p w14:paraId="33A064CF" w14:textId="77777777" w:rsidR="008A05B0" w:rsidRDefault="008A05B0"/>
    <w:p w14:paraId="2B48392F" w14:textId="77777777" w:rsidR="008A05B0" w:rsidRPr="00217FED" w:rsidRDefault="008A05B0" w:rsidP="00217FED">
      <w:pPr>
        <w:pStyle w:val="Paragrafoelenco"/>
        <w:numPr>
          <w:ilvl w:val="0"/>
          <w:numId w:val="3"/>
        </w:numPr>
        <w:spacing w:after="240"/>
        <w:ind w:left="714" w:hanging="357"/>
        <w:rPr>
          <w:b/>
          <w:sz w:val="24"/>
        </w:rPr>
      </w:pPr>
      <w:r w:rsidRPr="00217FED">
        <w:rPr>
          <w:b/>
          <w:sz w:val="24"/>
        </w:rPr>
        <w:t xml:space="preserve">PNRR: </w:t>
      </w:r>
      <w:r w:rsidR="002C45A6">
        <w:rPr>
          <w:b/>
          <w:sz w:val="24"/>
        </w:rPr>
        <w:t>estratti</w:t>
      </w:r>
    </w:p>
    <w:p w14:paraId="0CC68DB4" w14:textId="77777777" w:rsidR="008A05B0" w:rsidRPr="00217FED" w:rsidRDefault="008A05B0" w:rsidP="00217FED">
      <w:pPr>
        <w:pStyle w:val="Paragrafoelenco"/>
        <w:numPr>
          <w:ilvl w:val="0"/>
          <w:numId w:val="3"/>
        </w:numPr>
        <w:spacing w:after="240"/>
        <w:ind w:left="714" w:hanging="357"/>
        <w:rPr>
          <w:b/>
          <w:sz w:val="24"/>
        </w:rPr>
      </w:pPr>
      <w:r w:rsidRPr="00217FED">
        <w:rPr>
          <w:b/>
          <w:sz w:val="24"/>
        </w:rPr>
        <w:t>Framework di riferimento</w:t>
      </w:r>
    </w:p>
    <w:p w14:paraId="3836ECC3" w14:textId="77777777" w:rsidR="008A05B0" w:rsidRPr="00217FED" w:rsidRDefault="008A05B0" w:rsidP="00217FED">
      <w:pPr>
        <w:pStyle w:val="Paragrafoelenco"/>
        <w:numPr>
          <w:ilvl w:val="0"/>
          <w:numId w:val="3"/>
        </w:numPr>
        <w:spacing w:after="240"/>
        <w:ind w:left="714" w:hanging="357"/>
        <w:rPr>
          <w:b/>
          <w:sz w:val="24"/>
        </w:rPr>
      </w:pPr>
      <w:r w:rsidRPr="00217FED">
        <w:rPr>
          <w:b/>
          <w:sz w:val="24"/>
        </w:rPr>
        <w:t>Metadati</w:t>
      </w:r>
      <w:r w:rsidR="00217FED">
        <w:rPr>
          <w:b/>
          <w:sz w:val="24"/>
        </w:rPr>
        <w:t xml:space="preserve"> (scheda tecnica sugli indicatori)</w:t>
      </w:r>
    </w:p>
    <w:p w14:paraId="2E25BB6C" w14:textId="77777777" w:rsidR="008A05B0" w:rsidRPr="00217FED" w:rsidRDefault="008A05B0" w:rsidP="00217FED">
      <w:pPr>
        <w:pStyle w:val="Paragrafoelenco"/>
        <w:numPr>
          <w:ilvl w:val="0"/>
          <w:numId w:val="3"/>
        </w:numPr>
        <w:spacing w:after="240"/>
        <w:ind w:left="714" w:hanging="357"/>
        <w:rPr>
          <w:b/>
          <w:sz w:val="24"/>
        </w:rPr>
      </w:pPr>
      <w:r w:rsidRPr="00217FED">
        <w:rPr>
          <w:b/>
          <w:sz w:val="24"/>
        </w:rPr>
        <w:t>Riferimenti bibliografici e sitografici</w:t>
      </w:r>
    </w:p>
    <w:p w14:paraId="7893FC1E" w14:textId="77777777" w:rsidR="008A05B0" w:rsidRDefault="008A05B0">
      <w:pPr>
        <w:spacing w:after="160" w:line="259" w:lineRule="auto"/>
      </w:pPr>
      <w:r>
        <w:br w:type="page"/>
      </w:r>
    </w:p>
    <w:p w14:paraId="603BFB97" w14:textId="77777777" w:rsidR="008A05B0" w:rsidRPr="00E35422" w:rsidRDefault="00217FED" w:rsidP="00217FED">
      <w:pPr>
        <w:tabs>
          <w:tab w:val="left" w:pos="284"/>
        </w:tabs>
        <w:spacing w:after="120" w:line="240" w:lineRule="auto"/>
        <w:jc w:val="center"/>
        <w:rPr>
          <w:rFonts w:ascii="Arial" w:hAnsi="Arial" w:cs="Arial"/>
          <w:b/>
        </w:rPr>
      </w:pPr>
      <w:r>
        <w:rPr>
          <w:rFonts w:ascii="Arial" w:hAnsi="Arial" w:cs="Arial"/>
          <w:b/>
        </w:rPr>
        <w:lastRenderedPageBreak/>
        <w:t xml:space="preserve">Allegato I - </w:t>
      </w:r>
      <w:r w:rsidR="008A05B0" w:rsidRPr="00E35422">
        <w:rPr>
          <w:rFonts w:ascii="Arial" w:hAnsi="Arial" w:cs="Arial"/>
          <w:b/>
        </w:rPr>
        <w:t xml:space="preserve">PNRR: </w:t>
      </w:r>
      <w:r w:rsidR="002C45A6">
        <w:rPr>
          <w:rFonts w:ascii="Arial" w:hAnsi="Arial" w:cs="Arial"/>
          <w:b/>
        </w:rPr>
        <w:t>estratti</w:t>
      </w:r>
    </w:p>
    <w:p w14:paraId="782FB0E2" w14:textId="77777777" w:rsidR="00217FED" w:rsidRDefault="00217FED" w:rsidP="009C41CE">
      <w:pPr>
        <w:spacing w:after="0" w:line="240" w:lineRule="auto"/>
        <w:jc w:val="both"/>
        <w:rPr>
          <w:rFonts w:ascii="Arial" w:eastAsia="Arial Unicode MS" w:hAnsi="Arial" w:cs="Arial Unicode MS"/>
          <w:color w:val="000000"/>
          <w:sz w:val="18"/>
          <w:szCs w:val="20"/>
          <w:u w:color="000000"/>
          <w:bdr w:val="nil"/>
          <w:lang w:eastAsia="it-IT"/>
        </w:rPr>
      </w:pPr>
    </w:p>
    <w:p w14:paraId="58A1D6EB" w14:textId="77777777" w:rsidR="002C45A6" w:rsidRDefault="002C45A6" w:rsidP="009C41CE">
      <w:pPr>
        <w:spacing w:after="0" w:line="240" w:lineRule="auto"/>
        <w:jc w:val="both"/>
        <w:rPr>
          <w:rFonts w:ascii="Arial" w:eastAsia="Arial Unicode MS" w:hAnsi="Arial" w:cs="Arial Unicode MS"/>
          <w:color w:val="000000"/>
          <w:sz w:val="18"/>
          <w:szCs w:val="20"/>
          <w:u w:color="000000"/>
          <w:bdr w:val="nil"/>
          <w:lang w:eastAsia="it-IT"/>
        </w:rPr>
      </w:pPr>
    </w:p>
    <w:p w14:paraId="53BEE949" w14:textId="77777777" w:rsidR="001C0518" w:rsidRPr="009307D3" w:rsidRDefault="008E5EA5" w:rsidP="00C115BE">
      <w:pPr>
        <w:spacing w:after="120" w:line="240" w:lineRule="auto"/>
        <w:jc w:val="both"/>
        <w:rPr>
          <w:rFonts w:ascii="Arial" w:eastAsia="Arial Unicode MS" w:hAnsi="Arial" w:cs="Arial Unicode MS"/>
          <w:color w:val="000000"/>
          <w:sz w:val="20"/>
          <w:szCs w:val="20"/>
          <w:u w:color="000000"/>
          <w:bdr w:val="nil"/>
          <w:lang w:eastAsia="it-IT"/>
        </w:rPr>
      </w:pPr>
      <w:r w:rsidRPr="009307D3">
        <w:rPr>
          <w:rFonts w:ascii="Arial" w:eastAsia="Arial Unicode MS" w:hAnsi="Arial" w:cs="Arial Unicode MS"/>
          <w:color w:val="000000"/>
          <w:sz w:val="20"/>
          <w:szCs w:val="20"/>
          <w:u w:color="000000"/>
          <w:bdr w:val="nil"/>
          <w:lang w:eastAsia="it-IT"/>
        </w:rPr>
        <w:t xml:space="preserve">Di seguito </w:t>
      </w:r>
      <w:r w:rsidR="009C41CE" w:rsidRPr="009307D3">
        <w:rPr>
          <w:rFonts w:ascii="Arial" w:eastAsia="Arial Unicode MS" w:hAnsi="Arial" w:cs="Arial Unicode MS"/>
          <w:color w:val="000000"/>
          <w:sz w:val="20"/>
          <w:szCs w:val="20"/>
          <w:u w:color="000000"/>
          <w:bdr w:val="nil"/>
          <w:lang w:eastAsia="it-IT"/>
        </w:rPr>
        <w:t xml:space="preserve">si </w:t>
      </w:r>
      <w:r w:rsidR="002D5C04" w:rsidRPr="009307D3">
        <w:rPr>
          <w:rFonts w:ascii="Arial" w:eastAsia="Arial Unicode MS" w:hAnsi="Arial" w:cs="Arial Unicode MS"/>
          <w:color w:val="000000"/>
          <w:sz w:val="20"/>
          <w:szCs w:val="20"/>
          <w:u w:color="000000"/>
          <w:bdr w:val="nil"/>
          <w:lang w:eastAsia="it-IT"/>
        </w:rPr>
        <w:t xml:space="preserve">riportano </w:t>
      </w:r>
      <w:r w:rsidRPr="009307D3">
        <w:rPr>
          <w:rFonts w:ascii="Arial" w:eastAsia="Arial Unicode MS" w:hAnsi="Arial" w:cs="Arial Unicode MS"/>
          <w:color w:val="000000"/>
          <w:sz w:val="20"/>
          <w:szCs w:val="20"/>
          <w:u w:color="000000"/>
          <w:bdr w:val="nil"/>
          <w:lang w:eastAsia="it-IT"/>
        </w:rPr>
        <w:t xml:space="preserve">alcuni selezionati </w:t>
      </w:r>
      <w:r w:rsidR="002D5C04" w:rsidRPr="009307D3">
        <w:rPr>
          <w:rFonts w:ascii="Arial" w:eastAsia="Arial Unicode MS" w:hAnsi="Arial" w:cs="Arial Unicode MS"/>
          <w:color w:val="000000"/>
          <w:sz w:val="20"/>
          <w:szCs w:val="20"/>
          <w:u w:color="000000"/>
          <w:bdr w:val="nil"/>
          <w:lang w:eastAsia="it-IT"/>
        </w:rPr>
        <w:t xml:space="preserve">estratti </w:t>
      </w:r>
      <w:r w:rsidRPr="009307D3">
        <w:rPr>
          <w:rFonts w:ascii="Arial" w:eastAsia="Arial Unicode MS" w:hAnsi="Arial" w:cs="Arial Unicode MS"/>
          <w:color w:val="000000"/>
          <w:sz w:val="20"/>
          <w:szCs w:val="20"/>
          <w:u w:color="000000"/>
          <w:bdr w:val="nil"/>
          <w:lang w:eastAsia="it-IT"/>
        </w:rPr>
        <w:t xml:space="preserve">del </w:t>
      </w:r>
      <w:r w:rsidR="009C41CE" w:rsidRPr="009307D3">
        <w:rPr>
          <w:rFonts w:ascii="Arial" w:eastAsia="Arial Unicode MS" w:hAnsi="Arial" w:cs="Arial Unicode MS"/>
          <w:color w:val="000000"/>
          <w:sz w:val="20"/>
          <w:szCs w:val="20"/>
          <w:u w:color="000000"/>
          <w:bdr w:val="nil"/>
          <w:lang w:eastAsia="it-IT"/>
        </w:rPr>
        <w:t xml:space="preserve">Piano </w:t>
      </w:r>
      <w:r w:rsidR="009307D3" w:rsidRPr="009307D3">
        <w:rPr>
          <w:rFonts w:ascii="Arial" w:eastAsia="Arial Unicode MS" w:hAnsi="Arial" w:cs="Arial Unicode MS"/>
          <w:color w:val="000000"/>
          <w:sz w:val="20"/>
          <w:szCs w:val="20"/>
          <w:u w:color="000000"/>
          <w:bdr w:val="nil"/>
          <w:lang w:eastAsia="it-IT"/>
        </w:rPr>
        <w:t xml:space="preserve">Nazionale di </w:t>
      </w:r>
      <w:r w:rsidR="00C115BE" w:rsidRPr="009307D3">
        <w:rPr>
          <w:rFonts w:ascii="Arial" w:eastAsia="Arial Unicode MS" w:hAnsi="Arial" w:cs="Arial Unicode MS"/>
          <w:color w:val="000000"/>
          <w:sz w:val="20"/>
          <w:szCs w:val="20"/>
          <w:u w:color="000000"/>
          <w:bdr w:val="nil"/>
          <w:lang w:eastAsia="it-IT"/>
        </w:rPr>
        <w:t>R</w:t>
      </w:r>
      <w:r w:rsidR="009307D3" w:rsidRPr="009307D3">
        <w:rPr>
          <w:rFonts w:ascii="Arial" w:eastAsia="Arial Unicode MS" w:hAnsi="Arial" w:cs="Arial Unicode MS"/>
          <w:color w:val="000000"/>
          <w:sz w:val="20"/>
          <w:szCs w:val="20"/>
          <w:u w:color="000000"/>
          <w:bdr w:val="nil"/>
          <w:lang w:eastAsia="it-IT"/>
        </w:rPr>
        <w:t xml:space="preserve">ipresa e </w:t>
      </w:r>
      <w:r w:rsidR="00C115BE" w:rsidRPr="009307D3">
        <w:rPr>
          <w:rFonts w:ascii="Arial" w:eastAsia="Arial Unicode MS" w:hAnsi="Arial" w:cs="Arial Unicode MS"/>
          <w:color w:val="000000"/>
          <w:sz w:val="20"/>
          <w:szCs w:val="20"/>
          <w:u w:color="000000"/>
          <w:bdr w:val="nil"/>
          <w:lang w:eastAsia="it-IT"/>
        </w:rPr>
        <w:t>R</w:t>
      </w:r>
      <w:r w:rsidR="009307D3" w:rsidRPr="009307D3">
        <w:rPr>
          <w:rFonts w:ascii="Arial" w:eastAsia="Arial Unicode MS" w:hAnsi="Arial" w:cs="Arial Unicode MS"/>
          <w:color w:val="000000"/>
          <w:sz w:val="20"/>
          <w:szCs w:val="20"/>
          <w:u w:color="000000"/>
          <w:bdr w:val="nil"/>
          <w:lang w:eastAsia="it-IT"/>
        </w:rPr>
        <w:t>esilienza (PNRR)</w:t>
      </w:r>
      <w:r w:rsidR="00C115BE" w:rsidRPr="009307D3">
        <w:rPr>
          <w:rFonts w:ascii="Arial" w:eastAsia="Arial Unicode MS" w:hAnsi="Arial" w:cs="Arial Unicode MS"/>
          <w:color w:val="000000"/>
          <w:sz w:val="20"/>
          <w:szCs w:val="20"/>
          <w:u w:color="000000"/>
          <w:bdr w:val="nil"/>
          <w:lang w:eastAsia="it-IT"/>
        </w:rPr>
        <w:t xml:space="preserve"> centrati sulla </w:t>
      </w:r>
      <w:r w:rsidR="001C0518" w:rsidRPr="009307D3">
        <w:rPr>
          <w:rFonts w:ascii="Arial" w:eastAsia="Arial Unicode MS" w:hAnsi="Arial" w:cs="Arial Unicode MS"/>
          <w:color w:val="000000"/>
          <w:sz w:val="20"/>
          <w:szCs w:val="20"/>
          <w:u w:color="000000"/>
          <w:bdr w:val="nil"/>
          <w:lang w:eastAsia="it-IT"/>
        </w:rPr>
        <w:t>“priorità trasversale 3”</w:t>
      </w:r>
      <w:r w:rsidRPr="009307D3">
        <w:rPr>
          <w:rFonts w:ascii="Arial" w:eastAsia="Arial Unicode MS" w:hAnsi="Arial" w:cs="Arial Unicode MS"/>
          <w:color w:val="000000"/>
          <w:sz w:val="20"/>
          <w:szCs w:val="20"/>
          <w:u w:color="000000"/>
          <w:bdr w:val="nil"/>
          <w:lang w:eastAsia="it-IT"/>
        </w:rPr>
        <w:t>.</w:t>
      </w:r>
      <w:r w:rsidR="00C115BE" w:rsidRPr="009307D3">
        <w:rPr>
          <w:rFonts w:ascii="Arial" w:eastAsia="Arial Unicode MS" w:hAnsi="Arial" w:cs="Arial Unicode MS"/>
          <w:color w:val="000000"/>
          <w:sz w:val="20"/>
          <w:szCs w:val="20"/>
          <w:u w:color="000000"/>
          <w:bdr w:val="nil"/>
          <w:lang w:eastAsia="it-IT"/>
        </w:rPr>
        <w:t xml:space="preserve"> </w:t>
      </w:r>
      <w:r w:rsidR="001C0518" w:rsidRPr="009307D3">
        <w:rPr>
          <w:rFonts w:ascii="Arial" w:eastAsia="Arial Unicode MS" w:hAnsi="Arial" w:cs="Arial Unicode MS"/>
          <w:color w:val="000000"/>
          <w:sz w:val="20"/>
          <w:szCs w:val="20"/>
          <w:u w:color="000000"/>
          <w:bdr w:val="nil"/>
          <w:lang w:eastAsia="it-IT"/>
        </w:rPr>
        <w:t xml:space="preserve">I contenuti proposti </w:t>
      </w:r>
      <w:r w:rsidRPr="009307D3">
        <w:rPr>
          <w:rFonts w:ascii="Arial" w:eastAsia="Arial Unicode MS" w:hAnsi="Arial" w:cs="Arial Unicode MS"/>
          <w:color w:val="000000"/>
          <w:sz w:val="20"/>
          <w:szCs w:val="20"/>
          <w:u w:color="000000"/>
          <w:bdr w:val="nil"/>
          <w:lang w:eastAsia="it-IT"/>
        </w:rPr>
        <w:t xml:space="preserve">delineano </w:t>
      </w:r>
      <w:r w:rsidR="002D5C04" w:rsidRPr="009307D3">
        <w:rPr>
          <w:rFonts w:ascii="Arial" w:eastAsia="Arial Unicode MS" w:hAnsi="Arial" w:cs="Arial Unicode MS"/>
          <w:color w:val="000000"/>
          <w:sz w:val="20"/>
          <w:szCs w:val="20"/>
          <w:u w:color="000000"/>
          <w:bdr w:val="nil"/>
          <w:lang w:eastAsia="it-IT"/>
        </w:rPr>
        <w:t xml:space="preserve">le finalità di </w:t>
      </w:r>
      <w:r w:rsidR="001C0518" w:rsidRPr="009307D3">
        <w:rPr>
          <w:rFonts w:ascii="Arial" w:eastAsia="Arial Unicode MS" w:hAnsi="Arial" w:cs="Arial Unicode MS"/>
          <w:color w:val="000000"/>
          <w:sz w:val="20"/>
          <w:szCs w:val="20"/>
          <w:u w:color="000000"/>
          <w:bdr w:val="nil"/>
          <w:lang w:eastAsia="it-IT"/>
        </w:rPr>
        <w:t>ordine generale e le sei diverse Missioni tematiche in cui si articola</w:t>
      </w:r>
      <w:r w:rsidRPr="009307D3">
        <w:rPr>
          <w:rFonts w:ascii="Arial" w:eastAsia="Arial Unicode MS" w:hAnsi="Arial" w:cs="Arial Unicode MS"/>
          <w:color w:val="000000"/>
          <w:sz w:val="20"/>
          <w:szCs w:val="20"/>
          <w:u w:color="000000"/>
          <w:bdr w:val="nil"/>
          <w:lang w:eastAsia="it-IT"/>
        </w:rPr>
        <w:t xml:space="preserve"> il Piano</w:t>
      </w:r>
      <w:r w:rsidR="001C0518" w:rsidRPr="009307D3">
        <w:rPr>
          <w:rFonts w:ascii="Arial" w:eastAsia="Arial Unicode MS" w:hAnsi="Arial" w:cs="Arial Unicode MS"/>
          <w:color w:val="000000"/>
          <w:sz w:val="20"/>
          <w:szCs w:val="20"/>
          <w:u w:color="000000"/>
          <w:bdr w:val="nil"/>
          <w:lang w:eastAsia="it-IT"/>
        </w:rPr>
        <w:t>.</w:t>
      </w:r>
    </w:p>
    <w:p w14:paraId="5E086F48" w14:textId="77777777" w:rsidR="001C0518" w:rsidRPr="009307D3" w:rsidRDefault="001C0518" w:rsidP="00C115BE">
      <w:pPr>
        <w:spacing w:after="120" w:line="240" w:lineRule="auto"/>
        <w:jc w:val="both"/>
        <w:rPr>
          <w:rFonts w:ascii="Arial" w:eastAsia="Arial Unicode MS" w:hAnsi="Arial" w:cs="Arial Unicode MS"/>
          <w:color w:val="000000"/>
          <w:sz w:val="20"/>
          <w:szCs w:val="20"/>
          <w:u w:color="000000"/>
          <w:bdr w:val="nil"/>
          <w:lang w:eastAsia="it-IT"/>
        </w:rPr>
      </w:pPr>
      <w:r w:rsidRPr="009307D3">
        <w:rPr>
          <w:rFonts w:ascii="Arial" w:eastAsia="Arial Unicode MS" w:hAnsi="Arial" w:cs="Arial Unicode MS"/>
          <w:color w:val="000000"/>
          <w:sz w:val="20"/>
          <w:szCs w:val="20"/>
          <w:u w:color="000000"/>
          <w:bdr w:val="nil"/>
          <w:lang w:eastAsia="it-IT"/>
        </w:rPr>
        <w:t>I materiali sono stati estratti principalmente dal documento generale del PNRR predisposto dal Governo Italiano e licenziato nel mese di aprile 2021</w:t>
      </w:r>
      <w:r w:rsidR="00591A5A" w:rsidRPr="009307D3">
        <w:rPr>
          <w:sz w:val="20"/>
        </w:rPr>
        <w:footnoteReference w:id="1"/>
      </w:r>
      <w:r w:rsidRPr="009307D3">
        <w:rPr>
          <w:rFonts w:ascii="Arial" w:eastAsia="Arial Unicode MS" w:hAnsi="Arial" w:cs="Arial Unicode MS"/>
          <w:color w:val="000000"/>
          <w:sz w:val="20"/>
          <w:szCs w:val="20"/>
          <w:u w:color="000000"/>
          <w:bdr w:val="nil"/>
          <w:lang w:eastAsia="it-IT"/>
        </w:rPr>
        <w:t>, e da un</w:t>
      </w:r>
      <w:r w:rsidR="00982E2D" w:rsidRPr="009307D3">
        <w:rPr>
          <w:rFonts w:ascii="Arial" w:eastAsia="Arial Unicode MS" w:hAnsi="Arial" w:cs="Arial Unicode MS"/>
          <w:color w:val="000000"/>
          <w:sz w:val="20"/>
          <w:szCs w:val="20"/>
          <w:u w:color="000000"/>
          <w:bdr w:val="nil"/>
          <w:lang w:eastAsia="it-IT"/>
        </w:rPr>
        <w:t xml:space="preserve"> </w:t>
      </w:r>
      <w:r w:rsidR="00422ED6" w:rsidRPr="009307D3">
        <w:rPr>
          <w:rFonts w:ascii="Arial" w:eastAsia="Arial Unicode MS" w:hAnsi="Arial" w:cs="Arial Unicode MS"/>
          <w:color w:val="000000"/>
          <w:sz w:val="20"/>
          <w:szCs w:val="20"/>
          <w:u w:color="000000"/>
          <w:bdr w:val="nil"/>
          <w:lang w:eastAsia="it-IT"/>
        </w:rPr>
        <w:t xml:space="preserve">articolato </w:t>
      </w:r>
      <w:r w:rsidRPr="009307D3">
        <w:rPr>
          <w:rFonts w:ascii="Arial" w:eastAsia="Arial Unicode MS" w:hAnsi="Arial" w:cs="Arial Unicode MS"/>
          <w:color w:val="000000"/>
          <w:sz w:val="20"/>
          <w:szCs w:val="20"/>
          <w:u w:color="000000"/>
          <w:bdr w:val="nil"/>
          <w:lang w:eastAsia="it-IT"/>
        </w:rPr>
        <w:t xml:space="preserve">Dossier predisposto </w:t>
      </w:r>
      <w:r w:rsidR="009307D3" w:rsidRPr="009307D3">
        <w:rPr>
          <w:rFonts w:ascii="Arial" w:eastAsia="Arial Unicode MS" w:hAnsi="Arial" w:cs="Arial Unicode MS"/>
          <w:color w:val="000000"/>
          <w:sz w:val="20"/>
          <w:szCs w:val="20"/>
          <w:u w:color="000000"/>
          <w:bdr w:val="nil"/>
          <w:lang w:eastAsia="it-IT"/>
        </w:rPr>
        <w:t xml:space="preserve">nel luglio 2021 </w:t>
      </w:r>
      <w:r w:rsidRPr="009307D3">
        <w:rPr>
          <w:rFonts w:ascii="Arial" w:eastAsia="Arial Unicode MS" w:hAnsi="Arial" w:cs="Arial Unicode MS"/>
          <w:color w:val="000000"/>
          <w:sz w:val="20"/>
          <w:szCs w:val="20"/>
          <w:u w:color="000000"/>
          <w:bdr w:val="nil"/>
          <w:lang w:eastAsia="it-IT"/>
        </w:rPr>
        <w:t>dall’Ufficio Studi di Camera e Senato</w:t>
      </w:r>
      <w:r w:rsidR="00591A5A" w:rsidRPr="009307D3">
        <w:rPr>
          <w:sz w:val="20"/>
          <w:vertAlign w:val="superscript"/>
        </w:rPr>
        <w:footnoteReference w:id="2"/>
      </w:r>
      <w:r w:rsidRPr="009307D3">
        <w:rPr>
          <w:rFonts w:ascii="Arial" w:eastAsia="Arial Unicode MS" w:hAnsi="Arial" w:cs="Arial Unicode MS"/>
          <w:color w:val="000000"/>
          <w:sz w:val="20"/>
          <w:szCs w:val="20"/>
          <w:u w:color="000000"/>
          <w:bdr w:val="nil"/>
          <w:lang w:eastAsia="it-IT"/>
        </w:rPr>
        <w:t xml:space="preserve">. </w:t>
      </w:r>
    </w:p>
    <w:p w14:paraId="04A20E3A" w14:textId="77777777" w:rsidR="00E37316" w:rsidRPr="009307D3" w:rsidRDefault="001C0518" w:rsidP="00C115BE">
      <w:pPr>
        <w:spacing w:after="120" w:line="240" w:lineRule="auto"/>
        <w:jc w:val="both"/>
        <w:rPr>
          <w:rFonts w:ascii="Arial" w:eastAsia="Arial Unicode MS" w:hAnsi="Arial" w:cs="Arial Unicode MS"/>
          <w:color w:val="000000"/>
          <w:sz w:val="20"/>
          <w:szCs w:val="20"/>
          <w:u w:color="000000"/>
          <w:bdr w:val="nil"/>
          <w:lang w:eastAsia="it-IT"/>
        </w:rPr>
      </w:pPr>
      <w:r w:rsidRPr="009307D3">
        <w:rPr>
          <w:rFonts w:ascii="Arial" w:eastAsia="Arial Unicode MS" w:hAnsi="Arial" w:cs="Arial Unicode MS"/>
          <w:color w:val="000000"/>
          <w:sz w:val="20"/>
          <w:szCs w:val="20"/>
          <w:u w:color="000000"/>
          <w:bdr w:val="nil"/>
          <w:lang w:eastAsia="it-IT"/>
        </w:rPr>
        <w:t>L</w:t>
      </w:r>
      <w:r w:rsidR="004C2C6B" w:rsidRPr="009307D3">
        <w:rPr>
          <w:rFonts w:ascii="Arial" w:eastAsia="Arial Unicode MS" w:hAnsi="Arial" w:cs="Arial Unicode MS"/>
          <w:color w:val="000000"/>
          <w:sz w:val="20"/>
          <w:szCs w:val="20"/>
          <w:u w:color="000000"/>
          <w:bdr w:val="nil"/>
          <w:lang w:eastAsia="it-IT"/>
        </w:rPr>
        <w:t xml:space="preserve">o scopo </w:t>
      </w:r>
      <w:r w:rsidRPr="009307D3">
        <w:rPr>
          <w:rFonts w:ascii="Arial" w:eastAsia="Arial Unicode MS" w:hAnsi="Arial" w:cs="Arial Unicode MS"/>
          <w:color w:val="000000"/>
          <w:sz w:val="20"/>
          <w:szCs w:val="20"/>
          <w:u w:color="000000"/>
          <w:bdr w:val="nil"/>
          <w:lang w:eastAsia="it-IT"/>
        </w:rPr>
        <w:t xml:space="preserve">di questo </w:t>
      </w:r>
      <w:r w:rsidR="008E5EA5" w:rsidRPr="009307D3">
        <w:rPr>
          <w:rFonts w:ascii="Arial" w:eastAsia="Arial Unicode MS" w:hAnsi="Arial" w:cs="Arial Unicode MS"/>
          <w:color w:val="000000"/>
          <w:sz w:val="20"/>
          <w:szCs w:val="20"/>
          <w:u w:color="000000"/>
          <w:bdr w:val="nil"/>
          <w:lang w:eastAsia="it-IT"/>
        </w:rPr>
        <w:t>brev</w:t>
      </w:r>
      <w:r w:rsidR="009307D3" w:rsidRPr="009307D3">
        <w:rPr>
          <w:rFonts w:ascii="Arial" w:eastAsia="Arial Unicode MS" w:hAnsi="Arial" w:cs="Arial Unicode MS"/>
          <w:color w:val="000000"/>
          <w:sz w:val="20"/>
          <w:szCs w:val="20"/>
          <w:u w:color="000000"/>
          <w:bdr w:val="nil"/>
          <w:lang w:eastAsia="it-IT"/>
        </w:rPr>
        <w:t xml:space="preserve">issimo </w:t>
      </w:r>
      <w:r w:rsidRPr="009307D3">
        <w:rPr>
          <w:rFonts w:ascii="Arial" w:eastAsia="Arial Unicode MS" w:hAnsi="Arial" w:cs="Arial Unicode MS"/>
          <w:color w:val="000000"/>
          <w:sz w:val="20"/>
          <w:szCs w:val="20"/>
          <w:u w:color="000000"/>
          <w:bdr w:val="nil"/>
          <w:lang w:eastAsia="it-IT"/>
        </w:rPr>
        <w:t xml:space="preserve">contributo </w:t>
      </w:r>
      <w:r w:rsidR="004C2C6B" w:rsidRPr="009307D3">
        <w:rPr>
          <w:rFonts w:ascii="Arial" w:eastAsia="Arial Unicode MS" w:hAnsi="Arial" w:cs="Arial Unicode MS"/>
          <w:color w:val="000000"/>
          <w:sz w:val="20"/>
          <w:szCs w:val="20"/>
          <w:u w:color="000000"/>
          <w:bdr w:val="nil"/>
          <w:lang w:eastAsia="it-IT"/>
        </w:rPr>
        <w:t xml:space="preserve">attiene principalmente </w:t>
      </w:r>
      <w:r w:rsidR="008E5EA5" w:rsidRPr="009307D3">
        <w:rPr>
          <w:rFonts w:ascii="Arial" w:eastAsia="Arial Unicode MS" w:hAnsi="Arial" w:cs="Arial Unicode MS"/>
          <w:color w:val="000000"/>
          <w:sz w:val="20"/>
          <w:szCs w:val="20"/>
          <w:u w:color="000000"/>
          <w:bdr w:val="nil"/>
          <w:lang w:eastAsia="it-IT"/>
        </w:rPr>
        <w:t xml:space="preserve">al tracciamento </w:t>
      </w:r>
      <w:r w:rsidR="004C2C6B" w:rsidRPr="009307D3">
        <w:rPr>
          <w:rFonts w:ascii="Arial" w:eastAsia="Arial Unicode MS" w:hAnsi="Arial" w:cs="Arial Unicode MS"/>
          <w:color w:val="000000"/>
          <w:sz w:val="20"/>
          <w:szCs w:val="20"/>
          <w:u w:color="000000"/>
          <w:bdr w:val="nil"/>
          <w:lang w:eastAsia="it-IT"/>
        </w:rPr>
        <w:t>dei nessi</w:t>
      </w:r>
      <w:r w:rsidRPr="009307D3">
        <w:rPr>
          <w:rFonts w:ascii="Arial" w:eastAsia="Arial Unicode MS" w:hAnsi="Arial" w:cs="Arial Unicode MS"/>
          <w:color w:val="000000"/>
          <w:sz w:val="20"/>
          <w:szCs w:val="20"/>
          <w:u w:color="000000"/>
          <w:bdr w:val="nil"/>
          <w:lang w:eastAsia="it-IT"/>
        </w:rPr>
        <w:t xml:space="preserve"> fra il Modello Operazionale (o </w:t>
      </w:r>
      <w:r w:rsidRPr="009307D3">
        <w:rPr>
          <w:rFonts w:ascii="Arial" w:eastAsia="Arial Unicode MS" w:hAnsi="Arial" w:cs="Arial Unicode MS"/>
          <w:i/>
          <w:color w:val="000000"/>
          <w:sz w:val="20"/>
          <w:szCs w:val="20"/>
          <w:u w:color="000000"/>
          <w:bdr w:val="nil"/>
          <w:lang w:eastAsia="it-IT"/>
        </w:rPr>
        <w:t>framework</w:t>
      </w:r>
      <w:r w:rsidRPr="009307D3">
        <w:rPr>
          <w:rFonts w:ascii="Arial" w:eastAsia="Arial Unicode MS" w:hAnsi="Arial" w:cs="Arial Unicode MS"/>
          <w:color w:val="000000"/>
          <w:sz w:val="20"/>
          <w:szCs w:val="20"/>
          <w:u w:color="000000"/>
          <w:bdr w:val="nil"/>
          <w:lang w:eastAsia="it-IT"/>
        </w:rPr>
        <w:t xml:space="preserve"> di riferimento</w:t>
      </w:r>
      <w:r w:rsidR="004C2C6B" w:rsidRPr="009307D3">
        <w:rPr>
          <w:rFonts w:ascii="Arial" w:eastAsia="Arial Unicode MS" w:hAnsi="Arial" w:cs="Arial Unicode MS"/>
          <w:color w:val="000000"/>
          <w:sz w:val="20"/>
          <w:szCs w:val="20"/>
          <w:u w:color="000000"/>
          <w:bdr w:val="nil"/>
          <w:lang w:eastAsia="it-IT"/>
        </w:rPr>
        <w:t>)</w:t>
      </w:r>
      <w:r w:rsidR="008E5EA5" w:rsidRPr="009307D3">
        <w:rPr>
          <w:rFonts w:ascii="Arial" w:eastAsia="Arial Unicode MS" w:hAnsi="Arial" w:cs="Arial Unicode MS"/>
          <w:color w:val="000000"/>
          <w:sz w:val="20"/>
          <w:szCs w:val="20"/>
          <w:u w:color="000000"/>
          <w:bdr w:val="nil"/>
          <w:lang w:eastAsia="it-IT"/>
        </w:rPr>
        <w:t xml:space="preserve">, presentato oltre, </w:t>
      </w:r>
      <w:r w:rsidR="00E37316" w:rsidRPr="009307D3">
        <w:rPr>
          <w:rFonts w:ascii="Arial" w:eastAsia="Arial Unicode MS" w:hAnsi="Arial" w:cs="Arial Unicode MS"/>
          <w:color w:val="000000"/>
          <w:sz w:val="20"/>
          <w:szCs w:val="20"/>
          <w:u w:color="000000"/>
          <w:bdr w:val="nil"/>
          <w:lang w:eastAsia="it-IT"/>
        </w:rPr>
        <w:t xml:space="preserve">e </w:t>
      </w:r>
      <w:r w:rsidR="008E5EA5" w:rsidRPr="009307D3">
        <w:rPr>
          <w:rFonts w:ascii="Arial" w:eastAsia="Arial Unicode MS" w:hAnsi="Arial" w:cs="Arial Unicode MS"/>
          <w:color w:val="000000"/>
          <w:sz w:val="20"/>
          <w:szCs w:val="20"/>
          <w:u w:color="000000"/>
          <w:bdr w:val="nil"/>
          <w:lang w:eastAsia="it-IT"/>
        </w:rPr>
        <w:t xml:space="preserve">la policy </w:t>
      </w:r>
      <w:r w:rsidRPr="009307D3">
        <w:rPr>
          <w:rFonts w:ascii="Arial" w:eastAsia="Arial Unicode MS" w:hAnsi="Arial" w:cs="Arial Unicode MS"/>
          <w:color w:val="000000"/>
          <w:sz w:val="20"/>
          <w:szCs w:val="20"/>
          <w:u w:color="000000"/>
          <w:bdr w:val="nil"/>
          <w:lang w:eastAsia="it-IT"/>
        </w:rPr>
        <w:t>cui questo si è ispirato.</w:t>
      </w:r>
      <w:r w:rsidR="004C2C6B" w:rsidRPr="009307D3">
        <w:rPr>
          <w:rFonts w:ascii="Arial" w:eastAsia="Arial Unicode MS" w:hAnsi="Arial" w:cs="Arial Unicode MS"/>
          <w:color w:val="000000"/>
          <w:sz w:val="20"/>
          <w:szCs w:val="20"/>
          <w:u w:color="000000"/>
          <w:bdr w:val="nil"/>
          <w:lang w:eastAsia="it-IT"/>
        </w:rPr>
        <w:t xml:space="preserve"> </w:t>
      </w:r>
    </w:p>
    <w:p w14:paraId="58087E37" w14:textId="77777777" w:rsidR="009C41CE" w:rsidRPr="00E37316" w:rsidRDefault="001C0518" w:rsidP="00C115BE">
      <w:pPr>
        <w:spacing w:after="120" w:line="240" w:lineRule="auto"/>
        <w:jc w:val="both"/>
        <w:rPr>
          <w:rFonts w:ascii="Arial" w:eastAsia="Arial Unicode MS" w:hAnsi="Arial" w:cs="Arial Unicode MS"/>
          <w:color w:val="000000"/>
          <w:sz w:val="18"/>
          <w:szCs w:val="20"/>
          <w:u w:color="000000"/>
          <w:bdr w:val="nil"/>
          <w:lang w:eastAsia="it-IT"/>
        </w:rPr>
      </w:pPr>
      <w:r w:rsidRPr="009307D3">
        <w:rPr>
          <w:rFonts w:ascii="Arial" w:eastAsia="Arial Unicode MS" w:hAnsi="Arial" w:cs="Arial Unicode MS"/>
          <w:color w:val="000000"/>
          <w:sz w:val="20"/>
          <w:szCs w:val="20"/>
          <w:u w:color="000000"/>
          <w:bdr w:val="nil"/>
          <w:lang w:eastAsia="it-IT"/>
        </w:rPr>
        <w:t xml:space="preserve">Naturalmente, </w:t>
      </w:r>
      <w:r w:rsidR="008E5EA5" w:rsidRPr="009307D3">
        <w:rPr>
          <w:rFonts w:ascii="Arial" w:eastAsia="Arial Unicode MS" w:hAnsi="Arial" w:cs="Arial Unicode MS"/>
          <w:color w:val="000000"/>
          <w:sz w:val="20"/>
          <w:szCs w:val="20"/>
          <w:u w:color="000000"/>
          <w:bdr w:val="nil"/>
          <w:lang w:eastAsia="it-IT"/>
        </w:rPr>
        <w:t xml:space="preserve">data la funzione molto specifica, </w:t>
      </w:r>
      <w:r w:rsidRPr="009307D3">
        <w:rPr>
          <w:rFonts w:ascii="Arial" w:eastAsia="Arial Unicode MS" w:hAnsi="Arial" w:cs="Arial Unicode MS"/>
          <w:color w:val="000000"/>
          <w:sz w:val="20"/>
          <w:szCs w:val="20"/>
          <w:u w:color="000000"/>
          <w:bdr w:val="nil"/>
          <w:lang w:eastAsia="it-IT"/>
        </w:rPr>
        <w:t xml:space="preserve">il materiale proposto non </w:t>
      </w:r>
      <w:r w:rsidR="008E5EA5" w:rsidRPr="009307D3">
        <w:rPr>
          <w:rFonts w:ascii="Arial" w:eastAsia="Arial Unicode MS" w:hAnsi="Arial" w:cs="Arial Unicode MS"/>
          <w:color w:val="000000"/>
          <w:sz w:val="20"/>
          <w:szCs w:val="20"/>
          <w:u w:color="000000"/>
          <w:bdr w:val="nil"/>
          <w:lang w:eastAsia="it-IT"/>
        </w:rPr>
        <w:t xml:space="preserve">è </w:t>
      </w:r>
      <w:r w:rsidR="00422ED6" w:rsidRPr="009307D3">
        <w:rPr>
          <w:rFonts w:ascii="Arial" w:eastAsia="Arial Unicode MS" w:hAnsi="Arial" w:cs="Arial Unicode MS"/>
          <w:color w:val="000000"/>
          <w:sz w:val="20"/>
          <w:szCs w:val="20"/>
          <w:u w:color="000000"/>
          <w:bdr w:val="nil"/>
          <w:lang w:eastAsia="it-IT"/>
        </w:rPr>
        <w:t xml:space="preserve">minimamente </w:t>
      </w:r>
      <w:r w:rsidR="00E35422" w:rsidRPr="009307D3">
        <w:rPr>
          <w:rFonts w:ascii="Arial" w:eastAsia="Arial Unicode MS" w:hAnsi="Arial" w:cs="Arial Unicode MS"/>
          <w:color w:val="000000"/>
          <w:sz w:val="20"/>
          <w:szCs w:val="20"/>
          <w:u w:color="000000"/>
          <w:bdr w:val="nil"/>
          <w:lang w:eastAsia="it-IT"/>
        </w:rPr>
        <w:t xml:space="preserve">rappresentativo </w:t>
      </w:r>
      <w:r w:rsidR="00422ED6" w:rsidRPr="009307D3">
        <w:rPr>
          <w:rFonts w:ascii="Arial" w:eastAsia="Arial Unicode MS" w:hAnsi="Arial" w:cs="Arial Unicode MS"/>
          <w:color w:val="000000"/>
          <w:sz w:val="20"/>
          <w:szCs w:val="20"/>
          <w:u w:color="000000"/>
          <w:bdr w:val="nil"/>
          <w:lang w:eastAsia="it-IT"/>
        </w:rPr>
        <w:t xml:space="preserve">dell’articolazione e dei </w:t>
      </w:r>
      <w:r w:rsidRPr="009307D3">
        <w:rPr>
          <w:rFonts w:ascii="Arial" w:eastAsia="Arial Unicode MS" w:hAnsi="Arial" w:cs="Arial Unicode MS"/>
          <w:color w:val="000000"/>
          <w:sz w:val="20"/>
          <w:szCs w:val="20"/>
          <w:u w:color="000000"/>
          <w:bdr w:val="nil"/>
          <w:lang w:eastAsia="it-IT"/>
        </w:rPr>
        <w:t xml:space="preserve">contenuti </w:t>
      </w:r>
      <w:r w:rsidR="008E5EA5" w:rsidRPr="009307D3">
        <w:rPr>
          <w:rFonts w:ascii="Arial" w:eastAsia="Arial Unicode MS" w:hAnsi="Arial" w:cs="Arial Unicode MS"/>
          <w:color w:val="000000"/>
          <w:sz w:val="20"/>
          <w:szCs w:val="20"/>
          <w:u w:color="000000"/>
          <w:bdr w:val="nil"/>
          <w:lang w:eastAsia="it-IT"/>
        </w:rPr>
        <w:t xml:space="preserve">più complessivi </w:t>
      </w:r>
      <w:r w:rsidRPr="009307D3">
        <w:rPr>
          <w:rFonts w:ascii="Arial" w:eastAsia="Arial Unicode MS" w:hAnsi="Arial" w:cs="Arial Unicode MS"/>
          <w:color w:val="000000"/>
          <w:sz w:val="20"/>
          <w:szCs w:val="20"/>
          <w:u w:color="000000"/>
          <w:bdr w:val="nil"/>
          <w:lang w:eastAsia="it-IT"/>
        </w:rPr>
        <w:t xml:space="preserve">del </w:t>
      </w:r>
      <w:r w:rsidR="00E35422" w:rsidRPr="009307D3">
        <w:rPr>
          <w:rFonts w:ascii="Arial" w:eastAsia="Arial Unicode MS" w:hAnsi="Arial" w:cs="Arial Unicode MS"/>
          <w:color w:val="000000"/>
          <w:sz w:val="20"/>
          <w:szCs w:val="20"/>
          <w:u w:color="000000"/>
          <w:bdr w:val="nil"/>
          <w:lang w:eastAsia="it-IT"/>
        </w:rPr>
        <w:t>Piano</w:t>
      </w:r>
      <w:r w:rsidRPr="009307D3">
        <w:rPr>
          <w:rFonts w:ascii="Arial" w:eastAsia="Arial Unicode MS" w:hAnsi="Arial" w:cs="Arial Unicode MS"/>
          <w:color w:val="000000"/>
          <w:sz w:val="20"/>
          <w:szCs w:val="20"/>
          <w:u w:color="000000"/>
          <w:bdr w:val="nil"/>
          <w:lang w:eastAsia="it-IT"/>
        </w:rPr>
        <w:t>.</w:t>
      </w:r>
      <w:r w:rsidRPr="00E37316">
        <w:rPr>
          <w:rFonts w:ascii="Arial" w:eastAsia="Arial Unicode MS" w:hAnsi="Arial" w:cs="Arial Unicode MS"/>
          <w:color w:val="000000"/>
          <w:sz w:val="18"/>
          <w:szCs w:val="20"/>
          <w:u w:color="000000"/>
          <w:bdr w:val="nil"/>
          <w:lang w:eastAsia="it-IT"/>
        </w:rPr>
        <w:t xml:space="preserve">   </w:t>
      </w:r>
    </w:p>
    <w:p w14:paraId="58DEF831" w14:textId="77777777" w:rsidR="00421C93" w:rsidRDefault="00421C93" w:rsidP="008A05B0">
      <w:pPr>
        <w:rPr>
          <w:rFonts w:ascii="Times New Roman" w:hAnsi="Times New Roman" w:cs="Times New Roman"/>
        </w:rPr>
      </w:pPr>
    </w:p>
    <w:p w14:paraId="7CE4656F"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t>CONTENUTI GENERALI</w:t>
      </w:r>
    </w:p>
    <w:p w14:paraId="61145A45"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BD3BF9">
        <w:rPr>
          <w:rFonts w:ascii="Arial" w:eastAsia="Arial Unicode MS" w:hAnsi="Arial" w:cs="Arial Unicode MS"/>
          <w:color w:val="000000"/>
          <w:sz w:val="20"/>
          <w:szCs w:val="20"/>
          <w:u w:color="000000"/>
          <w:bdr w:val="nil"/>
          <w:lang w:eastAsia="it-IT"/>
        </w:rPr>
        <w:t>“Un compito essenziale del Piano Nazionale di Ripresa e Resilienza è accomp</w:t>
      </w:r>
      <w:r w:rsidRPr="00BD3BF9">
        <w:rPr>
          <w:rFonts w:ascii="Arial" w:eastAsia="Arial Unicode MS" w:hAnsi="Arial" w:cs="Arial Unicode MS"/>
          <w:i/>
          <w:color w:val="000000"/>
          <w:sz w:val="20"/>
          <w:szCs w:val="20"/>
          <w:u w:color="000000"/>
          <w:bdr w:val="nil"/>
          <w:lang w:eastAsia="it-IT"/>
        </w:rPr>
        <w:t>agnare una nuova stagione di convergenza tra Sud e Centro-Nord, per affrontare un nodo storico dello sviluppo del Paese</w:t>
      </w:r>
      <w:r w:rsidRPr="00BD3BF9">
        <w:rPr>
          <w:rFonts w:ascii="Arial" w:eastAsia="Arial Unicode MS" w:hAnsi="Arial" w:cs="Arial Unicode MS"/>
          <w:color w:val="000000"/>
          <w:sz w:val="20"/>
          <w:szCs w:val="20"/>
          <w:u w:color="000000"/>
          <w:bdr w:val="nil"/>
          <w:lang w:eastAsia="it-IT"/>
        </w:rPr>
        <w:t>. Dopo un periodo di avvicinamento delle aree del Paese dagli anni del secondo dopoguerra fino a metà degli anni ‘70, il processo di convergenza si è arrestato.</w:t>
      </w:r>
      <w:r w:rsidR="00427DAD">
        <w:rPr>
          <w:rFonts w:ascii="Arial" w:eastAsia="Arial Unicode MS" w:hAnsi="Arial" w:cs="Arial Unicode MS"/>
          <w:color w:val="000000"/>
          <w:sz w:val="20"/>
          <w:szCs w:val="20"/>
          <w:u w:color="000000"/>
          <w:bdr w:val="nil"/>
          <w:lang w:eastAsia="it-IT"/>
        </w:rPr>
        <w:t xml:space="preserve"> </w:t>
      </w:r>
      <w:r w:rsidRPr="00BD3BF9">
        <w:rPr>
          <w:rFonts w:ascii="Arial" w:eastAsia="Arial Unicode MS" w:hAnsi="Arial" w:cs="Arial Unicode MS"/>
          <w:color w:val="000000"/>
          <w:sz w:val="20"/>
          <w:szCs w:val="20"/>
          <w:u w:color="000000"/>
          <w:bdr w:val="nil"/>
          <w:lang w:eastAsia="it-IT"/>
        </w:rPr>
        <w:t xml:space="preserve">Sono ormai più di quarant’anni che il divario, in termini di </w:t>
      </w:r>
      <w:r w:rsidRPr="00BD3BF9">
        <w:rPr>
          <w:rFonts w:ascii="Arial" w:eastAsia="Arial Unicode MS" w:hAnsi="Arial" w:cs="Arial Unicode MS"/>
          <w:i/>
          <w:color w:val="000000"/>
          <w:sz w:val="20"/>
          <w:szCs w:val="20"/>
          <w:u w:color="000000"/>
          <w:bdr w:val="nil"/>
          <w:lang w:eastAsia="it-IT"/>
        </w:rPr>
        <w:t>Pil pro capite</w:t>
      </w:r>
      <w:r w:rsidRPr="00BD3BF9">
        <w:rPr>
          <w:rFonts w:ascii="Arial" w:eastAsia="Arial Unicode MS" w:hAnsi="Arial" w:cs="Arial Unicode MS"/>
          <w:color w:val="000000"/>
          <w:sz w:val="20"/>
          <w:szCs w:val="20"/>
          <w:u w:color="000000"/>
          <w:bdr w:val="nil"/>
          <w:lang w:eastAsia="it-IT"/>
        </w:rPr>
        <w:t>, è rimasto sostanzialmente inalterato, se non aumentato […].</w:t>
      </w:r>
    </w:p>
    <w:p w14:paraId="64D7E826"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BD3BF9">
        <w:rPr>
          <w:rFonts w:ascii="Arial" w:eastAsia="Arial Unicode MS" w:hAnsi="Arial" w:cs="Arial Unicode MS"/>
          <w:color w:val="000000"/>
          <w:sz w:val="20"/>
          <w:szCs w:val="20"/>
          <w:u w:color="000000"/>
          <w:bdr w:val="nil"/>
          <w:lang w:eastAsia="it-IT"/>
        </w:rPr>
        <w:t xml:space="preserve">Il Mezzogiorno è caratterizzato non solo da un più basso livello di Pil pro capite rispetto al Centro-Nord, ma anche da una più bassa produttività, </w:t>
      </w:r>
      <w:r w:rsidRPr="00BD3BF9">
        <w:rPr>
          <w:rFonts w:ascii="Arial" w:eastAsia="Arial Unicode MS" w:hAnsi="Arial" w:cs="Arial Unicode MS"/>
          <w:i/>
          <w:color w:val="000000"/>
          <w:sz w:val="20"/>
          <w:szCs w:val="20"/>
          <w:u w:color="000000"/>
          <w:bdr w:val="nil"/>
          <w:lang w:eastAsia="it-IT"/>
        </w:rPr>
        <w:t>qualità e quantità del capitale umano</w:t>
      </w:r>
      <w:r w:rsidRPr="00BD3BF9">
        <w:rPr>
          <w:rFonts w:ascii="Arial" w:eastAsia="Arial Unicode MS" w:hAnsi="Arial" w:cs="Arial Unicode MS"/>
          <w:color w:val="000000"/>
          <w:sz w:val="20"/>
          <w:szCs w:val="20"/>
          <w:u w:color="000000"/>
          <w:bdr w:val="nil"/>
          <w:lang w:eastAsia="it-IT"/>
        </w:rPr>
        <w:t>, delle infrastrutture e dei servizi offerti dalla Pubblica Amministrazione</w:t>
      </w:r>
      <w:r w:rsidR="00427DAD">
        <w:rPr>
          <w:rFonts w:ascii="Arial" w:eastAsia="Arial Unicode MS" w:hAnsi="Arial" w:cs="Arial Unicode MS"/>
          <w:color w:val="000000"/>
          <w:sz w:val="20"/>
          <w:szCs w:val="20"/>
          <w:u w:color="000000"/>
          <w:bdr w:val="nil"/>
          <w:lang w:eastAsia="it-IT"/>
        </w:rPr>
        <w:t xml:space="preserve">. </w:t>
      </w:r>
      <w:r w:rsidRPr="00BD3BF9">
        <w:rPr>
          <w:rFonts w:ascii="Arial" w:eastAsia="Arial Unicode MS" w:hAnsi="Arial" w:cs="Arial Unicode MS"/>
          <w:color w:val="000000"/>
          <w:sz w:val="20"/>
          <w:szCs w:val="20"/>
          <w:u w:color="000000"/>
          <w:bdr w:val="nil"/>
          <w:lang w:eastAsia="it-IT"/>
        </w:rPr>
        <w:t>Tra il 2008 e il 2018, la spesa pubblica per investimenti nel Mezzogiorno si è più che dimezzata ed è passata da 21 a poco più di 10 miliardi.</w:t>
      </w:r>
      <w:r w:rsidR="00427DAD">
        <w:rPr>
          <w:rFonts w:ascii="Arial" w:eastAsia="Arial Unicode MS" w:hAnsi="Arial" w:cs="Arial Unicode MS"/>
          <w:color w:val="000000"/>
          <w:sz w:val="20"/>
          <w:szCs w:val="20"/>
          <w:u w:color="000000"/>
          <w:bdr w:val="nil"/>
          <w:lang w:eastAsia="it-IT"/>
        </w:rPr>
        <w:t xml:space="preserve"> </w:t>
      </w:r>
      <w:r w:rsidRPr="00BD3BF9">
        <w:rPr>
          <w:rFonts w:ascii="Arial" w:eastAsia="Arial Unicode MS" w:hAnsi="Arial" w:cs="Arial Unicode MS"/>
          <w:color w:val="000000"/>
          <w:sz w:val="20"/>
          <w:szCs w:val="20"/>
          <w:u w:color="000000"/>
          <w:bdr w:val="nil"/>
          <w:lang w:eastAsia="it-IT"/>
        </w:rPr>
        <w:t xml:space="preserve">Dalla persistenza dei divari territoriali derivano </w:t>
      </w:r>
      <w:r w:rsidRPr="00BD3BF9">
        <w:rPr>
          <w:rFonts w:ascii="Arial" w:eastAsia="Arial Unicode MS" w:hAnsi="Arial" w:cs="Arial Unicode MS"/>
          <w:i/>
          <w:color w:val="000000"/>
          <w:sz w:val="20"/>
          <w:szCs w:val="20"/>
          <w:u w:color="000000"/>
          <w:bdr w:val="nil"/>
          <w:lang w:eastAsia="it-IT"/>
        </w:rPr>
        <w:t>scarse opportunità lavorative e la crescita dell’emigrazione</w:t>
      </w:r>
      <w:r w:rsidRPr="00BD3BF9">
        <w:rPr>
          <w:rFonts w:ascii="Arial" w:eastAsia="Arial Unicode MS" w:hAnsi="Arial" w:cs="Arial Unicode MS"/>
          <w:color w:val="000000"/>
          <w:sz w:val="20"/>
          <w:szCs w:val="20"/>
          <w:u w:color="000000"/>
          <w:bdr w:val="nil"/>
          <w:lang w:eastAsia="it-IT"/>
        </w:rPr>
        <w:t>, in particolare giovanile e qualificata, verso le aree più ricche del Paese e verso l’estero.</w:t>
      </w:r>
    </w:p>
    <w:p w14:paraId="49F1E6E6"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BD3BF9">
        <w:rPr>
          <w:rFonts w:ascii="Arial" w:eastAsia="Arial Unicode MS" w:hAnsi="Arial" w:cs="Arial Unicode MS"/>
          <w:color w:val="000000"/>
          <w:sz w:val="20"/>
          <w:szCs w:val="20"/>
          <w:u w:color="000000"/>
          <w:bdr w:val="nil"/>
          <w:lang w:eastAsia="it-IT"/>
        </w:rPr>
        <w:t>Questo genera un ulteriore impoverimento del capitale umano residente al Sud e riduce le possibilità di uno sviluppo autonomo dell’area”</w:t>
      </w:r>
      <w:r w:rsidR="00422ED6" w:rsidRPr="00E35422">
        <w:rPr>
          <w:rFonts w:ascii="Arial" w:hAnsi="Arial" w:cs="Arial"/>
          <w:vertAlign w:val="superscript"/>
        </w:rPr>
        <w:footnoteReference w:id="3"/>
      </w:r>
      <w:r w:rsidRPr="00BD3BF9">
        <w:rPr>
          <w:rFonts w:ascii="Arial" w:eastAsia="Arial Unicode MS" w:hAnsi="Arial" w:cs="Arial Unicode MS"/>
          <w:color w:val="000000"/>
          <w:sz w:val="20"/>
          <w:szCs w:val="20"/>
          <w:u w:color="000000"/>
          <w:bdr w:val="nil"/>
          <w:lang w:eastAsia="it-IT"/>
        </w:rPr>
        <w:t>.</w:t>
      </w:r>
    </w:p>
    <w:p w14:paraId="6033F160" w14:textId="77777777" w:rsidR="008A05B0" w:rsidRDefault="008A05B0" w:rsidP="008A05B0">
      <w:pPr>
        <w:rPr>
          <w:rFonts w:ascii="Times New Roman" w:hAnsi="Times New Roman" w:cs="Times New Roman"/>
        </w:rPr>
      </w:pPr>
    </w:p>
    <w:p w14:paraId="43BFD853" w14:textId="77777777" w:rsidR="008A05B0" w:rsidRPr="00E35422" w:rsidRDefault="000A1E4A" w:rsidP="00E35422">
      <w:pPr>
        <w:tabs>
          <w:tab w:val="left" w:pos="284"/>
        </w:tabs>
        <w:spacing w:after="120" w:line="240" w:lineRule="auto"/>
        <w:jc w:val="both"/>
        <w:rPr>
          <w:rFonts w:ascii="Arial" w:hAnsi="Arial" w:cs="Arial"/>
          <w:b/>
        </w:rPr>
      </w:pPr>
      <w:r w:rsidRPr="00E35422">
        <w:rPr>
          <w:rFonts w:ascii="Arial" w:hAnsi="Arial" w:cs="Arial"/>
          <w:b/>
        </w:rPr>
        <w:t>MISSIONI</w:t>
      </w:r>
    </w:p>
    <w:p w14:paraId="31DAC9EF"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BD3BF9">
        <w:rPr>
          <w:rFonts w:ascii="Arial" w:eastAsia="Arial Unicode MS" w:hAnsi="Arial" w:cs="Arial Unicode MS"/>
          <w:color w:val="000000"/>
          <w:sz w:val="20"/>
          <w:szCs w:val="20"/>
          <w:u w:color="000000"/>
          <w:bdr w:val="nil"/>
          <w:lang w:eastAsia="it-IT"/>
        </w:rPr>
        <w:t>Com’è noto, il PNRR si articola in 6 Missioni, suddivise in 16 Componenti, funzionali a realizzare gli obiettivi economico- sociali definiti nella strategia del Governo.</w:t>
      </w:r>
      <w:r w:rsidR="00BD3BF9">
        <w:rPr>
          <w:rFonts w:ascii="Arial" w:eastAsia="Arial Unicode MS" w:hAnsi="Arial" w:cs="Arial Unicode MS"/>
          <w:color w:val="000000"/>
          <w:sz w:val="20"/>
          <w:szCs w:val="20"/>
          <w:u w:color="000000"/>
          <w:bdr w:val="nil"/>
          <w:lang w:eastAsia="it-IT"/>
        </w:rPr>
        <w:t xml:space="preserve"> </w:t>
      </w:r>
      <w:r w:rsidRPr="00BD3BF9">
        <w:rPr>
          <w:rFonts w:ascii="Arial" w:eastAsia="Arial Unicode MS" w:hAnsi="Arial" w:cs="Arial Unicode MS"/>
          <w:color w:val="000000"/>
          <w:sz w:val="20"/>
          <w:szCs w:val="20"/>
          <w:u w:color="000000"/>
          <w:bdr w:val="nil"/>
          <w:lang w:eastAsia="it-IT"/>
        </w:rPr>
        <w:t>Le Componenti, a loro volta, si articolano in 43 ambiti di intervento per progetti omogenei e coerenti</w:t>
      </w:r>
      <w:r w:rsidR="00422ED6" w:rsidRPr="00E35422">
        <w:rPr>
          <w:rFonts w:ascii="Arial" w:hAnsi="Arial" w:cs="Arial"/>
          <w:vertAlign w:val="superscript"/>
        </w:rPr>
        <w:footnoteReference w:id="4"/>
      </w:r>
      <w:r w:rsidRPr="00BD3BF9">
        <w:rPr>
          <w:rFonts w:ascii="Arial" w:eastAsia="Arial Unicode MS" w:hAnsi="Arial" w:cs="Arial Unicode MS"/>
          <w:color w:val="000000"/>
          <w:sz w:val="20"/>
          <w:szCs w:val="20"/>
          <w:u w:color="000000"/>
          <w:bdr w:val="nil"/>
          <w:lang w:eastAsia="it-IT"/>
        </w:rPr>
        <w:t>.</w:t>
      </w:r>
    </w:p>
    <w:p w14:paraId="3181B13D"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BD3BF9">
        <w:rPr>
          <w:rFonts w:ascii="Arial" w:eastAsia="Arial Unicode MS" w:hAnsi="Arial" w:cs="Arial Unicode MS"/>
          <w:color w:val="000000"/>
          <w:sz w:val="20"/>
          <w:szCs w:val="20"/>
          <w:u w:color="000000"/>
          <w:bdr w:val="nil"/>
          <w:lang w:eastAsia="it-IT"/>
        </w:rPr>
        <w:t>Per ogni Missione sono indicat</w:t>
      </w:r>
      <w:r w:rsidR="00BD3BF9">
        <w:rPr>
          <w:rFonts w:ascii="Arial" w:eastAsia="Arial Unicode MS" w:hAnsi="Arial" w:cs="Arial Unicode MS"/>
          <w:color w:val="000000"/>
          <w:sz w:val="20"/>
          <w:szCs w:val="20"/>
          <w:u w:color="000000"/>
          <w:bdr w:val="nil"/>
          <w:lang w:eastAsia="it-IT"/>
        </w:rPr>
        <w:t>e</w:t>
      </w:r>
      <w:r w:rsidRPr="00BD3BF9">
        <w:rPr>
          <w:rFonts w:ascii="Arial" w:eastAsia="Arial Unicode MS" w:hAnsi="Arial" w:cs="Arial Unicode MS"/>
          <w:color w:val="000000"/>
          <w:sz w:val="20"/>
          <w:szCs w:val="20"/>
          <w:u w:color="000000"/>
          <w:bdr w:val="nil"/>
          <w:lang w:eastAsia="it-IT"/>
        </w:rPr>
        <w:t xml:space="preserve"> le linee di investimento (in totale 133) e le riforme settoriali (49) volte ad introdurre regimi regolatori e procedurali più efficienti nei rispettivi ambiti. In ciascuna Missione, inoltre, si dà conto dei profili più rilevanti ai fini del perseguimento delle tre priorità trasversali del Piano, costituite da “Parità di genere”, “Giovani” e “Sud e riequilibrio territoriale”.</w:t>
      </w:r>
    </w:p>
    <w:p w14:paraId="57793BB6" w14:textId="77777777" w:rsidR="008A05B0" w:rsidRPr="00BD3BF9" w:rsidRDefault="00E37316" w:rsidP="00C115BE">
      <w:pPr>
        <w:spacing w:after="120" w:line="240" w:lineRule="auto"/>
        <w:jc w:val="both"/>
        <w:rPr>
          <w:rFonts w:ascii="Arial" w:eastAsia="Arial Unicode MS" w:hAnsi="Arial" w:cs="Arial Unicode MS"/>
          <w:color w:val="000000"/>
          <w:sz w:val="20"/>
          <w:szCs w:val="20"/>
          <w:u w:color="000000"/>
          <w:bdr w:val="nil"/>
          <w:lang w:eastAsia="it-IT"/>
        </w:rPr>
      </w:pPr>
      <w:r>
        <w:rPr>
          <w:rFonts w:ascii="Arial" w:eastAsia="Arial Unicode MS" w:hAnsi="Arial" w:cs="Arial Unicode MS"/>
          <w:color w:val="000000"/>
          <w:sz w:val="20"/>
          <w:szCs w:val="20"/>
          <w:u w:color="000000"/>
          <w:bdr w:val="nil"/>
          <w:lang w:eastAsia="it-IT"/>
        </w:rPr>
        <w:t xml:space="preserve">Negli estratti </w:t>
      </w:r>
      <w:r w:rsidR="008A05B0" w:rsidRPr="00BD3BF9">
        <w:rPr>
          <w:rFonts w:ascii="Arial" w:eastAsia="Arial Unicode MS" w:hAnsi="Arial" w:cs="Arial Unicode MS"/>
          <w:color w:val="000000"/>
          <w:sz w:val="20"/>
          <w:szCs w:val="20"/>
          <w:u w:color="000000"/>
          <w:bdr w:val="nil"/>
          <w:lang w:eastAsia="it-IT"/>
        </w:rPr>
        <w:t>che seguono viene fornita una breve illustrazione dei contenuti e delle risorse assegnate alle sei Missioni del Piano, con particolare riferimento al Mezzogiorno. Questi elementi costituiscono i contenuti specifici su cui insist</w:t>
      </w:r>
      <w:r>
        <w:rPr>
          <w:rFonts w:ascii="Arial" w:eastAsia="Arial Unicode MS" w:hAnsi="Arial" w:cs="Arial Unicode MS"/>
          <w:color w:val="000000"/>
          <w:sz w:val="20"/>
          <w:szCs w:val="20"/>
          <w:u w:color="000000"/>
          <w:bdr w:val="nil"/>
          <w:lang w:eastAsia="it-IT"/>
        </w:rPr>
        <w:t xml:space="preserve">e l’impianto </w:t>
      </w:r>
      <w:r w:rsidR="00705F14">
        <w:rPr>
          <w:rFonts w:ascii="Arial" w:eastAsia="Arial Unicode MS" w:hAnsi="Arial" w:cs="Arial Unicode MS"/>
          <w:color w:val="000000"/>
          <w:sz w:val="20"/>
          <w:szCs w:val="20"/>
          <w:u w:color="000000"/>
          <w:bdr w:val="nil"/>
          <w:lang w:eastAsia="it-IT"/>
        </w:rPr>
        <w:t xml:space="preserve">concettuale e </w:t>
      </w:r>
      <w:r w:rsidR="008A05B0" w:rsidRPr="00BD3BF9">
        <w:rPr>
          <w:rFonts w:ascii="Arial" w:eastAsia="Arial Unicode MS" w:hAnsi="Arial" w:cs="Arial Unicode MS"/>
          <w:color w:val="000000"/>
          <w:sz w:val="20"/>
          <w:szCs w:val="20"/>
          <w:u w:color="000000"/>
          <w:bdr w:val="nil"/>
          <w:lang w:eastAsia="it-IT"/>
        </w:rPr>
        <w:t>gli indicatori selezionati nel modello di analisi</w:t>
      </w:r>
      <w:r w:rsidR="00705F14">
        <w:rPr>
          <w:rFonts w:ascii="Arial" w:eastAsia="Arial Unicode MS" w:hAnsi="Arial" w:cs="Arial Unicode MS"/>
          <w:color w:val="000000"/>
          <w:sz w:val="20"/>
          <w:szCs w:val="20"/>
          <w:u w:color="000000"/>
          <w:bdr w:val="nil"/>
          <w:lang w:eastAsia="it-IT"/>
        </w:rPr>
        <w:t>.</w:t>
      </w:r>
    </w:p>
    <w:p w14:paraId="60F4AB0D" w14:textId="77777777" w:rsidR="008A05B0" w:rsidRDefault="008A05B0" w:rsidP="008A05B0">
      <w:pPr>
        <w:rPr>
          <w:rFonts w:ascii="Times New Roman" w:hAnsi="Times New Roman" w:cs="Times New Roman"/>
        </w:rPr>
      </w:pPr>
    </w:p>
    <w:p w14:paraId="25530E2E"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lastRenderedPageBreak/>
        <w:t>Missione 1 – “Digitalizzazione, innovazione, competitività e cultura”</w:t>
      </w:r>
    </w:p>
    <w:p w14:paraId="7E53C93B"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8E5EA5">
        <w:rPr>
          <w:rFonts w:ascii="Arial" w:eastAsia="Arial Unicode MS" w:hAnsi="Arial" w:cs="Arial Unicode MS"/>
          <w:color w:val="000000"/>
          <w:sz w:val="20"/>
          <w:szCs w:val="20"/>
          <w:u w:color="000000"/>
          <w:bdr w:val="nil"/>
          <w:lang w:eastAsia="it-IT"/>
        </w:rPr>
        <w:t xml:space="preserve">“E’ destinata ad avere un impatto significativo nella riduzione dei divari territoriali: </w:t>
      </w:r>
      <w:r w:rsidRPr="000A1E4A">
        <w:rPr>
          <w:rFonts w:ascii="Arial" w:eastAsia="Arial Unicode MS" w:hAnsi="Arial" w:cs="Arial Unicode MS"/>
          <w:color w:val="000000"/>
          <w:sz w:val="20"/>
          <w:szCs w:val="20"/>
          <w:u w:color="000000"/>
          <w:bdr w:val="nil"/>
          <w:lang w:eastAsia="it-IT"/>
        </w:rPr>
        <w:t>oltre il 45 per cento degli investimenti nella</w:t>
      </w:r>
      <w:r w:rsidRPr="008E5EA5">
        <w:rPr>
          <w:rFonts w:ascii="Arial" w:eastAsia="Arial Unicode MS" w:hAnsi="Arial" w:cs="Arial Unicode MS"/>
          <w:i/>
          <w:color w:val="000000"/>
          <w:sz w:val="20"/>
          <w:szCs w:val="20"/>
          <w:u w:color="000000"/>
          <w:bdr w:val="nil"/>
          <w:lang w:eastAsia="it-IT"/>
        </w:rPr>
        <w:t xml:space="preserve"> </w:t>
      </w:r>
      <w:r w:rsidRPr="009F2321">
        <w:rPr>
          <w:rFonts w:ascii="Arial" w:eastAsia="Arial Unicode MS" w:hAnsi="Arial" w:cs="Arial Unicode MS"/>
          <w:color w:val="000000"/>
          <w:sz w:val="20"/>
          <w:szCs w:val="20"/>
          <w:u w:color="000000"/>
          <w:bdr w:val="nil"/>
          <w:lang w:eastAsia="it-IT"/>
        </w:rPr>
        <w:t xml:space="preserve">connettività a </w:t>
      </w:r>
      <w:r w:rsidRPr="009F2321">
        <w:rPr>
          <w:rFonts w:ascii="Arial" w:eastAsia="Arial Unicode MS" w:hAnsi="Arial" w:cs="Arial Unicode MS"/>
          <w:i/>
          <w:color w:val="000000"/>
          <w:sz w:val="20"/>
          <w:szCs w:val="20"/>
          <w:u w:color="000000"/>
          <w:bdr w:val="nil"/>
          <w:lang w:eastAsia="it-IT"/>
        </w:rPr>
        <w:t>banda ultralarga</w:t>
      </w:r>
      <w:r w:rsidRPr="009F2321">
        <w:rPr>
          <w:rFonts w:ascii="Arial" w:eastAsia="Arial Unicode MS" w:hAnsi="Arial" w:cs="Arial Unicode MS"/>
          <w:color w:val="000000"/>
          <w:sz w:val="20"/>
          <w:szCs w:val="20"/>
          <w:u w:color="000000"/>
          <w:bdr w:val="nil"/>
          <w:lang w:eastAsia="it-IT"/>
        </w:rPr>
        <w:t xml:space="preserve"> si svilupperanno nelle regioni del Mezzogiorno</w:t>
      </w:r>
      <w:r w:rsidRPr="008E5EA5">
        <w:rPr>
          <w:rFonts w:ascii="Arial" w:eastAsia="Arial Unicode MS" w:hAnsi="Arial" w:cs="Arial Unicode MS"/>
          <w:color w:val="000000"/>
          <w:sz w:val="20"/>
          <w:szCs w:val="20"/>
          <w:u w:color="000000"/>
          <w:bdr w:val="nil"/>
          <w:lang w:eastAsia="it-IT"/>
        </w:rPr>
        <w:t>, raggiungendo tutte le aree interne del Paese e le isole minori;</w:t>
      </w:r>
      <w:r w:rsidRPr="00BD3BF9">
        <w:rPr>
          <w:rFonts w:ascii="Arial" w:eastAsia="Arial Unicode MS" w:hAnsi="Arial" w:cs="Arial Unicode MS"/>
          <w:color w:val="000000"/>
          <w:sz w:val="20"/>
          <w:szCs w:val="20"/>
          <w:u w:color="000000"/>
          <w:bdr w:val="nil"/>
          <w:lang w:eastAsia="it-IT"/>
        </w:rPr>
        <w:t xml:space="preserve"> gli interventi sulla digitalizzazione delle PA locali avranno ricadute importanti per le aree del Sud che presentano ampi </w:t>
      </w:r>
      <w:r w:rsidRPr="009F2321">
        <w:rPr>
          <w:rFonts w:ascii="Arial" w:eastAsia="Arial Unicode MS" w:hAnsi="Arial" w:cs="Arial Unicode MS"/>
          <w:i/>
          <w:color w:val="000000"/>
          <w:sz w:val="20"/>
          <w:szCs w:val="20"/>
          <w:u w:color="000000"/>
          <w:bdr w:val="nil"/>
          <w:lang w:eastAsia="it-IT"/>
        </w:rPr>
        <w:t>divari in termini di digital divide</w:t>
      </w:r>
      <w:r w:rsidRPr="00BD3BF9">
        <w:rPr>
          <w:rFonts w:ascii="Arial" w:eastAsia="Arial Unicode MS" w:hAnsi="Arial" w:cs="Arial Unicode MS"/>
          <w:color w:val="000000"/>
          <w:sz w:val="20"/>
          <w:szCs w:val="20"/>
          <w:u w:color="000000"/>
          <w:bdr w:val="nil"/>
          <w:lang w:eastAsia="it-IT"/>
        </w:rPr>
        <w:t xml:space="preserve"> e di esposizione on line di servizi pubblici al cittadino; molte imprese del Mezzogiorno saranno favorite dall’accresciuta accessibilità agli incentivi fiscali del Piano Transizione 4.0; il piano Space Economy rivitalizzerà i distretti aerospaziali delle regioni del Mezzogiorno; gli investimenti previsti per incrementare la proiezione del nostro export e l’attrattività dell’offerta culturale e del nostro turismo miglioreranno il posizionamento internazionale del Mezzogiorno”</w:t>
      </w:r>
      <w:r w:rsidRPr="00BD3BF9">
        <w:rPr>
          <w:rFonts w:ascii="Arial" w:eastAsia="Arial Unicode MS" w:hAnsi="Arial" w:cs="Arial Unicode MS"/>
          <w:color w:val="000000"/>
          <w:sz w:val="20"/>
          <w:szCs w:val="20"/>
          <w:u w:color="000000"/>
          <w:bdr w:val="nil"/>
          <w:vertAlign w:val="superscript"/>
          <w:lang w:eastAsia="it-IT"/>
        </w:rPr>
        <w:footnoteReference w:id="5"/>
      </w:r>
      <w:r w:rsidRPr="00BD3BF9">
        <w:rPr>
          <w:rFonts w:ascii="Arial" w:eastAsia="Arial Unicode MS" w:hAnsi="Arial" w:cs="Arial Unicode MS"/>
          <w:color w:val="000000"/>
          <w:sz w:val="20"/>
          <w:szCs w:val="20"/>
          <w:u w:color="000000"/>
          <w:bdr w:val="nil"/>
          <w:lang w:eastAsia="it-IT"/>
        </w:rPr>
        <w:t>.</w:t>
      </w:r>
    </w:p>
    <w:p w14:paraId="6F5BEA6C" w14:textId="77777777" w:rsidR="00C115BE" w:rsidRDefault="00C115BE" w:rsidP="00E35422">
      <w:pPr>
        <w:tabs>
          <w:tab w:val="left" w:pos="284"/>
        </w:tabs>
        <w:spacing w:after="120" w:line="240" w:lineRule="auto"/>
        <w:jc w:val="both"/>
        <w:rPr>
          <w:rFonts w:ascii="Arial" w:hAnsi="Arial" w:cs="Arial"/>
          <w:b/>
        </w:rPr>
      </w:pPr>
    </w:p>
    <w:p w14:paraId="343D132B"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t>Missione 2 – “Rivoluzione verde e transizione ecologica”</w:t>
      </w:r>
    </w:p>
    <w:p w14:paraId="26151BAF" w14:textId="77777777" w:rsidR="008A05B0" w:rsidRPr="00BD3BF9"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8E5EA5">
        <w:rPr>
          <w:rFonts w:ascii="Arial" w:eastAsia="Arial Unicode MS" w:hAnsi="Arial" w:cs="Arial Unicode MS"/>
          <w:color w:val="000000"/>
          <w:sz w:val="20"/>
          <w:szCs w:val="20"/>
          <w:u w:color="000000"/>
          <w:bdr w:val="nil"/>
          <w:lang w:eastAsia="it-IT"/>
        </w:rPr>
        <w:t xml:space="preserve">Contribuisce al “superamento dei divari territoriali. Gli investimenti e le riforme del Piano migliorano, in particolare, la gestione dei rifiuti al Sud e contribuiscono a </w:t>
      </w:r>
      <w:r w:rsidRPr="009F2321">
        <w:rPr>
          <w:rFonts w:ascii="Arial" w:eastAsia="Arial Unicode MS" w:hAnsi="Arial" w:cs="Arial Unicode MS"/>
          <w:i/>
          <w:color w:val="000000"/>
          <w:sz w:val="20"/>
          <w:szCs w:val="20"/>
          <w:u w:color="000000"/>
          <w:bdr w:val="nil"/>
          <w:lang w:eastAsia="it-IT"/>
        </w:rPr>
        <w:t>ridurre la dispersione delle risorse idriche</w:t>
      </w:r>
      <w:r w:rsidRPr="008E5EA5">
        <w:rPr>
          <w:rFonts w:ascii="Arial" w:eastAsia="Arial Unicode MS" w:hAnsi="Arial" w:cs="Arial Unicode MS"/>
          <w:color w:val="000000"/>
          <w:sz w:val="20"/>
          <w:szCs w:val="20"/>
          <w:u w:color="000000"/>
          <w:bdr w:val="nil"/>
          <w:lang w:eastAsia="it-IT"/>
        </w:rPr>
        <w:t>, in ottemperanza alle raccomandazioni specifiche della Commissione europea sull’Italia che invitano a investire al Sud sulle infrastrutture per la gestione dei rifiuti e le infrastrutture idriche</w:t>
      </w:r>
      <w:r w:rsidRPr="00BD3BF9">
        <w:rPr>
          <w:rFonts w:ascii="Arial" w:eastAsia="Arial Unicode MS" w:hAnsi="Arial" w:cs="Arial Unicode MS"/>
          <w:color w:val="000000"/>
          <w:sz w:val="20"/>
          <w:szCs w:val="20"/>
          <w:u w:color="000000"/>
          <w:bdr w:val="nil"/>
          <w:lang w:eastAsia="it-IT"/>
        </w:rPr>
        <w:t xml:space="preserve"> (nella distribuzione per usi civili, la dispersione media è del 41 per cento a livello nazionale, del 51 per cento al Sud). Alcune misure possono avere maggior incidenza al Sud, come ad esempio alcuni progetti di potenziamento dell’industria nazionale in settori strategici per la produzione di energie rinnovabili e di tecnologie per il trasporto sostenibile. Le riforme di sistema che accompagnano l’attuazione del Piano, improntate alla semplificazione e al rafforzamento della capacità amministrativa delle regioni del</w:t>
      </w:r>
      <w:r w:rsidRPr="00336823">
        <w:rPr>
          <w:rFonts w:ascii="Times New Roman" w:hAnsi="Times New Roman" w:cs="Times New Roman"/>
          <w:i/>
        </w:rPr>
        <w:t xml:space="preserve"> </w:t>
      </w:r>
      <w:r w:rsidRPr="00BD3BF9">
        <w:rPr>
          <w:rFonts w:ascii="Arial" w:eastAsia="Arial Unicode MS" w:hAnsi="Arial" w:cs="Arial Unicode MS"/>
          <w:color w:val="000000"/>
          <w:sz w:val="20"/>
          <w:szCs w:val="20"/>
          <w:u w:color="000000"/>
          <w:bdr w:val="nil"/>
          <w:lang w:eastAsia="it-IT"/>
        </w:rPr>
        <w:t>Mezzogiorno, consentiranno un maggiore assorbimento delle risorse, in particolare per gli incentivi in materia di efficienza energetica e riqualificazione degli edifici”</w:t>
      </w:r>
      <w:r w:rsidRPr="00BD3BF9">
        <w:rPr>
          <w:rFonts w:ascii="Arial" w:eastAsia="Arial Unicode MS" w:hAnsi="Arial" w:cs="Arial Unicode MS"/>
          <w:color w:val="000000"/>
          <w:sz w:val="20"/>
          <w:szCs w:val="20"/>
          <w:u w:color="000000"/>
          <w:bdr w:val="nil"/>
          <w:vertAlign w:val="superscript"/>
          <w:lang w:eastAsia="it-IT"/>
        </w:rPr>
        <w:footnoteReference w:id="6"/>
      </w:r>
      <w:r w:rsidRPr="00BD3BF9">
        <w:rPr>
          <w:rFonts w:ascii="Arial" w:eastAsia="Arial Unicode MS" w:hAnsi="Arial" w:cs="Arial Unicode MS"/>
          <w:color w:val="000000"/>
          <w:sz w:val="20"/>
          <w:szCs w:val="20"/>
          <w:u w:color="000000"/>
          <w:bdr w:val="nil"/>
          <w:lang w:eastAsia="it-IT"/>
        </w:rPr>
        <w:t>.</w:t>
      </w:r>
    </w:p>
    <w:p w14:paraId="12D3D1DB" w14:textId="77777777" w:rsidR="00C115BE" w:rsidRDefault="00C115BE" w:rsidP="00E35422">
      <w:pPr>
        <w:tabs>
          <w:tab w:val="left" w:pos="284"/>
        </w:tabs>
        <w:spacing w:after="120" w:line="240" w:lineRule="auto"/>
        <w:jc w:val="both"/>
        <w:rPr>
          <w:rFonts w:ascii="Arial" w:hAnsi="Arial" w:cs="Arial"/>
          <w:b/>
        </w:rPr>
      </w:pPr>
    </w:p>
    <w:p w14:paraId="63268AC2" w14:textId="77777777" w:rsidR="008A05B0" w:rsidRPr="00E35422" w:rsidRDefault="000A1E4A" w:rsidP="00E35422">
      <w:pPr>
        <w:tabs>
          <w:tab w:val="left" w:pos="284"/>
        </w:tabs>
        <w:spacing w:after="120" w:line="240" w:lineRule="auto"/>
        <w:jc w:val="both"/>
        <w:rPr>
          <w:rFonts w:ascii="Arial" w:hAnsi="Arial" w:cs="Arial"/>
          <w:b/>
        </w:rPr>
      </w:pPr>
      <w:r w:rsidRPr="00E35422">
        <w:rPr>
          <w:rFonts w:ascii="Arial" w:hAnsi="Arial" w:cs="Arial"/>
          <w:b/>
        </w:rPr>
        <w:t>M</w:t>
      </w:r>
      <w:r w:rsidR="008A05B0" w:rsidRPr="00E35422">
        <w:rPr>
          <w:rFonts w:ascii="Arial" w:hAnsi="Arial" w:cs="Arial"/>
          <w:b/>
        </w:rPr>
        <w:t>issione 3 – “Infrastrutture per una mobilità sostenibile”</w:t>
      </w:r>
    </w:p>
    <w:p w14:paraId="58A62A43" w14:textId="77777777" w:rsidR="008A05B0"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8E5EA5">
        <w:rPr>
          <w:rFonts w:ascii="Arial" w:eastAsia="Arial Unicode MS" w:hAnsi="Arial" w:cs="Arial Unicode MS"/>
          <w:color w:val="000000"/>
          <w:sz w:val="20"/>
          <w:szCs w:val="20"/>
          <w:u w:color="000000"/>
          <w:bdr w:val="nil"/>
          <w:lang w:eastAsia="it-IT"/>
        </w:rPr>
        <w:t xml:space="preserve">“Gli investimenti rafforzano le infrastrutture del Mezzogiorno, in particolare l’alta velocità ferroviaria, contribuendo anche a migliorare l’occupazione in tutta la catena logistica. </w:t>
      </w:r>
      <w:r w:rsidRPr="009F2321">
        <w:rPr>
          <w:rFonts w:ascii="Arial" w:eastAsia="Arial Unicode MS" w:hAnsi="Arial" w:cs="Arial Unicode MS"/>
          <w:color w:val="000000"/>
          <w:sz w:val="20"/>
          <w:szCs w:val="20"/>
          <w:u w:color="000000"/>
          <w:bdr w:val="nil"/>
          <w:lang w:eastAsia="it-IT"/>
        </w:rPr>
        <w:t>Gli investimenti per</w:t>
      </w:r>
      <w:r w:rsidRPr="000A1E4A">
        <w:rPr>
          <w:rFonts w:ascii="Arial" w:eastAsia="Arial Unicode MS" w:hAnsi="Arial" w:cs="Arial Unicode MS"/>
          <w:i/>
          <w:color w:val="000000"/>
          <w:sz w:val="20"/>
          <w:szCs w:val="20"/>
          <w:u w:color="000000"/>
          <w:bdr w:val="nil"/>
          <w:lang w:eastAsia="it-IT"/>
        </w:rPr>
        <w:t xml:space="preserve"> l’alta velocità </w:t>
      </w:r>
      <w:r w:rsidRPr="009F2321">
        <w:rPr>
          <w:rFonts w:ascii="Arial" w:eastAsia="Arial Unicode MS" w:hAnsi="Arial" w:cs="Arial Unicode MS"/>
          <w:color w:val="000000"/>
          <w:sz w:val="20"/>
          <w:szCs w:val="20"/>
          <w:u w:color="000000"/>
          <w:bdr w:val="nil"/>
          <w:lang w:eastAsia="it-IT"/>
        </w:rPr>
        <w:t>sono affiancati da interventi che mirano ad assicurare una maggiore e migliore offerta di</w:t>
      </w:r>
      <w:r w:rsidRPr="000A1E4A">
        <w:rPr>
          <w:rFonts w:ascii="Arial" w:eastAsia="Arial Unicode MS" w:hAnsi="Arial" w:cs="Arial Unicode MS"/>
          <w:i/>
          <w:color w:val="000000"/>
          <w:sz w:val="20"/>
          <w:szCs w:val="20"/>
          <w:u w:color="000000"/>
          <w:bdr w:val="nil"/>
          <w:lang w:eastAsia="it-IT"/>
        </w:rPr>
        <w:t xml:space="preserve"> linee ferroviarie regionali </w:t>
      </w:r>
      <w:r w:rsidRPr="009F2321">
        <w:rPr>
          <w:rFonts w:ascii="Arial" w:eastAsia="Arial Unicode MS" w:hAnsi="Arial" w:cs="Arial Unicode MS"/>
          <w:color w:val="000000"/>
          <w:sz w:val="20"/>
          <w:szCs w:val="20"/>
          <w:u w:color="000000"/>
          <w:bdr w:val="nil"/>
          <w:lang w:eastAsia="it-IT"/>
        </w:rPr>
        <w:t>e l’adeguamento di quelle urbane</w:t>
      </w:r>
      <w:r w:rsidRPr="008E5EA5">
        <w:rPr>
          <w:rFonts w:ascii="Arial" w:eastAsia="Arial Unicode MS" w:hAnsi="Arial" w:cs="Arial Unicode MS"/>
          <w:color w:val="000000"/>
          <w:sz w:val="20"/>
          <w:szCs w:val="20"/>
          <w:u w:color="000000"/>
          <w:bdr w:val="nil"/>
          <w:lang w:eastAsia="it-IT"/>
        </w:rPr>
        <w:t>.</w:t>
      </w:r>
      <w:r w:rsidRPr="009A36CD">
        <w:rPr>
          <w:rFonts w:ascii="Arial" w:eastAsia="Arial Unicode MS" w:hAnsi="Arial" w:cs="Arial Unicode MS"/>
          <w:color w:val="000000"/>
          <w:sz w:val="20"/>
          <w:szCs w:val="20"/>
          <w:u w:color="000000"/>
          <w:bdr w:val="nil"/>
          <w:lang w:eastAsia="it-IT"/>
        </w:rPr>
        <w:t xml:space="preserve"> Dal punto di vista territoriale, si auspica che gli investimenti producano un’inversione</w:t>
      </w:r>
      <w:r w:rsidRPr="00CA1713">
        <w:rPr>
          <w:rFonts w:ascii="Times New Roman" w:hAnsi="Times New Roman" w:cs="Times New Roman"/>
          <w:i/>
        </w:rPr>
        <w:t xml:space="preserve"> </w:t>
      </w:r>
      <w:r w:rsidRPr="009A36CD">
        <w:rPr>
          <w:rFonts w:ascii="Arial" w:eastAsia="Arial Unicode MS" w:hAnsi="Arial" w:cs="Arial Unicode MS"/>
          <w:color w:val="000000"/>
          <w:sz w:val="20"/>
          <w:szCs w:val="20"/>
          <w:u w:color="000000"/>
          <w:bdr w:val="nil"/>
          <w:lang w:eastAsia="it-IT"/>
        </w:rPr>
        <w:t>dei fenomeni di depauperamento demografico e socio-economico dei territori meno collegati, fungendo da fattore di coesione territoriale. Molti interventi riguardano infrastrutture che saranno realizzate a beneficio delle aree e delle città del Sud, anche grazie all’integrazione con le risorse del Fondo per lo sviluppo e la coesione”</w:t>
      </w:r>
      <w:r w:rsidRPr="009A36CD">
        <w:rPr>
          <w:rFonts w:ascii="Arial" w:eastAsia="Arial Unicode MS" w:hAnsi="Arial" w:cs="Arial Unicode MS"/>
          <w:color w:val="000000"/>
          <w:sz w:val="20"/>
          <w:szCs w:val="20"/>
          <w:u w:color="000000"/>
          <w:bdr w:val="nil"/>
          <w:vertAlign w:val="superscript"/>
          <w:lang w:eastAsia="it-IT"/>
        </w:rPr>
        <w:footnoteReference w:id="7"/>
      </w:r>
      <w:r w:rsidRPr="009A36CD">
        <w:rPr>
          <w:rFonts w:ascii="Arial" w:eastAsia="Arial Unicode MS" w:hAnsi="Arial" w:cs="Arial Unicode MS"/>
          <w:color w:val="000000"/>
          <w:sz w:val="20"/>
          <w:szCs w:val="20"/>
          <w:u w:color="000000"/>
          <w:bdr w:val="nil"/>
          <w:lang w:eastAsia="it-IT"/>
        </w:rPr>
        <w:t>.</w:t>
      </w:r>
    </w:p>
    <w:p w14:paraId="79B03ADB" w14:textId="77777777" w:rsidR="00C115BE" w:rsidRDefault="00C115BE" w:rsidP="00E35422">
      <w:pPr>
        <w:tabs>
          <w:tab w:val="left" w:pos="284"/>
        </w:tabs>
        <w:spacing w:after="120" w:line="240" w:lineRule="auto"/>
        <w:jc w:val="both"/>
        <w:rPr>
          <w:rFonts w:ascii="Arial" w:hAnsi="Arial" w:cs="Arial"/>
          <w:b/>
        </w:rPr>
      </w:pPr>
    </w:p>
    <w:p w14:paraId="78CEE0B0"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t xml:space="preserve">Missione 4 </w:t>
      </w:r>
      <w:r w:rsidR="009307D3">
        <w:rPr>
          <w:rFonts w:ascii="Arial" w:hAnsi="Arial" w:cs="Arial"/>
          <w:b/>
        </w:rPr>
        <w:t>–</w:t>
      </w:r>
      <w:r w:rsidRPr="00E35422">
        <w:rPr>
          <w:rFonts w:ascii="Arial" w:hAnsi="Arial" w:cs="Arial"/>
          <w:b/>
        </w:rPr>
        <w:t xml:space="preserve"> </w:t>
      </w:r>
      <w:r w:rsidR="009307D3">
        <w:rPr>
          <w:rFonts w:ascii="Arial" w:hAnsi="Arial" w:cs="Arial"/>
          <w:b/>
        </w:rPr>
        <w:t>“</w:t>
      </w:r>
      <w:r w:rsidRPr="00E35422">
        <w:rPr>
          <w:rFonts w:ascii="Arial" w:hAnsi="Arial" w:cs="Arial"/>
          <w:b/>
        </w:rPr>
        <w:t>Istruzione e ricerca</w:t>
      </w:r>
      <w:r w:rsidR="009307D3">
        <w:rPr>
          <w:rFonts w:ascii="Arial" w:hAnsi="Arial" w:cs="Arial"/>
          <w:b/>
        </w:rPr>
        <w:t>”</w:t>
      </w:r>
    </w:p>
    <w:p w14:paraId="338EA6F7" w14:textId="77777777" w:rsidR="008A05B0" w:rsidRPr="009A36CD"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8E5EA5">
        <w:rPr>
          <w:rFonts w:ascii="Arial" w:eastAsia="Arial Unicode MS" w:hAnsi="Arial" w:cs="Arial Unicode MS"/>
          <w:color w:val="000000"/>
          <w:sz w:val="20"/>
          <w:szCs w:val="20"/>
          <w:u w:color="000000"/>
          <w:bdr w:val="nil"/>
          <w:lang w:eastAsia="it-IT"/>
        </w:rPr>
        <w:t xml:space="preserve">“I progetti relativi ad </w:t>
      </w:r>
      <w:r w:rsidRPr="00705F14">
        <w:rPr>
          <w:rFonts w:ascii="Arial" w:eastAsia="Arial Unicode MS" w:hAnsi="Arial" w:cs="Arial Unicode MS"/>
          <w:i/>
          <w:color w:val="000000"/>
          <w:sz w:val="20"/>
          <w:szCs w:val="20"/>
          <w:u w:color="000000"/>
          <w:bdr w:val="nil"/>
          <w:lang w:eastAsia="it-IT"/>
        </w:rPr>
        <w:t>asili e scuole per l’infanzia</w:t>
      </w:r>
      <w:r w:rsidR="00705F14">
        <w:rPr>
          <w:rStyle w:val="Rimandonotaapidipagina"/>
          <w:rFonts w:ascii="Arial" w:eastAsia="Arial Unicode MS" w:hAnsi="Arial" w:cs="Arial Unicode MS"/>
          <w:i/>
          <w:color w:val="000000"/>
          <w:sz w:val="20"/>
          <w:szCs w:val="20"/>
          <w:u w:color="000000"/>
          <w:bdr w:val="nil"/>
          <w:lang w:eastAsia="it-IT"/>
        </w:rPr>
        <w:footnoteReference w:id="8"/>
      </w:r>
      <w:r w:rsidRPr="008E5EA5">
        <w:rPr>
          <w:rFonts w:ascii="Arial" w:eastAsia="Arial Unicode MS" w:hAnsi="Arial" w:cs="Arial Unicode MS"/>
          <w:color w:val="000000"/>
          <w:sz w:val="20"/>
          <w:szCs w:val="20"/>
          <w:u w:color="000000"/>
          <w:bdr w:val="nil"/>
          <w:lang w:eastAsia="it-IT"/>
        </w:rPr>
        <w:t xml:space="preserve">, </w:t>
      </w:r>
      <w:r w:rsidRPr="009F2321">
        <w:rPr>
          <w:rFonts w:ascii="Arial" w:eastAsia="Arial Unicode MS" w:hAnsi="Arial" w:cs="Arial Unicode MS"/>
          <w:i/>
          <w:color w:val="000000"/>
          <w:sz w:val="20"/>
          <w:szCs w:val="20"/>
          <w:u w:color="000000"/>
          <w:bdr w:val="nil"/>
          <w:lang w:eastAsia="it-IT"/>
        </w:rPr>
        <w:t>lotta all’abbandono scolastico</w:t>
      </w:r>
      <w:r w:rsidRPr="008E5EA5">
        <w:rPr>
          <w:rFonts w:ascii="Arial" w:eastAsia="Arial Unicode MS" w:hAnsi="Arial" w:cs="Arial Unicode MS"/>
          <w:color w:val="000000"/>
          <w:sz w:val="20"/>
          <w:szCs w:val="20"/>
          <w:u w:color="000000"/>
          <w:bdr w:val="nil"/>
          <w:lang w:eastAsia="it-IT"/>
        </w:rPr>
        <w:t xml:space="preserve">, edilizia scolastica e contrasto </w:t>
      </w:r>
      <w:r w:rsidRPr="009F2321">
        <w:rPr>
          <w:rFonts w:ascii="Arial" w:eastAsia="Arial Unicode MS" w:hAnsi="Arial" w:cs="Arial Unicode MS"/>
          <w:i/>
          <w:color w:val="000000"/>
          <w:sz w:val="20"/>
          <w:szCs w:val="20"/>
          <w:u w:color="000000"/>
          <w:bdr w:val="nil"/>
          <w:lang w:eastAsia="it-IT"/>
        </w:rPr>
        <w:t>alla povertà educativa</w:t>
      </w:r>
      <w:r w:rsidRPr="008E5EA5">
        <w:rPr>
          <w:rFonts w:ascii="Arial" w:eastAsia="Arial Unicode MS" w:hAnsi="Arial" w:cs="Arial Unicode MS"/>
          <w:color w:val="000000"/>
          <w:sz w:val="20"/>
          <w:szCs w:val="20"/>
          <w:u w:color="000000"/>
          <w:bdr w:val="nil"/>
          <w:lang w:eastAsia="it-IT"/>
        </w:rPr>
        <w:t xml:space="preserve"> hanno un forte impatto al Sud, favorendo un percorso che - in complementarità con la spesa pubblica ordinaria - dovrà portare al rispetto costituzionale dei livelli essenziali delle prestazioni (LEP), da garantire a tutti i cittadini dovunque risiedano. Inoltre, l’intervento sulla riduzione dei divari territoriali nella scuola secondaria di secondo grado contribuisce a </w:t>
      </w:r>
      <w:r w:rsidRPr="000A1E4A">
        <w:rPr>
          <w:rFonts w:ascii="Arial" w:eastAsia="Arial Unicode MS" w:hAnsi="Arial" w:cs="Arial Unicode MS"/>
          <w:i/>
          <w:color w:val="000000"/>
          <w:sz w:val="20"/>
          <w:szCs w:val="20"/>
          <w:u w:color="000000"/>
          <w:bdr w:val="nil"/>
          <w:lang w:eastAsia="it-IT"/>
        </w:rPr>
        <w:t xml:space="preserve">migliorare il livello delle competenze di base </w:t>
      </w:r>
      <w:r w:rsidRPr="000A1E4A">
        <w:rPr>
          <w:rFonts w:ascii="Arial" w:eastAsia="Arial Unicode MS" w:hAnsi="Arial" w:cs="Arial Unicode MS"/>
          <w:color w:val="000000"/>
          <w:sz w:val="20"/>
          <w:szCs w:val="20"/>
          <w:u w:color="000000"/>
          <w:bdr w:val="nil"/>
          <w:lang w:eastAsia="it-IT"/>
        </w:rPr>
        <w:t>e a ridurre in modo strutturale l’abbandono scolastico</w:t>
      </w:r>
      <w:r w:rsidRPr="000A1E4A">
        <w:rPr>
          <w:rFonts w:ascii="Arial" w:eastAsia="Arial Unicode MS" w:hAnsi="Arial" w:cs="Arial Unicode MS"/>
          <w:i/>
          <w:color w:val="000000"/>
          <w:sz w:val="20"/>
          <w:szCs w:val="20"/>
          <w:u w:color="000000"/>
          <w:bdr w:val="nil"/>
          <w:lang w:eastAsia="it-IT"/>
        </w:rPr>
        <w:t>, soprattutto nel Mezzogiorno</w:t>
      </w:r>
      <w:r w:rsidRPr="008E5EA5">
        <w:rPr>
          <w:rFonts w:ascii="Arial" w:eastAsia="Arial Unicode MS" w:hAnsi="Arial" w:cs="Arial Unicode MS"/>
          <w:color w:val="000000"/>
          <w:sz w:val="20"/>
          <w:szCs w:val="20"/>
          <w:u w:color="000000"/>
          <w:bdr w:val="nil"/>
          <w:lang w:eastAsia="it-IT"/>
        </w:rPr>
        <w:t>.</w:t>
      </w:r>
      <w:r w:rsidRPr="009A36CD">
        <w:rPr>
          <w:rFonts w:ascii="Arial" w:eastAsia="Arial Unicode MS" w:hAnsi="Arial" w:cs="Arial Unicode MS"/>
          <w:color w:val="000000"/>
          <w:sz w:val="20"/>
          <w:szCs w:val="20"/>
          <w:u w:color="000000"/>
          <w:bdr w:val="nil"/>
          <w:lang w:eastAsia="it-IT"/>
        </w:rPr>
        <w:t xml:space="preserve"> La promozione di nuovi centri di eccellenza nel campo della ricerca al Sud – integrati in ecosistemi dell’innovazione a livello locale – favorisce anche il trasferimento tecnologico, l’impiego e l’attrazione di risorse qualificate”</w:t>
      </w:r>
      <w:r w:rsidRPr="00705F14">
        <w:rPr>
          <w:rFonts w:ascii="Arial" w:eastAsia="Arial Unicode MS" w:hAnsi="Arial" w:cs="Arial Unicode MS"/>
          <w:color w:val="000000"/>
          <w:sz w:val="20"/>
          <w:szCs w:val="20"/>
          <w:u w:color="000000"/>
          <w:bdr w:val="nil"/>
          <w:vertAlign w:val="superscript"/>
          <w:lang w:eastAsia="it-IT"/>
        </w:rPr>
        <w:footnoteReference w:id="9"/>
      </w:r>
      <w:r w:rsidR="00705F14">
        <w:rPr>
          <w:rFonts w:ascii="Arial" w:eastAsia="Arial Unicode MS" w:hAnsi="Arial" w:cs="Arial Unicode MS"/>
          <w:color w:val="000000"/>
          <w:sz w:val="20"/>
          <w:szCs w:val="20"/>
          <w:u w:color="000000"/>
          <w:bdr w:val="nil"/>
          <w:lang w:eastAsia="it-IT"/>
        </w:rPr>
        <w:t>.</w:t>
      </w:r>
    </w:p>
    <w:p w14:paraId="02A82248" w14:textId="77777777" w:rsidR="00C115BE" w:rsidRDefault="00C115BE" w:rsidP="00E35422">
      <w:pPr>
        <w:tabs>
          <w:tab w:val="left" w:pos="284"/>
        </w:tabs>
        <w:spacing w:after="120" w:line="240" w:lineRule="auto"/>
        <w:jc w:val="both"/>
        <w:rPr>
          <w:rFonts w:ascii="Arial" w:hAnsi="Arial" w:cs="Arial"/>
          <w:b/>
        </w:rPr>
      </w:pPr>
    </w:p>
    <w:p w14:paraId="0737E1C0"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t xml:space="preserve">Missione 5 – </w:t>
      </w:r>
      <w:r w:rsidR="009307D3">
        <w:rPr>
          <w:rFonts w:ascii="Arial" w:hAnsi="Arial" w:cs="Arial"/>
          <w:b/>
        </w:rPr>
        <w:t>“</w:t>
      </w:r>
      <w:r w:rsidRPr="00E35422">
        <w:rPr>
          <w:rFonts w:ascii="Arial" w:hAnsi="Arial" w:cs="Arial"/>
          <w:b/>
        </w:rPr>
        <w:t>Inclusione e coesione</w:t>
      </w:r>
      <w:r w:rsidR="009307D3">
        <w:rPr>
          <w:rFonts w:ascii="Arial" w:hAnsi="Arial" w:cs="Arial"/>
          <w:b/>
        </w:rPr>
        <w:t>”</w:t>
      </w:r>
    </w:p>
    <w:p w14:paraId="05DC4212" w14:textId="77777777" w:rsidR="008A05B0" w:rsidRPr="009802F6" w:rsidRDefault="009F2321" w:rsidP="00C115BE">
      <w:pPr>
        <w:spacing w:after="120" w:line="240" w:lineRule="auto"/>
        <w:jc w:val="both"/>
        <w:rPr>
          <w:rFonts w:ascii="Arial" w:eastAsia="Arial Unicode MS" w:hAnsi="Arial" w:cs="Arial Unicode MS"/>
          <w:color w:val="000000"/>
          <w:sz w:val="20"/>
          <w:szCs w:val="20"/>
          <w:u w:color="000000"/>
          <w:bdr w:val="nil"/>
          <w:lang w:eastAsia="it-IT"/>
        </w:rPr>
      </w:pPr>
      <w:r>
        <w:rPr>
          <w:rFonts w:ascii="Arial" w:eastAsia="Arial Unicode MS" w:hAnsi="Arial" w:cs="Arial Unicode MS"/>
          <w:color w:val="000000"/>
          <w:sz w:val="20"/>
          <w:szCs w:val="20"/>
          <w:u w:color="000000"/>
          <w:bdr w:val="nil"/>
          <w:lang w:eastAsia="it-IT"/>
        </w:rPr>
        <w:t xml:space="preserve">Nell’impianto del PNRR, </w:t>
      </w:r>
      <w:r w:rsidR="008A05B0" w:rsidRPr="00353A79">
        <w:rPr>
          <w:rFonts w:ascii="Arial" w:eastAsia="Arial Unicode MS" w:hAnsi="Arial" w:cs="Arial Unicode MS"/>
          <w:color w:val="000000"/>
          <w:sz w:val="20"/>
          <w:szCs w:val="20"/>
          <w:u w:color="000000"/>
          <w:bdr w:val="nil"/>
          <w:lang w:eastAsia="it-IT"/>
        </w:rPr>
        <w:t xml:space="preserve">in particolare, la Missione 5 </w:t>
      </w:r>
      <w:r>
        <w:rPr>
          <w:rFonts w:ascii="Arial" w:eastAsia="Arial Unicode MS" w:hAnsi="Arial" w:cs="Arial Unicode MS"/>
          <w:color w:val="000000"/>
          <w:sz w:val="20"/>
          <w:szCs w:val="20"/>
          <w:u w:color="000000"/>
          <w:bdr w:val="nil"/>
          <w:lang w:eastAsia="it-IT"/>
        </w:rPr>
        <w:t xml:space="preserve"> “</w:t>
      </w:r>
      <w:r w:rsidR="008A05B0" w:rsidRPr="00353A79">
        <w:rPr>
          <w:rFonts w:ascii="Arial" w:eastAsia="Arial Unicode MS" w:hAnsi="Arial" w:cs="Arial Unicode MS"/>
          <w:color w:val="000000"/>
          <w:sz w:val="20"/>
          <w:szCs w:val="20"/>
          <w:u w:color="000000"/>
          <w:bdr w:val="nil"/>
          <w:lang w:eastAsia="it-IT"/>
        </w:rPr>
        <w:t xml:space="preserve">riveste un ruolo rilevante […] di riequilibrio territoriale e sviluppo del Mezzogiorno e delle aree interne. Nell’ambito della missione, la terza componente “Interventi </w:t>
      </w:r>
      <w:r w:rsidR="008A05B0" w:rsidRPr="00353A79">
        <w:rPr>
          <w:rFonts w:ascii="Arial" w:eastAsia="Arial Unicode MS" w:hAnsi="Arial" w:cs="Arial Unicode MS"/>
          <w:color w:val="000000"/>
          <w:sz w:val="20"/>
          <w:szCs w:val="20"/>
          <w:u w:color="000000"/>
          <w:bdr w:val="nil"/>
          <w:lang w:eastAsia="it-IT"/>
        </w:rPr>
        <w:lastRenderedPageBreak/>
        <w:t>speciali di coesione territoriale”, è dedicata, in particolare, alla riduzione dei divari tra le diverse aree del paese: […]</w:t>
      </w:r>
      <w:r w:rsidR="008A05B0" w:rsidRPr="009802F6">
        <w:rPr>
          <w:rFonts w:ascii="Arial" w:eastAsia="Arial Unicode MS" w:hAnsi="Arial" w:cs="Arial Unicode MS"/>
          <w:color w:val="000000"/>
          <w:sz w:val="20"/>
          <w:szCs w:val="20"/>
          <w:u w:color="000000"/>
          <w:bdr w:val="nil"/>
          <w:lang w:eastAsia="it-IT"/>
        </w:rPr>
        <w:t>"Divario sociale ed economico" nelle regioni meridionali.</w:t>
      </w:r>
    </w:p>
    <w:p w14:paraId="6DDF634D" w14:textId="77777777" w:rsidR="008A05B0" w:rsidRPr="009802F6"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8E5EA5">
        <w:rPr>
          <w:rFonts w:ascii="Arial" w:eastAsia="Arial Unicode MS" w:hAnsi="Arial" w:cs="Arial Unicode MS"/>
          <w:color w:val="000000"/>
          <w:sz w:val="20"/>
          <w:szCs w:val="20"/>
          <w:u w:color="000000"/>
          <w:bdr w:val="nil"/>
          <w:lang w:eastAsia="it-IT"/>
        </w:rPr>
        <w:t xml:space="preserve">Relativamente all’impatto degli interventi previsti nell’ambito della missione 5 a sostegno del Mezzogiorno […], essi sono diretti ad aumentare l’attrattività dei territori a maggior rischio di spopolamento, accrescere le opportunità di lavoro e affermare il diritto a restare per le nuove generazioni, nonché a </w:t>
      </w:r>
      <w:r w:rsidRPr="00F83342">
        <w:rPr>
          <w:rFonts w:ascii="Arial" w:eastAsia="Arial Unicode MS" w:hAnsi="Arial" w:cs="Arial Unicode MS"/>
          <w:i/>
          <w:color w:val="000000"/>
          <w:sz w:val="20"/>
          <w:szCs w:val="20"/>
          <w:u w:color="000000"/>
          <w:bdr w:val="nil"/>
          <w:lang w:eastAsia="it-IT"/>
        </w:rPr>
        <w:t>migliorare le condizioni di occupabilità delle donne</w:t>
      </w:r>
      <w:r w:rsidRPr="008E5EA5">
        <w:rPr>
          <w:rFonts w:ascii="Arial" w:eastAsia="Arial Unicode MS" w:hAnsi="Arial" w:cs="Arial Unicode MS"/>
          <w:color w:val="000000"/>
          <w:sz w:val="20"/>
          <w:szCs w:val="20"/>
          <w:u w:color="000000"/>
          <w:bdr w:val="nil"/>
          <w:lang w:eastAsia="it-IT"/>
        </w:rPr>
        <w:t>. Valorizzare</w:t>
      </w:r>
      <w:r w:rsidRPr="009802F6">
        <w:rPr>
          <w:rFonts w:ascii="Arial" w:eastAsia="Arial Unicode MS" w:hAnsi="Arial" w:cs="Arial Unicode MS"/>
          <w:color w:val="000000"/>
          <w:sz w:val="20"/>
          <w:szCs w:val="20"/>
          <w:u w:color="000000"/>
          <w:bdr w:val="nil"/>
          <w:lang w:eastAsia="it-IT"/>
        </w:rPr>
        <w:t xml:space="preserve"> i beni confiscati alle mafie con il contributo Terzo Settore contribuisce alla creazione di una nuova consapevolezza sociale sui temi del contrasto alla criminalità organizzata”</w:t>
      </w:r>
      <w:r w:rsidRPr="009802F6">
        <w:rPr>
          <w:rFonts w:ascii="Arial" w:eastAsia="Arial Unicode MS" w:hAnsi="Arial" w:cs="Arial Unicode MS"/>
          <w:color w:val="000000"/>
          <w:sz w:val="20"/>
          <w:szCs w:val="20"/>
          <w:u w:color="000000"/>
          <w:bdr w:val="nil"/>
          <w:vertAlign w:val="superscript"/>
          <w:lang w:eastAsia="it-IT"/>
        </w:rPr>
        <w:footnoteReference w:id="10"/>
      </w:r>
      <w:r w:rsidRPr="009802F6">
        <w:rPr>
          <w:rFonts w:ascii="Arial" w:eastAsia="Arial Unicode MS" w:hAnsi="Arial" w:cs="Arial Unicode MS"/>
          <w:color w:val="000000"/>
          <w:sz w:val="20"/>
          <w:szCs w:val="20"/>
          <w:u w:color="000000"/>
          <w:bdr w:val="nil"/>
          <w:lang w:eastAsia="it-IT"/>
        </w:rPr>
        <w:t>.</w:t>
      </w:r>
    </w:p>
    <w:p w14:paraId="2DF16974" w14:textId="77777777" w:rsidR="008E5EA5" w:rsidRPr="009802F6" w:rsidRDefault="000A1E4A" w:rsidP="00C115BE">
      <w:pPr>
        <w:pStyle w:val="Paragrafoelenco"/>
        <w:spacing w:after="120" w:line="240" w:lineRule="auto"/>
        <w:ind w:left="0"/>
        <w:contextualSpacing w:val="0"/>
        <w:jc w:val="both"/>
        <w:rPr>
          <w:rFonts w:ascii="Arial" w:eastAsia="Arial Unicode MS" w:hAnsi="Arial" w:cs="Arial Unicode MS"/>
          <w:color w:val="000000"/>
          <w:sz w:val="20"/>
          <w:szCs w:val="20"/>
          <w:u w:color="000000"/>
          <w:bdr w:val="nil"/>
          <w:lang w:eastAsia="it-IT"/>
        </w:rPr>
      </w:pPr>
      <w:r>
        <w:rPr>
          <w:rFonts w:ascii="Arial" w:eastAsia="Arial Unicode MS" w:hAnsi="Arial" w:cs="Arial Unicode MS"/>
          <w:color w:val="000000"/>
          <w:sz w:val="20"/>
          <w:szCs w:val="20"/>
          <w:u w:color="000000"/>
          <w:bdr w:val="nil"/>
          <w:lang w:eastAsia="it-IT"/>
        </w:rPr>
        <w:t>Da segnalare</w:t>
      </w:r>
      <w:r w:rsidR="008E5EA5" w:rsidRPr="008E5EA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I</w:t>
      </w:r>
      <w:r w:rsidR="008E5EA5" w:rsidRPr="009802F6">
        <w:rPr>
          <w:rFonts w:ascii="Arial" w:eastAsia="Arial Unicode MS" w:hAnsi="Arial" w:cs="Arial Unicode MS"/>
          <w:color w:val="000000"/>
          <w:sz w:val="20"/>
          <w:szCs w:val="20"/>
          <w:u w:color="000000"/>
          <w:bdr w:val="nil"/>
          <w:lang w:eastAsia="it-IT"/>
        </w:rPr>
        <w:t xml:space="preserve">nterventi socio-educativi strutturati per combattere la povertà educativa nel Mezzogiorno a sostegno del Terzo Settore (M5C3-I 3). La misura mira a promuovere il Terzo Settore nelle regioni del Sud (Abruzzo, Basilicata, Campania, Calabria, Molise, Puglia, Sardegna e Sicilia) e a fornire </w:t>
      </w:r>
      <w:r w:rsidR="008E5EA5" w:rsidRPr="00F83342">
        <w:rPr>
          <w:rFonts w:ascii="Arial" w:eastAsia="Arial Unicode MS" w:hAnsi="Arial" w:cs="Arial Unicode MS"/>
          <w:i/>
          <w:color w:val="000000"/>
          <w:sz w:val="20"/>
          <w:szCs w:val="20"/>
          <w:bdr w:val="nil"/>
          <w:lang w:eastAsia="it-IT"/>
        </w:rPr>
        <w:t xml:space="preserve">servizi socio- educativi ai minori </w:t>
      </w:r>
      <w:r w:rsidR="008E5EA5" w:rsidRPr="009802F6">
        <w:rPr>
          <w:rFonts w:ascii="Arial" w:eastAsia="Arial Unicode MS" w:hAnsi="Arial" w:cs="Arial Unicode MS"/>
          <w:color w:val="000000"/>
          <w:sz w:val="20"/>
          <w:szCs w:val="20"/>
          <w:u w:color="000000"/>
          <w:bdr w:val="nil"/>
          <w:lang w:eastAsia="it-IT"/>
        </w:rPr>
        <w:t>in relazione alle disposizioni dell'accordo di partenariato per il periodo di programmazione 2021-2027 delle politiche europee di coesione</w:t>
      </w:r>
      <w:r w:rsidR="008E5EA5" w:rsidRPr="000A1E4A">
        <w:rPr>
          <w:rFonts w:ascii="Arial" w:eastAsia="Arial Unicode MS" w:hAnsi="Arial" w:cs="Arial Unicode MS"/>
          <w:color w:val="000000"/>
          <w:sz w:val="20"/>
          <w:szCs w:val="20"/>
          <w:u w:color="000000"/>
          <w:bdr w:val="nil"/>
          <w:vertAlign w:val="superscript"/>
          <w:lang w:eastAsia="it-IT"/>
        </w:rPr>
        <w:footnoteReference w:id="11"/>
      </w:r>
      <w:r w:rsidR="008E5EA5" w:rsidRPr="009802F6">
        <w:rPr>
          <w:rFonts w:ascii="Arial" w:eastAsia="Arial Unicode MS" w:hAnsi="Arial" w:cs="Arial Unicode MS"/>
          <w:color w:val="000000"/>
          <w:sz w:val="20"/>
          <w:szCs w:val="20"/>
          <w:u w:color="000000"/>
          <w:bdr w:val="nil"/>
          <w:lang w:eastAsia="it-IT"/>
        </w:rPr>
        <w:t xml:space="preserve">. </w:t>
      </w:r>
    </w:p>
    <w:p w14:paraId="21674A0E" w14:textId="77777777" w:rsidR="008E5EA5" w:rsidRPr="00E96A12" w:rsidRDefault="008E5EA5" w:rsidP="008A05B0">
      <w:pPr>
        <w:jc w:val="both"/>
        <w:rPr>
          <w:rFonts w:ascii="Times New Roman" w:hAnsi="Times New Roman" w:cs="Times New Roman"/>
        </w:rPr>
      </w:pPr>
    </w:p>
    <w:p w14:paraId="1290B66F" w14:textId="77777777" w:rsidR="008A05B0" w:rsidRPr="00E35422" w:rsidRDefault="008A05B0" w:rsidP="00E35422">
      <w:pPr>
        <w:tabs>
          <w:tab w:val="left" w:pos="284"/>
        </w:tabs>
        <w:spacing w:after="120" w:line="240" w:lineRule="auto"/>
        <w:jc w:val="both"/>
        <w:rPr>
          <w:rFonts w:ascii="Arial" w:hAnsi="Arial" w:cs="Arial"/>
          <w:b/>
        </w:rPr>
      </w:pPr>
      <w:r w:rsidRPr="00E35422">
        <w:rPr>
          <w:rFonts w:ascii="Arial" w:hAnsi="Arial" w:cs="Arial"/>
          <w:b/>
        </w:rPr>
        <w:t xml:space="preserve">Missione 6 </w:t>
      </w:r>
      <w:r w:rsidR="009307D3">
        <w:rPr>
          <w:rFonts w:ascii="Arial" w:hAnsi="Arial" w:cs="Arial"/>
          <w:b/>
        </w:rPr>
        <w:t>–</w:t>
      </w:r>
      <w:r w:rsidRPr="00E35422">
        <w:rPr>
          <w:rFonts w:ascii="Arial" w:hAnsi="Arial" w:cs="Arial"/>
          <w:b/>
        </w:rPr>
        <w:t xml:space="preserve"> </w:t>
      </w:r>
      <w:r w:rsidR="009307D3">
        <w:rPr>
          <w:rFonts w:ascii="Arial" w:hAnsi="Arial" w:cs="Arial"/>
          <w:b/>
        </w:rPr>
        <w:t>“</w:t>
      </w:r>
      <w:r w:rsidRPr="00E35422">
        <w:rPr>
          <w:rFonts w:ascii="Arial" w:hAnsi="Arial" w:cs="Arial"/>
          <w:b/>
        </w:rPr>
        <w:t>Salute</w:t>
      </w:r>
      <w:r w:rsidR="009307D3">
        <w:rPr>
          <w:rFonts w:ascii="Arial" w:hAnsi="Arial" w:cs="Arial"/>
          <w:b/>
        </w:rPr>
        <w:t>”</w:t>
      </w:r>
    </w:p>
    <w:p w14:paraId="54B36E67" w14:textId="77777777" w:rsidR="0006709D" w:rsidRDefault="0006709D" w:rsidP="0006709D">
      <w:pPr>
        <w:spacing w:after="120" w:line="240" w:lineRule="auto"/>
        <w:jc w:val="both"/>
        <w:rPr>
          <w:rFonts w:ascii="Arial" w:eastAsia="Arial Unicode MS" w:hAnsi="Arial" w:cs="Arial Unicode MS"/>
          <w:color w:val="000000"/>
          <w:sz w:val="20"/>
          <w:szCs w:val="20"/>
          <w:u w:color="000000"/>
          <w:bdr w:val="nil"/>
          <w:lang w:eastAsia="it-IT"/>
        </w:rPr>
      </w:pPr>
      <w:r>
        <w:rPr>
          <w:rFonts w:ascii="Arial" w:eastAsia="Arial Unicode MS" w:hAnsi="Arial" w:cs="Arial Unicode MS"/>
          <w:color w:val="000000"/>
          <w:sz w:val="20"/>
          <w:szCs w:val="20"/>
          <w:u w:color="000000"/>
          <w:bdr w:val="nil"/>
          <w:lang w:eastAsia="it-IT"/>
        </w:rPr>
        <w:t>“L</w:t>
      </w:r>
      <w:r w:rsidRPr="0006709D">
        <w:rPr>
          <w:rFonts w:ascii="Arial" w:eastAsia="Arial Unicode MS" w:hAnsi="Arial" w:cs="Arial Unicode MS"/>
          <w:color w:val="000000"/>
          <w:sz w:val="20"/>
          <w:szCs w:val="20"/>
          <w:u w:color="000000"/>
          <w:bdr w:val="nil"/>
          <w:lang w:eastAsia="it-IT"/>
        </w:rPr>
        <w:t>a riorganizzazione delle politiche</w:t>
      </w:r>
      <w:r>
        <w:rPr>
          <w:rFonts w:ascii="Arial" w:eastAsia="Arial Unicode MS" w:hAnsi="Arial" w:cs="Arial Unicode MS"/>
          <w:color w:val="000000"/>
          <w:sz w:val="20"/>
          <w:szCs w:val="20"/>
          <w:u w:color="000000"/>
          <w:bdr w:val="nil"/>
          <w:lang w:eastAsia="it-IT"/>
        </w:rPr>
        <w:t xml:space="preserve"> </w:t>
      </w:r>
      <w:r w:rsidRPr="0006709D">
        <w:rPr>
          <w:rFonts w:ascii="Arial" w:eastAsia="Arial Unicode MS" w:hAnsi="Arial" w:cs="Arial Unicode MS"/>
          <w:color w:val="000000"/>
          <w:sz w:val="20"/>
          <w:szCs w:val="20"/>
          <w:u w:color="000000"/>
          <w:bdr w:val="nil"/>
          <w:lang w:eastAsia="it-IT"/>
        </w:rPr>
        <w:t>della salute attraverso riforme e investimenti basati sui</w:t>
      </w:r>
      <w:r>
        <w:rPr>
          <w:rFonts w:ascii="Arial" w:eastAsia="Arial Unicode MS" w:hAnsi="Arial" w:cs="Arial Unicode MS"/>
          <w:color w:val="000000"/>
          <w:sz w:val="20"/>
          <w:szCs w:val="20"/>
          <w:u w:color="000000"/>
          <w:bdr w:val="nil"/>
          <w:lang w:eastAsia="it-IT"/>
        </w:rPr>
        <w:t xml:space="preserve"> </w:t>
      </w:r>
      <w:r w:rsidRPr="0006709D">
        <w:rPr>
          <w:rFonts w:ascii="Arial" w:eastAsia="Arial Unicode MS" w:hAnsi="Arial" w:cs="Arial Unicode MS"/>
          <w:color w:val="000000"/>
          <w:sz w:val="20"/>
          <w:szCs w:val="20"/>
          <w:u w:color="000000"/>
          <w:bdr w:val="nil"/>
          <w:lang w:eastAsia="it-IT"/>
        </w:rPr>
        <w:t>fabbisogni assistenziali contribuisce a superare i divari tra i</w:t>
      </w:r>
      <w:r>
        <w:rPr>
          <w:rFonts w:ascii="Arial" w:eastAsia="Arial Unicode MS" w:hAnsi="Arial" w:cs="Arial Unicode MS"/>
          <w:color w:val="000000"/>
          <w:sz w:val="20"/>
          <w:szCs w:val="20"/>
          <w:u w:color="000000"/>
          <w:bdr w:val="nil"/>
          <w:lang w:eastAsia="it-IT"/>
        </w:rPr>
        <w:t xml:space="preserve"> </w:t>
      </w:r>
      <w:r w:rsidRPr="0006709D">
        <w:rPr>
          <w:rFonts w:ascii="Arial" w:eastAsia="Arial Unicode MS" w:hAnsi="Arial" w:cs="Arial Unicode MS"/>
          <w:color w:val="000000"/>
          <w:sz w:val="20"/>
          <w:szCs w:val="20"/>
          <w:u w:color="000000"/>
          <w:bdr w:val="nil"/>
          <w:lang w:eastAsia="it-IT"/>
        </w:rPr>
        <w:t>diversi sistemi sanitari regionali</w:t>
      </w:r>
      <w:r>
        <w:rPr>
          <w:rFonts w:ascii="Arial" w:eastAsia="Arial Unicode MS" w:hAnsi="Arial" w:cs="Arial Unicode MS"/>
          <w:color w:val="000000"/>
          <w:sz w:val="20"/>
          <w:szCs w:val="20"/>
          <w:u w:color="000000"/>
          <w:bdr w:val="nil"/>
          <w:lang w:eastAsia="it-IT"/>
        </w:rPr>
        <w:t>”</w:t>
      </w:r>
      <w:r>
        <w:rPr>
          <w:rStyle w:val="Rimandonotaapidipagina"/>
          <w:rFonts w:ascii="Arial" w:eastAsia="Arial Unicode MS" w:hAnsi="Arial" w:cs="Arial Unicode MS"/>
          <w:color w:val="000000"/>
          <w:sz w:val="20"/>
          <w:szCs w:val="20"/>
          <w:u w:color="000000"/>
          <w:bdr w:val="nil"/>
          <w:lang w:eastAsia="it-IT"/>
        </w:rPr>
        <w:footnoteReference w:id="12"/>
      </w:r>
    </w:p>
    <w:p w14:paraId="029F5A76" w14:textId="77777777" w:rsidR="008A05B0" w:rsidRPr="000A1E4A" w:rsidRDefault="0006709D" w:rsidP="0006709D">
      <w:pPr>
        <w:spacing w:after="120" w:line="240" w:lineRule="auto"/>
        <w:jc w:val="both"/>
        <w:rPr>
          <w:rFonts w:ascii="Arial" w:eastAsia="Arial Unicode MS" w:hAnsi="Arial" w:cs="Arial Unicode MS"/>
          <w:color w:val="000000"/>
          <w:sz w:val="20"/>
          <w:szCs w:val="20"/>
          <w:u w:color="000000"/>
          <w:bdr w:val="nil"/>
          <w:lang w:eastAsia="it-IT"/>
        </w:rPr>
      </w:pPr>
      <w:r w:rsidRPr="0006709D">
        <w:rPr>
          <w:rFonts w:ascii="Arial" w:eastAsia="Arial Unicode MS" w:hAnsi="Arial" w:cs="Arial Unicode MS"/>
          <w:color w:val="000000"/>
          <w:sz w:val="20"/>
          <w:szCs w:val="20"/>
          <w:u w:color="000000"/>
          <w:bdr w:val="nil"/>
          <w:lang w:eastAsia="it-IT"/>
        </w:rPr>
        <w:t xml:space="preserve"> </w:t>
      </w:r>
      <w:r w:rsidR="008A05B0" w:rsidRPr="00C34ECF">
        <w:rPr>
          <w:rFonts w:ascii="Arial" w:eastAsia="Arial Unicode MS" w:hAnsi="Arial" w:cs="Arial Unicode MS"/>
          <w:color w:val="000000"/>
          <w:sz w:val="20"/>
          <w:szCs w:val="20"/>
          <w:u w:color="000000"/>
          <w:bdr w:val="nil"/>
          <w:lang w:eastAsia="it-IT"/>
        </w:rPr>
        <w:t xml:space="preserve">“Individuare standard qualitativi, tecnologici e organizzativi, uniformi a livello nazionale, significa ristrutturare a livello regionale una gamma di servizi che spaziano dall’assistenza primaria, ai consultori familiari, all’area della salute mentale, salvaguardando, al contempo, le peculiarità e le esigenze assistenziali di ogni area del Paese. Lo scopo è </w:t>
      </w:r>
      <w:r w:rsidR="008A05B0" w:rsidRPr="000A1E4A">
        <w:rPr>
          <w:rFonts w:ascii="Arial" w:eastAsia="Arial Unicode MS" w:hAnsi="Arial" w:cs="Arial Unicode MS"/>
          <w:i/>
          <w:color w:val="000000"/>
          <w:sz w:val="20"/>
          <w:szCs w:val="20"/>
          <w:u w:color="000000"/>
          <w:bdr w:val="nil"/>
          <w:lang w:eastAsia="it-IT"/>
        </w:rPr>
        <w:t>garantire alle persone, indipendentemente dalla regione di residenza</w:t>
      </w:r>
      <w:r w:rsidR="008A05B0" w:rsidRPr="000A1E4A">
        <w:rPr>
          <w:rFonts w:ascii="Arial" w:eastAsia="Arial Unicode MS" w:hAnsi="Arial" w:cs="Arial Unicode MS"/>
          <w:color w:val="000000"/>
          <w:sz w:val="20"/>
          <w:szCs w:val="20"/>
          <w:u w:color="000000"/>
          <w:bdr w:val="nil"/>
          <w:lang w:eastAsia="it-IT"/>
        </w:rPr>
        <w:t xml:space="preserve">, dalla fase acuta alla fase riabilitativa e di mantenimento, </w:t>
      </w:r>
      <w:r w:rsidR="008A05B0" w:rsidRPr="000A1E4A">
        <w:rPr>
          <w:rFonts w:ascii="Arial" w:eastAsia="Arial Unicode MS" w:hAnsi="Arial" w:cs="Arial Unicode MS"/>
          <w:i/>
          <w:color w:val="000000"/>
          <w:sz w:val="20"/>
          <w:szCs w:val="20"/>
          <w:u w:color="000000"/>
          <w:bdr w:val="nil"/>
          <w:lang w:eastAsia="it-IT"/>
        </w:rPr>
        <w:t>un’assistenza continua e diversificata sulla base dello stato di salute</w:t>
      </w:r>
      <w:r w:rsidR="008A05B0" w:rsidRPr="000A1E4A">
        <w:rPr>
          <w:rFonts w:ascii="Arial" w:eastAsia="Arial Unicode MS" w:hAnsi="Arial" w:cs="Arial Unicode MS"/>
          <w:color w:val="000000"/>
          <w:sz w:val="20"/>
          <w:szCs w:val="20"/>
          <w:u w:color="000000"/>
          <w:bdr w:val="nil"/>
          <w:lang w:eastAsia="it-IT"/>
        </w:rPr>
        <w:t xml:space="preserve">. </w:t>
      </w:r>
    </w:p>
    <w:p w14:paraId="365E09B4" w14:textId="77777777" w:rsidR="008A05B0" w:rsidRPr="00C34ECF" w:rsidRDefault="008A05B0" w:rsidP="00C115BE">
      <w:pPr>
        <w:spacing w:after="120" w:line="240" w:lineRule="auto"/>
        <w:jc w:val="both"/>
        <w:rPr>
          <w:rFonts w:ascii="Arial" w:eastAsia="Arial Unicode MS" w:hAnsi="Arial" w:cs="Arial Unicode MS"/>
          <w:color w:val="000000"/>
          <w:sz w:val="20"/>
          <w:szCs w:val="20"/>
          <w:u w:color="000000"/>
          <w:bdr w:val="nil"/>
          <w:lang w:eastAsia="it-IT"/>
        </w:rPr>
      </w:pPr>
      <w:r w:rsidRPr="000A1E4A">
        <w:rPr>
          <w:rFonts w:ascii="Arial" w:eastAsia="Arial Unicode MS" w:hAnsi="Arial" w:cs="Arial Unicode MS"/>
          <w:color w:val="000000"/>
          <w:sz w:val="20"/>
          <w:szCs w:val="20"/>
          <w:u w:color="000000"/>
          <w:bdr w:val="nil"/>
          <w:lang w:eastAsia="it-IT"/>
        </w:rPr>
        <w:t xml:space="preserve">Con questo piano si intende potenziare i servizi assistenziali territoriali consentendo un’effettiva esigibilità dei LEA da parte di tutti gli assistiti. Si prevede, in tal modo, di </w:t>
      </w:r>
      <w:r w:rsidRPr="00F83342">
        <w:rPr>
          <w:rFonts w:ascii="Arial" w:eastAsia="Arial Unicode MS" w:hAnsi="Arial" w:cs="Arial Unicode MS"/>
          <w:i/>
          <w:color w:val="000000"/>
          <w:sz w:val="20"/>
          <w:szCs w:val="20"/>
          <w:u w:color="000000"/>
          <w:bdr w:val="nil"/>
          <w:lang w:eastAsia="it-IT"/>
        </w:rPr>
        <w:t>superare la frammentazione e il divario strutturale tra i diversi sistemi sanitari regionali</w:t>
      </w:r>
      <w:r w:rsidRPr="000A1E4A">
        <w:rPr>
          <w:rFonts w:ascii="Arial" w:eastAsia="Arial Unicode MS" w:hAnsi="Arial" w:cs="Arial Unicode MS"/>
          <w:color w:val="000000"/>
          <w:sz w:val="20"/>
          <w:szCs w:val="20"/>
          <w:u w:color="000000"/>
          <w:bdr w:val="nil"/>
          <w:lang w:eastAsia="it-IT"/>
        </w:rPr>
        <w:t>”</w:t>
      </w:r>
      <w:r w:rsidR="007911F9">
        <w:rPr>
          <w:rStyle w:val="Rimandonotaapidipagina"/>
          <w:rFonts w:ascii="Arial" w:eastAsia="Arial Unicode MS" w:hAnsi="Arial" w:cs="Arial Unicode MS"/>
          <w:color w:val="000000"/>
          <w:sz w:val="20"/>
          <w:szCs w:val="20"/>
          <w:u w:color="000000"/>
          <w:bdr w:val="nil"/>
          <w:lang w:eastAsia="it-IT"/>
        </w:rPr>
        <w:footnoteReference w:id="13"/>
      </w:r>
      <w:r w:rsidR="00F83342">
        <w:rPr>
          <w:rFonts w:ascii="Arial" w:eastAsia="Arial Unicode MS" w:hAnsi="Arial" w:cs="Arial Unicode MS"/>
          <w:color w:val="000000"/>
          <w:sz w:val="20"/>
          <w:szCs w:val="20"/>
          <w:u w:color="000000"/>
          <w:bdr w:val="nil"/>
          <w:lang w:eastAsia="it-IT"/>
        </w:rPr>
        <w:t>.</w:t>
      </w:r>
    </w:p>
    <w:p w14:paraId="50A71802" w14:textId="77777777" w:rsidR="008A05B0" w:rsidRDefault="008A05B0" w:rsidP="008A05B0">
      <w:pPr>
        <w:jc w:val="both"/>
        <w:rPr>
          <w:rFonts w:ascii="Times New Roman" w:hAnsi="Times New Roman" w:cs="Times New Roman"/>
          <w:u w:val="single"/>
        </w:rPr>
      </w:pPr>
    </w:p>
    <w:p w14:paraId="3550D87F" w14:textId="77777777" w:rsidR="00217CF9" w:rsidRDefault="00217CF9">
      <w:pPr>
        <w:spacing w:after="160" w:line="259" w:lineRule="auto"/>
      </w:pPr>
      <w:r>
        <w:br w:type="page"/>
      </w:r>
    </w:p>
    <w:p w14:paraId="798E5CD2" w14:textId="77777777" w:rsidR="00217FED" w:rsidRPr="00E35422" w:rsidRDefault="00217FED" w:rsidP="00217FED">
      <w:pPr>
        <w:tabs>
          <w:tab w:val="left" w:pos="284"/>
        </w:tabs>
        <w:spacing w:after="120" w:line="240" w:lineRule="auto"/>
        <w:jc w:val="center"/>
        <w:rPr>
          <w:rFonts w:ascii="Arial" w:hAnsi="Arial" w:cs="Arial"/>
          <w:b/>
        </w:rPr>
      </w:pPr>
      <w:r>
        <w:rPr>
          <w:rFonts w:ascii="Arial" w:hAnsi="Arial" w:cs="Arial"/>
          <w:b/>
        </w:rPr>
        <w:lastRenderedPageBreak/>
        <w:t>Allegato II – Framework di riferimento</w:t>
      </w:r>
    </w:p>
    <w:p w14:paraId="658BD893" w14:textId="77777777" w:rsidR="009307D3" w:rsidRDefault="009307D3" w:rsidP="008A05B0">
      <w:pPr>
        <w:tabs>
          <w:tab w:val="left" w:pos="284"/>
        </w:tabs>
        <w:spacing w:after="120" w:line="240" w:lineRule="auto"/>
        <w:jc w:val="both"/>
        <w:rPr>
          <w:rFonts w:ascii="Arial" w:eastAsia="Arial Unicode MS" w:hAnsi="Arial" w:cs="Arial Unicode MS"/>
          <w:color w:val="000000"/>
          <w:sz w:val="20"/>
          <w:szCs w:val="20"/>
          <w:u w:color="000000"/>
          <w:bdr w:val="nil"/>
          <w:lang w:eastAsia="it-IT"/>
        </w:rPr>
      </w:pPr>
    </w:p>
    <w:p w14:paraId="41007C02" w14:textId="77777777" w:rsidR="008A05B0" w:rsidRPr="000C3815" w:rsidRDefault="008A05B0" w:rsidP="008A05B0">
      <w:pPr>
        <w:tabs>
          <w:tab w:val="left" w:pos="284"/>
        </w:tabs>
        <w:spacing w:after="120" w:line="240" w:lineRule="auto"/>
        <w:jc w:val="both"/>
        <w:rPr>
          <w:rFonts w:ascii="Arial" w:eastAsia="Arial Unicode MS" w:hAnsi="Arial" w:cs="Arial Unicode MS"/>
          <w:color w:val="000000"/>
          <w:sz w:val="20"/>
          <w:szCs w:val="20"/>
          <w:u w:color="000000"/>
          <w:bdr w:val="nil"/>
          <w:lang w:eastAsia="it-IT"/>
        </w:rPr>
      </w:pPr>
      <w:r w:rsidRPr="000C3815">
        <w:rPr>
          <w:rFonts w:ascii="Arial" w:eastAsia="Arial Unicode MS" w:hAnsi="Arial" w:cs="Arial Unicode MS"/>
          <w:color w:val="000000"/>
          <w:sz w:val="20"/>
          <w:szCs w:val="20"/>
          <w:u w:color="000000"/>
          <w:bdr w:val="nil"/>
          <w:lang w:eastAsia="it-IT"/>
        </w:rPr>
        <w:t xml:space="preserve">I 10 fenomeni </w:t>
      </w:r>
      <w:r>
        <w:rPr>
          <w:rFonts w:ascii="Arial" w:eastAsia="Arial Unicode MS" w:hAnsi="Arial" w:cs="Arial Unicode MS"/>
          <w:color w:val="000000"/>
          <w:sz w:val="20"/>
          <w:szCs w:val="20"/>
          <w:u w:color="000000"/>
          <w:bdr w:val="nil"/>
          <w:lang w:eastAsia="it-IT"/>
        </w:rPr>
        <w:t xml:space="preserve">considerati </w:t>
      </w:r>
      <w:r w:rsidR="008E5EA5">
        <w:rPr>
          <w:rFonts w:ascii="Arial" w:eastAsia="Arial Unicode MS" w:hAnsi="Arial" w:cs="Arial Unicode MS"/>
          <w:color w:val="000000"/>
          <w:sz w:val="20"/>
          <w:szCs w:val="20"/>
          <w:u w:color="000000"/>
          <w:bdr w:val="nil"/>
          <w:lang w:eastAsia="it-IT"/>
        </w:rPr>
        <w:t xml:space="preserve">nel lavoro riguardano </w:t>
      </w:r>
      <w:r>
        <w:rPr>
          <w:rFonts w:ascii="Arial" w:eastAsia="Arial Unicode MS" w:hAnsi="Arial" w:cs="Arial Unicode MS"/>
          <w:color w:val="000000"/>
          <w:sz w:val="20"/>
          <w:szCs w:val="20"/>
          <w:u w:color="000000"/>
          <w:bdr w:val="nil"/>
          <w:lang w:eastAsia="it-IT"/>
        </w:rPr>
        <w:t xml:space="preserve">alcuni fra i </w:t>
      </w:r>
      <w:r w:rsidRPr="000C3815">
        <w:rPr>
          <w:rFonts w:ascii="Arial" w:eastAsia="Arial Unicode MS" w:hAnsi="Arial" w:cs="Arial Unicode MS"/>
          <w:color w:val="000000"/>
          <w:sz w:val="20"/>
          <w:szCs w:val="20"/>
          <w:u w:color="000000"/>
          <w:bdr w:val="nil"/>
          <w:lang w:eastAsia="it-IT"/>
        </w:rPr>
        <w:t>principali contenuti connotativi del PNRR</w:t>
      </w:r>
      <w:r w:rsidR="00422ED6">
        <w:rPr>
          <w:rFonts w:ascii="Arial" w:eastAsia="Arial Unicode MS" w:hAnsi="Arial" w:cs="Arial Unicode MS"/>
          <w:color w:val="000000"/>
          <w:sz w:val="20"/>
          <w:szCs w:val="20"/>
          <w:u w:color="000000"/>
          <w:bdr w:val="nil"/>
          <w:lang w:eastAsia="it-IT"/>
        </w:rPr>
        <w:t xml:space="preserve"> brevemente richiamati sopra. </w:t>
      </w:r>
      <w:r w:rsidRPr="000C3815">
        <w:rPr>
          <w:rFonts w:ascii="Arial" w:eastAsia="Arial Unicode MS" w:hAnsi="Arial" w:cs="Arial Unicode MS"/>
          <w:color w:val="000000"/>
          <w:sz w:val="20"/>
          <w:szCs w:val="20"/>
          <w:u w:color="000000"/>
          <w:bdr w:val="nil"/>
          <w:lang w:eastAsia="it-IT"/>
        </w:rPr>
        <w:t xml:space="preserve">Si tratta </w:t>
      </w:r>
      <w:r>
        <w:rPr>
          <w:rFonts w:ascii="Arial" w:eastAsia="Arial Unicode MS" w:hAnsi="Arial" w:cs="Arial Unicode MS"/>
          <w:color w:val="000000"/>
          <w:sz w:val="20"/>
          <w:szCs w:val="20"/>
          <w:u w:color="000000"/>
          <w:bdr w:val="nil"/>
          <w:lang w:eastAsia="it-IT"/>
        </w:rPr>
        <w:t>– come segnalato anche altrove (Svimez, 2021</w:t>
      </w:r>
      <w:r w:rsidR="0052657E">
        <w:rPr>
          <w:rFonts w:ascii="Arial" w:eastAsia="Arial Unicode MS" w:hAnsi="Arial" w:cs="Arial Unicode MS"/>
          <w:color w:val="000000"/>
          <w:sz w:val="20"/>
          <w:szCs w:val="20"/>
          <w:u w:color="000000"/>
          <w:bdr w:val="nil"/>
          <w:lang w:eastAsia="it-IT"/>
        </w:rPr>
        <w:t xml:space="preserve"> e 2022</w:t>
      </w:r>
      <w:r>
        <w:rPr>
          <w:rFonts w:ascii="Arial" w:eastAsia="Arial Unicode MS" w:hAnsi="Arial" w:cs="Arial Unicode MS"/>
          <w:color w:val="000000"/>
          <w:sz w:val="20"/>
          <w:szCs w:val="20"/>
          <w:u w:color="000000"/>
          <w:bdr w:val="nil"/>
          <w:lang w:eastAsia="it-IT"/>
        </w:rPr>
        <w:t xml:space="preserve">) - </w:t>
      </w:r>
      <w:r w:rsidRPr="000C3815">
        <w:rPr>
          <w:rFonts w:ascii="Arial" w:eastAsia="Arial Unicode MS" w:hAnsi="Arial" w:cs="Arial Unicode MS"/>
          <w:color w:val="000000"/>
          <w:sz w:val="20"/>
          <w:szCs w:val="20"/>
          <w:u w:color="000000"/>
          <w:bdr w:val="nil"/>
          <w:lang w:eastAsia="it-IT"/>
        </w:rPr>
        <w:t xml:space="preserve">di </w:t>
      </w:r>
      <w:r>
        <w:rPr>
          <w:rFonts w:ascii="Arial" w:eastAsia="Arial Unicode MS" w:hAnsi="Arial" w:cs="Arial Unicode MS"/>
          <w:color w:val="000000"/>
          <w:sz w:val="20"/>
          <w:szCs w:val="20"/>
          <w:u w:color="000000"/>
          <w:bdr w:val="nil"/>
          <w:lang w:eastAsia="it-IT"/>
        </w:rPr>
        <w:t xml:space="preserve">aspetti </w:t>
      </w:r>
      <w:r w:rsidRPr="000C3815">
        <w:rPr>
          <w:rFonts w:ascii="Arial" w:eastAsia="Arial Unicode MS" w:hAnsi="Arial" w:cs="Arial Unicode MS"/>
          <w:color w:val="000000"/>
          <w:sz w:val="20"/>
          <w:szCs w:val="20"/>
          <w:u w:color="000000"/>
          <w:bdr w:val="nil"/>
          <w:lang w:eastAsia="it-IT"/>
        </w:rPr>
        <w:t xml:space="preserve">esemplificativi di </w:t>
      </w:r>
      <w:r>
        <w:rPr>
          <w:rFonts w:ascii="Arial" w:eastAsia="Arial Unicode MS" w:hAnsi="Arial" w:cs="Arial Unicode MS"/>
          <w:color w:val="000000"/>
          <w:sz w:val="20"/>
          <w:szCs w:val="20"/>
          <w:u w:color="000000"/>
          <w:bdr w:val="nil"/>
          <w:lang w:eastAsia="it-IT"/>
        </w:rPr>
        <w:t>taluni</w:t>
      </w:r>
      <w:r w:rsidRPr="000C3815">
        <w:rPr>
          <w:rFonts w:ascii="Arial" w:eastAsia="Arial Unicode MS" w:hAnsi="Arial" w:cs="Arial Unicode MS"/>
          <w:color w:val="000000"/>
          <w:sz w:val="20"/>
          <w:szCs w:val="20"/>
          <w:u w:color="000000"/>
          <w:bdr w:val="nil"/>
          <w:lang w:eastAsia="it-IT"/>
        </w:rPr>
        <w:t xml:space="preserve"> ritardi storici del Mezzogiorno, tutti molto rilevanti per la loro pregnanza e attualità</w:t>
      </w:r>
      <w:r>
        <w:rPr>
          <w:rFonts w:ascii="Arial" w:eastAsia="Arial Unicode MS" w:hAnsi="Arial" w:cs="Arial Unicode MS"/>
          <w:color w:val="000000"/>
          <w:sz w:val="20"/>
          <w:szCs w:val="20"/>
          <w:u w:color="000000"/>
          <w:bdr w:val="nil"/>
          <w:lang w:eastAsia="it-IT"/>
        </w:rPr>
        <w:t xml:space="preserve"> e spesso oggetto di ampia attenzione nelle </w:t>
      </w:r>
      <w:r w:rsidRPr="00633CB3">
        <w:rPr>
          <w:rFonts w:ascii="Arial" w:eastAsia="Arial Unicode MS" w:hAnsi="Arial" w:cs="Arial Unicode MS"/>
          <w:i/>
          <w:color w:val="000000"/>
          <w:sz w:val="20"/>
          <w:szCs w:val="20"/>
          <w:u w:color="000000"/>
          <w:bdr w:val="nil"/>
          <w:lang w:eastAsia="it-IT"/>
        </w:rPr>
        <w:t>policy</w:t>
      </w:r>
      <w:r>
        <w:rPr>
          <w:rFonts w:ascii="Arial" w:eastAsia="Arial Unicode MS" w:hAnsi="Arial" w:cs="Arial Unicode MS"/>
          <w:color w:val="000000"/>
          <w:sz w:val="20"/>
          <w:szCs w:val="20"/>
          <w:u w:color="000000"/>
          <w:bdr w:val="nil"/>
          <w:lang w:eastAsia="it-IT"/>
        </w:rPr>
        <w:t xml:space="preserve"> di coesione. Focalizzarne le tendenze, storiche e territoriali, consente di ribadire la rilevanza </w:t>
      </w:r>
      <w:r w:rsidRPr="000C3815">
        <w:rPr>
          <w:rFonts w:ascii="Arial" w:eastAsia="Arial Unicode MS" w:hAnsi="Arial" w:cs="Arial Unicode MS"/>
          <w:color w:val="000000"/>
          <w:sz w:val="20"/>
          <w:szCs w:val="20"/>
          <w:u w:color="000000"/>
          <w:bdr w:val="nil"/>
          <w:lang w:eastAsia="it-IT"/>
        </w:rPr>
        <w:t>del</w:t>
      </w:r>
      <w:r>
        <w:rPr>
          <w:rFonts w:ascii="Arial" w:eastAsia="Arial Unicode MS" w:hAnsi="Arial" w:cs="Arial Unicode MS"/>
          <w:color w:val="000000"/>
          <w:sz w:val="20"/>
          <w:szCs w:val="20"/>
          <w:u w:color="000000"/>
          <w:bdr w:val="nil"/>
          <w:lang w:eastAsia="it-IT"/>
        </w:rPr>
        <w:t xml:space="preserve"> dato statistico a supporto dei processi decisionali applicati a scenari complessi.</w:t>
      </w:r>
      <w:r w:rsidRPr="000C3815">
        <w:rPr>
          <w:rFonts w:ascii="Arial" w:eastAsia="Arial Unicode MS" w:hAnsi="Arial" w:cs="Arial Unicode MS"/>
          <w:color w:val="000000"/>
          <w:sz w:val="20"/>
          <w:szCs w:val="20"/>
          <w:u w:color="000000"/>
          <w:bdr w:val="nil"/>
          <w:lang w:eastAsia="it-IT"/>
        </w:rPr>
        <w:t xml:space="preserve"> </w:t>
      </w:r>
    </w:p>
    <w:p w14:paraId="4AA23530" w14:textId="77777777" w:rsidR="008A05B0" w:rsidRDefault="008A05B0" w:rsidP="008A05B0">
      <w:pPr>
        <w:pStyle w:val="Corpotesto"/>
        <w:ind w:left="198" w:right="284"/>
        <w:jc w:val="both"/>
      </w:pPr>
    </w:p>
    <w:p w14:paraId="4BDF51D2" w14:textId="77777777" w:rsidR="008A05B0" w:rsidRPr="00B903F0" w:rsidRDefault="008A05B0" w:rsidP="008A05B0">
      <w:pPr>
        <w:pStyle w:val="Didascalia"/>
        <w:keepNext/>
        <w:spacing w:after="120"/>
        <w:jc w:val="both"/>
        <w:rPr>
          <w:rStyle w:val="Nessuno"/>
          <w:rFonts w:ascii="Arial Narrow" w:hAnsi="Arial Narrow"/>
          <w:caps/>
          <w:color w:val="808080"/>
          <w:u w:color="808080"/>
        </w:rPr>
      </w:pPr>
      <w:r w:rsidRPr="00B903F0">
        <w:rPr>
          <w:rStyle w:val="Nessuno"/>
          <w:rFonts w:ascii="Arial Narrow" w:hAnsi="Arial Narrow"/>
          <w:caps/>
          <w:color w:val="808080"/>
          <w:u w:color="808080"/>
        </w:rPr>
        <w:t xml:space="preserve">Schema 1 – Framework di riferimento e modello di analisi: indicatori selezionati in relazione agli obiettivi generali e specifici del PNRR (Temi connotativi delle 6 Missioni) </w:t>
      </w:r>
    </w:p>
    <w:p w14:paraId="5152C7E5" w14:textId="77777777" w:rsidR="008A05B0" w:rsidRDefault="008A05B0" w:rsidP="008A05B0">
      <w:pPr>
        <w:jc w:val="both"/>
        <w:rPr>
          <w:rFonts w:ascii="Times New Roman" w:hAnsi="Times New Roman" w:cs="Times New Roman"/>
          <w:sz w:val="24"/>
          <w:szCs w:val="24"/>
        </w:rPr>
      </w:pPr>
      <w:r>
        <w:rPr>
          <w:noProof/>
          <w:lang w:eastAsia="it-IT"/>
        </w:rPr>
        <w:drawing>
          <wp:inline distT="0" distB="0" distL="0" distR="0" wp14:anchorId="34283941" wp14:editId="06295346">
            <wp:extent cx="5977719" cy="2340000"/>
            <wp:effectExtent l="38100" t="0" r="42545"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CB7787" w14:textId="77777777" w:rsidR="008A05B0" w:rsidRPr="000C3815" w:rsidRDefault="008A05B0" w:rsidP="008A05B0">
      <w:pPr>
        <w:tabs>
          <w:tab w:val="left" w:pos="284"/>
        </w:tabs>
        <w:spacing w:after="120" w:line="240" w:lineRule="auto"/>
        <w:jc w:val="both"/>
        <w:rPr>
          <w:rFonts w:ascii="Arial" w:eastAsia="Arial Unicode MS" w:hAnsi="Arial" w:cs="Arial Unicode MS"/>
          <w:color w:val="000000"/>
          <w:sz w:val="20"/>
          <w:szCs w:val="20"/>
          <w:u w:color="000000"/>
          <w:bdr w:val="nil"/>
          <w:lang w:eastAsia="it-IT"/>
        </w:rPr>
      </w:pPr>
      <w:r w:rsidRPr="000C3815">
        <w:rPr>
          <w:rFonts w:ascii="Arial" w:eastAsia="Arial Unicode MS" w:hAnsi="Arial" w:cs="Arial Unicode MS"/>
          <w:color w:val="000000"/>
          <w:sz w:val="20"/>
          <w:szCs w:val="20"/>
          <w:u w:color="000000"/>
          <w:bdr w:val="nil"/>
          <w:lang w:eastAsia="it-IT"/>
        </w:rPr>
        <w:t xml:space="preserve">Un primo set di 4 indicatori riguarda fattori </w:t>
      </w:r>
      <w:r w:rsidRPr="0092568E">
        <w:rPr>
          <w:rFonts w:ascii="Arial" w:eastAsia="Arial Unicode MS" w:hAnsi="Arial" w:cs="Arial Unicode MS"/>
          <w:i/>
          <w:color w:val="000000"/>
          <w:sz w:val="20"/>
          <w:szCs w:val="20"/>
          <w:u w:color="000000"/>
          <w:bdr w:val="nil"/>
          <w:lang w:eastAsia="it-IT"/>
        </w:rPr>
        <w:t>macro</w:t>
      </w:r>
      <w:r w:rsidRPr="000C3815">
        <w:rPr>
          <w:rFonts w:ascii="Arial" w:eastAsia="Arial Unicode MS" w:hAnsi="Arial" w:cs="Arial Unicode MS"/>
          <w:color w:val="000000"/>
          <w:sz w:val="20"/>
          <w:szCs w:val="20"/>
          <w:u w:color="000000"/>
          <w:bdr w:val="nil"/>
          <w:lang w:eastAsia="it-IT"/>
        </w:rPr>
        <w:t xml:space="preserve"> e di contesto, richiamati dalla declaratoria </w:t>
      </w:r>
      <w:r w:rsidR="00C6222E">
        <w:rPr>
          <w:rFonts w:ascii="Arial" w:eastAsia="Arial Unicode MS" w:hAnsi="Arial" w:cs="Arial Unicode MS"/>
          <w:color w:val="000000"/>
          <w:sz w:val="20"/>
          <w:szCs w:val="20"/>
          <w:u w:color="000000"/>
          <w:bdr w:val="nil"/>
          <w:lang w:eastAsia="it-IT"/>
        </w:rPr>
        <w:t xml:space="preserve">dei “contenuti </w:t>
      </w:r>
      <w:r w:rsidRPr="000C3815">
        <w:rPr>
          <w:rFonts w:ascii="Arial" w:eastAsia="Arial Unicode MS" w:hAnsi="Arial" w:cs="Arial Unicode MS"/>
          <w:color w:val="000000"/>
          <w:sz w:val="20"/>
          <w:szCs w:val="20"/>
          <w:u w:color="000000"/>
          <w:bdr w:val="nil"/>
          <w:lang w:eastAsia="it-IT"/>
        </w:rPr>
        <w:t>general</w:t>
      </w:r>
      <w:r w:rsidR="00C6222E">
        <w:rPr>
          <w:rFonts w:ascii="Arial" w:eastAsia="Arial Unicode MS" w:hAnsi="Arial" w:cs="Arial Unicode MS"/>
          <w:color w:val="000000"/>
          <w:sz w:val="20"/>
          <w:szCs w:val="20"/>
          <w:u w:color="000000"/>
          <w:bdr w:val="nil"/>
          <w:lang w:eastAsia="it-IT"/>
        </w:rPr>
        <w:t>i”</w:t>
      </w:r>
      <w:r w:rsidRPr="000C3815">
        <w:rPr>
          <w:rFonts w:ascii="Arial" w:eastAsia="Arial Unicode MS" w:hAnsi="Arial" w:cs="Arial Unicode MS"/>
          <w:color w:val="000000"/>
          <w:sz w:val="20"/>
          <w:szCs w:val="20"/>
          <w:u w:color="000000"/>
          <w:bdr w:val="nil"/>
          <w:lang w:eastAsia="it-IT"/>
        </w:rPr>
        <w:t xml:space="preserve"> della Priorità trasversale che il PNRR dedica alla “riduzione del divario di cittadinanza”. </w:t>
      </w:r>
      <w:r w:rsidR="00C6222E">
        <w:rPr>
          <w:rFonts w:ascii="Arial" w:eastAsia="Arial Unicode MS" w:hAnsi="Arial" w:cs="Arial Unicode MS"/>
          <w:color w:val="000000"/>
          <w:sz w:val="20"/>
          <w:szCs w:val="20"/>
          <w:u w:color="000000"/>
          <w:bdr w:val="nil"/>
          <w:lang w:eastAsia="it-IT"/>
        </w:rPr>
        <w:t xml:space="preserve">Si </w:t>
      </w:r>
      <w:r w:rsidRPr="000C3815">
        <w:rPr>
          <w:rFonts w:ascii="Arial" w:eastAsia="Arial Unicode MS" w:hAnsi="Arial" w:cs="Arial Unicode MS"/>
          <w:color w:val="000000"/>
          <w:sz w:val="20"/>
          <w:szCs w:val="20"/>
          <w:u w:color="000000"/>
          <w:bdr w:val="nil"/>
          <w:lang w:eastAsia="it-IT"/>
        </w:rPr>
        <w:t xml:space="preserve">mira a sostenere lo sviluppo socio-economico del Mezzogiorno, anche </w:t>
      </w:r>
      <w:r>
        <w:rPr>
          <w:rFonts w:ascii="Arial" w:eastAsia="Arial Unicode MS" w:hAnsi="Arial" w:cs="Arial Unicode MS"/>
          <w:color w:val="000000"/>
          <w:sz w:val="20"/>
          <w:szCs w:val="20"/>
          <w:u w:color="000000"/>
          <w:bdr w:val="nil"/>
          <w:lang w:eastAsia="it-IT"/>
        </w:rPr>
        <w:t xml:space="preserve">per </w:t>
      </w:r>
      <w:r w:rsidRPr="000C3815">
        <w:rPr>
          <w:rFonts w:ascii="Arial" w:eastAsia="Arial Unicode MS" w:hAnsi="Arial" w:cs="Arial Unicode MS"/>
          <w:color w:val="000000"/>
          <w:sz w:val="20"/>
          <w:szCs w:val="20"/>
          <w:u w:color="000000"/>
          <w:bdr w:val="nil"/>
          <w:lang w:eastAsia="it-IT"/>
        </w:rPr>
        <w:t>contrastarne i</w:t>
      </w:r>
      <w:r>
        <w:rPr>
          <w:rFonts w:ascii="Arial" w:eastAsia="Arial Unicode MS" w:hAnsi="Arial" w:cs="Arial Unicode MS"/>
          <w:color w:val="000000"/>
          <w:sz w:val="20"/>
          <w:szCs w:val="20"/>
          <w:u w:color="000000"/>
          <w:bdr w:val="nil"/>
          <w:lang w:eastAsia="it-IT"/>
        </w:rPr>
        <w:t>l</w:t>
      </w:r>
      <w:r w:rsidRPr="000C3815">
        <w:rPr>
          <w:rFonts w:ascii="Arial" w:eastAsia="Arial Unicode MS" w:hAnsi="Arial" w:cs="Arial Unicode MS"/>
          <w:color w:val="000000"/>
          <w:sz w:val="20"/>
          <w:szCs w:val="20"/>
          <w:u w:color="000000"/>
          <w:bdr w:val="nil"/>
          <w:lang w:eastAsia="it-IT"/>
        </w:rPr>
        <w:t xml:space="preserve"> depauperamento demografico</w:t>
      </w:r>
      <w:r>
        <w:rPr>
          <w:rFonts w:ascii="Arial" w:eastAsia="Arial Unicode MS" w:hAnsi="Arial" w:cs="Arial Unicode MS"/>
          <w:color w:val="000000"/>
          <w:sz w:val="20"/>
          <w:szCs w:val="20"/>
          <w:u w:color="000000"/>
          <w:bdr w:val="nil"/>
          <w:lang w:eastAsia="it-IT"/>
        </w:rPr>
        <w:t xml:space="preserve"> e per </w:t>
      </w:r>
      <w:r w:rsidRPr="000C3815">
        <w:rPr>
          <w:rFonts w:ascii="Arial" w:eastAsia="Arial Unicode MS" w:hAnsi="Arial" w:cs="Arial Unicode MS"/>
          <w:color w:val="000000"/>
          <w:sz w:val="20"/>
          <w:szCs w:val="20"/>
          <w:u w:color="000000"/>
          <w:bdr w:val="nil"/>
          <w:lang w:eastAsia="it-IT"/>
        </w:rPr>
        <w:t xml:space="preserve">“accompagnare una nuova stagione di convergenza con il </w:t>
      </w:r>
      <w:r>
        <w:rPr>
          <w:rFonts w:ascii="Arial" w:eastAsia="Arial Unicode MS" w:hAnsi="Arial" w:cs="Arial Unicode MS"/>
          <w:color w:val="000000"/>
          <w:sz w:val="20"/>
          <w:szCs w:val="20"/>
          <w:u w:color="000000"/>
          <w:bdr w:val="nil"/>
          <w:lang w:eastAsia="it-IT"/>
        </w:rPr>
        <w:t>Centro-Nord</w:t>
      </w:r>
      <w:r w:rsidRPr="000C3815">
        <w:rPr>
          <w:rFonts w:ascii="Arial" w:eastAsia="Arial Unicode MS" w:hAnsi="Arial" w:cs="Arial Unicode MS"/>
          <w:color w:val="000000"/>
          <w:sz w:val="20"/>
          <w:szCs w:val="20"/>
          <w:u w:color="000000"/>
          <w:bdr w:val="nil"/>
          <w:lang w:eastAsia="it-IT"/>
        </w:rPr>
        <w:t>”</w:t>
      </w:r>
      <w:r w:rsidRPr="00633CB3">
        <w:rPr>
          <w:rFonts w:ascii="Arial" w:eastAsia="Arial Unicode MS" w:hAnsi="Arial" w:cs="Arial Unicode MS"/>
          <w:color w:val="000000"/>
          <w:sz w:val="20"/>
          <w:szCs w:val="20"/>
          <w:u w:color="000000"/>
          <w:bdr w:val="nil"/>
          <w:vertAlign w:val="superscript"/>
          <w:lang w:eastAsia="it-IT"/>
        </w:rPr>
        <w:footnoteReference w:id="14"/>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 xml:space="preserve">A questo proposito, si </w:t>
      </w:r>
      <w:r w:rsidRPr="000C3815">
        <w:rPr>
          <w:rFonts w:ascii="Arial" w:eastAsia="Arial Unicode MS" w:hAnsi="Arial" w:cs="Arial Unicode MS"/>
          <w:color w:val="000000"/>
          <w:sz w:val="20"/>
          <w:szCs w:val="20"/>
          <w:u w:color="000000"/>
          <w:bdr w:val="nil"/>
          <w:lang w:eastAsia="it-IT"/>
        </w:rPr>
        <w:t xml:space="preserve">richiamano esplicitamente </w:t>
      </w:r>
      <w:r>
        <w:rPr>
          <w:rFonts w:ascii="Arial" w:eastAsia="Arial Unicode MS" w:hAnsi="Arial" w:cs="Arial Unicode MS"/>
          <w:color w:val="000000"/>
          <w:sz w:val="20"/>
          <w:szCs w:val="20"/>
          <w:u w:color="000000"/>
          <w:bdr w:val="nil"/>
          <w:lang w:eastAsia="it-IT"/>
        </w:rPr>
        <w:t xml:space="preserve">alcuni </w:t>
      </w:r>
      <w:r w:rsidRPr="000C3815">
        <w:rPr>
          <w:rFonts w:ascii="Arial" w:eastAsia="Arial Unicode MS" w:hAnsi="Arial" w:cs="Arial Unicode MS"/>
          <w:color w:val="000000"/>
          <w:sz w:val="20"/>
          <w:szCs w:val="20"/>
          <w:u w:color="000000"/>
          <w:bdr w:val="nil"/>
          <w:lang w:eastAsia="it-IT"/>
        </w:rPr>
        <w:t>fattori chiave</w:t>
      </w:r>
      <w:r>
        <w:rPr>
          <w:rFonts w:ascii="Arial" w:eastAsia="Arial Unicode MS" w:hAnsi="Arial" w:cs="Arial Unicode MS"/>
          <w:color w:val="000000"/>
          <w:sz w:val="20"/>
          <w:szCs w:val="20"/>
          <w:u w:color="000000"/>
          <w:bdr w:val="nil"/>
          <w:lang w:eastAsia="it-IT"/>
        </w:rPr>
        <w:t>, fra i quali</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 xml:space="preserve">(1) </w:t>
      </w:r>
      <w:r w:rsidRPr="000C3815">
        <w:rPr>
          <w:rFonts w:ascii="Arial" w:eastAsia="Arial Unicode MS" w:hAnsi="Arial" w:cs="Arial Unicode MS"/>
          <w:color w:val="000000"/>
          <w:sz w:val="20"/>
          <w:szCs w:val="20"/>
          <w:u w:color="000000"/>
          <w:bdr w:val="nil"/>
          <w:lang w:eastAsia="it-IT"/>
        </w:rPr>
        <w:t>il Pil pro-capite, il cui differenziale nell’ultima fase “è rimasto sostanzialmente inalterato, se non aumentato”;</w:t>
      </w:r>
      <w:r>
        <w:rPr>
          <w:rFonts w:ascii="Arial" w:eastAsia="Arial Unicode MS" w:hAnsi="Arial" w:cs="Arial Unicode MS"/>
          <w:color w:val="000000"/>
          <w:sz w:val="20"/>
          <w:szCs w:val="20"/>
          <w:u w:color="000000"/>
          <w:bdr w:val="nil"/>
          <w:lang w:eastAsia="it-IT"/>
        </w:rPr>
        <w:t xml:space="preserve"> (2) </w:t>
      </w:r>
      <w:r w:rsidRPr="000C3815">
        <w:rPr>
          <w:rFonts w:ascii="Arial" w:eastAsia="Arial Unicode MS" w:hAnsi="Arial" w:cs="Arial Unicode MS"/>
          <w:color w:val="000000"/>
          <w:sz w:val="20"/>
          <w:szCs w:val="20"/>
          <w:u w:color="000000"/>
          <w:bdr w:val="nil"/>
          <w:lang w:eastAsia="it-IT"/>
        </w:rPr>
        <w:t>la “bassa qualità e quantità di capitale umano”, che incide negativamente sulla produttività e “riduce le possibilità di uno sviluppo autonomo dell’area”;</w:t>
      </w:r>
      <w:r>
        <w:rPr>
          <w:rFonts w:ascii="Arial" w:eastAsia="Arial Unicode MS" w:hAnsi="Arial" w:cs="Arial Unicode MS"/>
          <w:color w:val="000000"/>
          <w:sz w:val="20"/>
          <w:szCs w:val="20"/>
          <w:u w:color="000000"/>
          <w:bdr w:val="nil"/>
          <w:lang w:eastAsia="it-IT"/>
        </w:rPr>
        <w:t xml:space="preserve"> (3) l</w:t>
      </w:r>
      <w:r w:rsidRPr="000C3815">
        <w:rPr>
          <w:rFonts w:ascii="Arial" w:eastAsia="Arial Unicode MS" w:hAnsi="Arial" w:cs="Arial Unicode MS"/>
          <w:color w:val="000000"/>
          <w:sz w:val="20"/>
          <w:szCs w:val="20"/>
          <w:u w:color="000000"/>
          <w:bdr w:val="nil"/>
          <w:lang w:eastAsia="it-IT"/>
        </w:rPr>
        <w:t>e “scarse opportunità lavorative</w:t>
      </w:r>
      <w:r>
        <w:rPr>
          <w:rFonts w:ascii="Arial" w:eastAsia="Arial Unicode MS" w:hAnsi="Arial" w:cs="Arial Unicode MS"/>
          <w:color w:val="000000"/>
          <w:sz w:val="20"/>
          <w:szCs w:val="20"/>
          <w:u w:color="000000"/>
          <w:bdr w:val="nil"/>
          <w:lang w:eastAsia="it-IT"/>
        </w:rPr>
        <w:t>”</w:t>
      </w:r>
      <w:r w:rsidRPr="000C3815">
        <w:rPr>
          <w:rFonts w:ascii="Arial" w:eastAsia="Arial Unicode MS" w:hAnsi="Arial" w:cs="Arial Unicode MS"/>
          <w:color w:val="000000"/>
          <w:sz w:val="20"/>
          <w:szCs w:val="20"/>
          <w:u w:color="000000"/>
          <w:bdr w:val="nil"/>
          <w:lang w:eastAsia="it-IT"/>
        </w:rPr>
        <w:t xml:space="preserve"> e </w:t>
      </w:r>
      <w:r>
        <w:rPr>
          <w:rFonts w:ascii="Arial" w:eastAsia="Arial Unicode MS" w:hAnsi="Arial" w:cs="Arial Unicode MS"/>
          <w:color w:val="000000"/>
          <w:sz w:val="20"/>
          <w:szCs w:val="20"/>
          <w:u w:color="000000"/>
          <w:bdr w:val="nil"/>
          <w:lang w:eastAsia="it-IT"/>
        </w:rPr>
        <w:t xml:space="preserve">(4) </w:t>
      </w:r>
      <w:r w:rsidRPr="000C3815">
        <w:rPr>
          <w:rFonts w:ascii="Arial" w:eastAsia="Arial Unicode MS" w:hAnsi="Arial" w:cs="Arial Unicode MS"/>
          <w:color w:val="000000"/>
          <w:sz w:val="20"/>
          <w:szCs w:val="20"/>
          <w:u w:color="000000"/>
          <w:bdr w:val="nil"/>
          <w:lang w:eastAsia="it-IT"/>
        </w:rPr>
        <w:t>la crescita dell’emigrazione, in particolare giovanile” che “genera un ulteriore impoverimento del capitale umano residente al sud”</w:t>
      </w:r>
      <w:r w:rsidR="00C6222E">
        <w:rPr>
          <w:rFonts w:ascii="Arial" w:eastAsia="Arial Unicode MS" w:hAnsi="Arial" w:cs="Arial Unicode MS"/>
          <w:color w:val="000000"/>
          <w:sz w:val="20"/>
          <w:szCs w:val="20"/>
          <w:u w:color="000000"/>
          <w:bdr w:val="nil"/>
          <w:lang w:eastAsia="it-IT"/>
        </w:rPr>
        <w:t xml:space="preserve"> (si veda sopra)</w:t>
      </w:r>
      <w:r w:rsidRPr="000C3815">
        <w:rPr>
          <w:rFonts w:ascii="Arial" w:eastAsia="Arial Unicode MS" w:hAnsi="Arial" w:cs="Arial Unicode MS"/>
          <w:color w:val="000000"/>
          <w:sz w:val="20"/>
          <w:szCs w:val="20"/>
          <w:u w:color="000000"/>
          <w:bdr w:val="nil"/>
          <w:lang w:eastAsia="it-IT"/>
        </w:rPr>
        <w:t xml:space="preserve">. Pertanto, </w:t>
      </w:r>
      <w:r>
        <w:rPr>
          <w:rFonts w:ascii="Arial" w:eastAsia="Arial Unicode MS" w:hAnsi="Arial" w:cs="Arial Unicode MS"/>
          <w:color w:val="000000"/>
          <w:sz w:val="20"/>
          <w:szCs w:val="20"/>
          <w:u w:color="000000"/>
          <w:bdr w:val="nil"/>
          <w:lang w:eastAsia="it-IT"/>
        </w:rPr>
        <w:t xml:space="preserve">ai fini specifici, </w:t>
      </w:r>
      <w:r w:rsidRPr="000C3815">
        <w:rPr>
          <w:rFonts w:ascii="Arial" w:eastAsia="Arial Unicode MS" w:hAnsi="Arial" w:cs="Arial Unicode MS"/>
          <w:color w:val="000000"/>
          <w:sz w:val="20"/>
          <w:szCs w:val="20"/>
          <w:u w:color="000000"/>
          <w:bdr w:val="nil"/>
          <w:lang w:eastAsia="it-IT"/>
        </w:rPr>
        <w:t xml:space="preserve">sono stati </w:t>
      </w:r>
      <w:r>
        <w:rPr>
          <w:rFonts w:ascii="Arial" w:eastAsia="Arial Unicode MS" w:hAnsi="Arial" w:cs="Arial Unicode MS"/>
          <w:color w:val="000000"/>
          <w:sz w:val="20"/>
          <w:szCs w:val="20"/>
          <w:u w:color="000000"/>
          <w:bdr w:val="nil"/>
          <w:lang w:eastAsia="it-IT"/>
        </w:rPr>
        <w:t>esaminati</w:t>
      </w:r>
      <w:r w:rsidRPr="000C3815">
        <w:rPr>
          <w:rFonts w:ascii="Arial" w:eastAsia="Arial Unicode MS" w:hAnsi="Arial" w:cs="Arial Unicode MS"/>
          <w:color w:val="000000"/>
          <w:sz w:val="20"/>
          <w:szCs w:val="20"/>
          <w:u w:color="000000"/>
          <w:bdr w:val="nil"/>
          <w:lang w:eastAsia="it-IT"/>
        </w:rPr>
        <w:t xml:space="preserve"> i seguenti indicatori</w:t>
      </w:r>
      <w:r w:rsidRPr="00633CB3">
        <w:rPr>
          <w:rFonts w:ascii="Arial" w:eastAsia="Arial Unicode MS" w:hAnsi="Arial" w:cs="Arial Unicode MS"/>
          <w:color w:val="000000"/>
          <w:sz w:val="20"/>
          <w:szCs w:val="20"/>
          <w:u w:color="000000"/>
          <w:bdr w:val="nil"/>
          <w:vertAlign w:val="superscript"/>
          <w:lang w:eastAsia="it-IT"/>
        </w:rPr>
        <w:footnoteReference w:id="15"/>
      </w:r>
      <w:r w:rsidRPr="000C3815">
        <w:rPr>
          <w:rFonts w:ascii="Arial" w:eastAsia="Arial Unicode MS" w:hAnsi="Arial" w:cs="Arial Unicode MS"/>
          <w:color w:val="000000"/>
          <w:sz w:val="20"/>
          <w:szCs w:val="20"/>
          <w:u w:color="000000"/>
          <w:bdr w:val="nil"/>
          <w:lang w:eastAsia="it-IT"/>
        </w:rPr>
        <w:t xml:space="preserve">: Pil pro-capite; livello d’istruzione (bassa e alta istruzione); tasso di occupazione; </w:t>
      </w:r>
      <w:r>
        <w:rPr>
          <w:rFonts w:ascii="Arial" w:eastAsia="Arial Unicode MS" w:hAnsi="Arial" w:cs="Arial Unicode MS"/>
          <w:color w:val="000000"/>
          <w:sz w:val="20"/>
          <w:szCs w:val="20"/>
          <w:u w:color="000000"/>
          <w:bdr w:val="nil"/>
          <w:lang w:eastAsia="it-IT"/>
        </w:rPr>
        <w:t>indice (e tasso) migratorio</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 xml:space="preserve">Gli ultimi due riguardano la fascia di </w:t>
      </w:r>
      <w:r w:rsidRPr="000C3815">
        <w:rPr>
          <w:rFonts w:ascii="Arial" w:eastAsia="Arial Unicode MS" w:hAnsi="Arial" w:cs="Arial Unicode MS"/>
          <w:color w:val="000000"/>
          <w:sz w:val="20"/>
          <w:szCs w:val="20"/>
          <w:u w:color="000000"/>
          <w:bdr w:val="nil"/>
          <w:lang w:eastAsia="it-IT"/>
        </w:rPr>
        <w:t xml:space="preserve">popolazione </w:t>
      </w:r>
      <w:r>
        <w:rPr>
          <w:rFonts w:ascii="Arial" w:eastAsia="Arial Unicode MS" w:hAnsi="Arial" w:cs="Arial Unicode MS"/>
          <w:color w:val="000000"/>
          <w:sz w:val="20"/>
          <w:szCs w:val="20"/>
          <w:u w:color="000000"/>
          <w:bdr w:val="nil"/>
          <w:lang w:eastAsia="it-IT"/>
        </w:rPr>
        <w:t xml:space="preserve">più </w:t>
      </w:r>
      <w:r w:rsidRPr="000C3815">
        <w:rPr>
          <w:rFonts w:ascii="Arial" w:eastAsia="Arial Unicode MS" w:hAnsi="Arial" w:cs="Arial Unicode MS"/>
          <w:color w:val="000000"/>
          <w:sz w:val="20"/>
          <w:szCs w:val="20"/>
          <w:u w:color="000000"/>
          <w:bdr w:val="nil"/>
          <w:lang w:eastAsia="it-IT"/>
        </w:rPr>
        <w:t xml:space="preserve">interessata dalla transizione verso il lavoro </w:t>
      </w:r>
      <w:r>
        <w:rPr>
          <w:rFonts w:ascii="Arial" w:eastAsia="Arial Unicode MS" w:hAnsi="Arial" w:cs="Arial Unicode MS"/>
          <w:color w:val="000000"/>
          <w:sz w:val="20"/>
          <w:szCs w:val="20"/>
          <w:u w:color="000000"/>
          <w:bdr w:val="nil"/>
          <w:lang w:eastAsia="it-IT"/>
        </w:rPr>
        <w:t xml:space="preserve">e dai fenomeni migratori </w:t>
      </w:r>
      <w:r w:rsidRPr="000C3815">
        <w:rPr>
          <w:rFonts w:ascii="Arial" w:eastAsia="Arial Unicode MS" w:hAnsi="Arial" w:cs="Arial Unicode MS"/>
          <w:color w:val="000000"/>
          <w:sz w:val="20"/>
          <w:szCs w:val="20"/>
          <w:u w:color="000000"/>
          <w:bdr w:val="nil"/>
          <w:lang w:eastAsia="it-IT"/>
        </w:rPr>
        <w:t>(25-34 anni)</w:t>
      </w:r>
      <w:r>
        <w:rPr>
          <w:rFonts w:ascii="Arial" w:eastAsia="Arial Unicode MS" w:hAnsi="Arial" w:cs="Arial Unicode MS"/>
          <w:color w:val="000000"/>
          <w:sz w:val="20"/>
          <w:szCs w:val="20"/>
          <w:u w:color="000000"/>
          <w:bdr w:val="nil"/>
          <w:lang w:eastAsia="it-IT"/>
        </w:rPr>
        <w:t>. Il secondo si focalizza sulla fascia di età centrale (</w:t>
      </w:r>
      <w:r w:rsidRPr="000C3815">
        <w:rPr>
          <w:rFonts w:ascii="Arial" w:eastAsia="Arial Unicode MS" w:hAnsi="Arial" w:cs="Arial Unicode MS"/>
          <w:color w:val="000000"/>
          <w:sz w:val="20"/>
          <w:szCs w:val="20"/>
          <w:u w:color="000000"/>
          <w:bdr w:val="nil"/>
          <w:lang w:eastAsia="it-IT"/>
        </w:rPr>
        <w:t>25-49 anni</w:t>
      </w:r>
      <w:r>
        <w:rPr>
          <w:rFonts w:ascii="Arial" w:eastAsia="Arial Unicode MS" w:hAnsi="Arial" w:cs="Arial Unicode MS"/>
          <w:color w:val="000000"/>
          <w:sz w:val="20"/>
          <w:szCs w:val="20"/>
          <w:u w:color="000000"/>
          <w:bdr w:val="nil"/>
          <w:lang w:eastAsia="it-IT"/>
        </w:rPr>
        <w:t xml:space="preserve">), </w:t>
      </w:r>
      <w:r w:rsidRPr="000C3815">
        <w:rPr>
          <w:rFonts w:ascii="Arial" w:eastAsia="Arial Unicode MS" w:hAnsi="Arial" w:cs="Arial Unicode MS"/>
          <w:color w:val="000000"/>
          <w:sz w:val="20"/>
          <w:szCs w:val="20"/>
          <w:u w:color="000000"/>
          <w:bdr w:val="nil"/>
          <w:lang w:eastAsia="it-IT"/>
        </w:rPr>
        <w:t>più aderente all’assetto attuale del sistema scolastico</w:t>
      </w:r>
      <w:r>
        <w:rPr>
          <w:rFonts w:ascii="Arial" w:eastAsia="Arial Unicode MS" w:hAnsi="Arial" w:cs="Arial Unicode MS"/>
          <w:color w:val="000000"/>
          <w:sz w:val="20"/>
          <w:szCs w:val="20"/>
          <w:u w:color="000000"/>
          <w:bdr w:val="nil"/>
          <w:lang w:eastAsia="it-IT"/>
        </w:rPr>
        <w:t xml:space="preserve">. </w:t>
      </w:r>
    </w:p>
    <w:p w14:paraId="6BB55FFD" w14:textId="77777777" w:rsidR="008A05B0" w:rsidRDefault="008A05B0" w:rsidP="008A05B0">
      <w:pPr>
        <w:tabs>
          <w:tab w:val="left" w:pos="284"/>
        </w:tabs>
        <w:spacing w:after="120" w:line="240" w:lineRule="auto"/>
        <w:jc w:val="both"/>
        <w:rPr>
          <w:rFonts w:ascii="Arial" w:eastAsia="Arial Unicode MS" w:hAnsi="Arial" w:cs="Arial Unicode MS"/>
          <w:color w:val="000000"/>
          <w:sz w:val="20"/>
          <w:szCs w:val="20"/>
          <w:u w:color="000000"/>
          <w:bdr w:val="nil"/>
          <w:lang w:eastAsia="it-IT"/>
        </w:rPr>
      </w:pPr>
      <w:r w:rsidRPr="000C3815">
        <w:rPr>
          <w:rFonts w:ascii="Arial" w:eastAsia="Arial Unicode MS" w:hAnsi="Arial" w:cs="Arial Unicode MS"/>
          <w:color w:val="000000"/>
          <w:sz w:val="20"/>
          <w:szCs w:val="20"/>
          <w:u w:color="000000"/>
          <w:bdr w:val="nil"/>
          <w:lang w:eastAsia="it-IT"/>
        </w:rPr>
        <w:t>La seconda batteria</w:t>
      </w:r>
      <w:r>
        <w:rPr>
          <w:rFonts w:ascii="Arial" w:eastAsia="Arial Unicode MS" w:hAnsi="Arial" w:cs="Arial Unicode MS"/>
          <w:color w:val="000000"/>
          <w:sz w:val="20"/>
          <w:szCs w:val="20"/>
          <w:u w:color="000000"/>
          <w:bdr w:val="nil"/>
          <w:lang w:eastAsia="it-IT"/>
        </w:rPr>
        <w:t>,</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 xml:space="preserve">composta da </w:t>
      </w:r>
      <w:r w:rsidRPr="000C3815">
        <w:rPr>
          <w:rFonts w:ascii="Arial" w:eastAsia="Arial Unicode MS" w:hAnsi="Arial" w:cs="Arial Unicode MS"/>
          <w:color w:val="000000"/>
          <w:sz w:val="20"/>
          <w:szCs w:val="20"/>
          <w:u w:color="000000"/>
          <w:bdr w:val="nil"/>
          <w:lang w:eastAsia="it-IT"/>
        </w:rPr>
        <w:t>6 indicatori</w:t>
      </w:r>
      <w:r>
        <w:rPr>
          <w:rFonts w:ascii="Arial" w:eastAsia="Arial Unicode MS" w:hAnsi="Arial" w:cs="Arial Unicode MS"/>
          <w:color w:val="000000"/>
          <w:sz w:val="20"/>
          <w:szCs w:val="20"/>
          <w:u w:color="000000"/>
          <w:bdr w:val="nil"/>
          <w:lang w:eastAsia="it-IT"/>
        </w:rPr>
        <w:t>,</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richiama l</w:t>
      </w:r>
      <w:r w:rsidRPr="000C3815">
        <w:rPr>
          <w:rFonts w:ascii="Arial" w:eastAsia="Arial Unicode MS" w:hAnsi="Arial" w:cs="Arial Unicode MS"/>
          <w:color w:val="000000"/>
          <w:sz w:val="20"/>
          <w:szCs w:val="20"/>
          <w:u w:color="000000"/>
          <w:bdr w:val="nil"/>
          <w:lang w:eastAsia="it-IT"/>
        </w:rPr>
        <w:t>’impianto operativo del PNRR, articolato in altrettante Missioni, ossia in linee di intervento tematiche molto ampie, a loro volta suddivise in 16 Componenti e in un numero elevato di linee di investimento e riforme settoriali</w:t>
      </w:r>
      <w:r w:rsidRPr="009960BA">
        <w:rPr>
          <w:rFonts w:ascii="Arial" w:eastAsia="Arial Unicode MS" w:hAnsi="Arial" w:cs="Arial Unicode MS"/>
          <w:color w:val="000000"/>
          <w:sz w:val="20"/>
          <w:szCs w:val="20"/>
          <w:u w:color="000000"/>
          <w:bdr w:val="nil"/>
          <w:vertAlign w:val="superscript"/>
          <w:lang w:eastAsia="it-IT"/>
        </w:rPr>
        <w:footnoteReference w:id="16"/>
      </w:r>
      <w:r w:rsidRPr="000C3815">
        <w:rPr>
          <w:rFonts w:ascii="Arial" w:eastAsia="Arial Unicode MS" w:hAnsi="Arial" w:cs="Arial Unicode MS"/>
          <w:color w:val="000000"/>
          <w:sz w:val="20"/>
          <w:szCs w:val="20"/>
          <w:u w:color="000000"/>
          <w:bdr w:val="nil"/>
          <w:lang w:eastAsia="it-IT"/>
        </w:rPr>
        <w:t>.</w:t>
      </w:r>
      <w:r>
        <w:rPr>
          <w:rFonts w:ascii="Arial" w:eastAsia="Arial Unicode MS" w:hAnsi="Arial" w:cs="Arial Unicode MS"/>
          <w:color w:val="000000"/>
          <w:sz w:val="20"/>
          <w:szCs w:val="20"/>
          <w:u w:color="000000"/>
          <w:bdr w:val="nil"/>
          <w:lang w:eastAsia="it-IT"/>
        </w:rPr>
        <w:t xml:space="preserve"> C</w:t>
      </w:r>
      <w:r w:rsidRPr="000C3815">
        <w:rPr>
          <w:rFonts w:ascii="Arial" w:eastAsia="Arial Unicode MS" w:hAnsi="Arial" w:cs="Arial Unicode MS"/>
          <w:color w:val="000000"/>
          <w:sz w:val="20"/>
          <w:szCs w:val="20"/>
          <w:u w:color="000000"/>
          <w:bdr w:val="nil"/>
          <w:lang w:eastAsia="it-IT"/>
        </w:rPr>
        <w:t>on riferimento alle specificità della Priorità 3</w:t>
      </w:r>
      <w:r>
        <w:rPr>
          <w:rFonts w:ascii="Arial" w:eastAsia="Arial Unicode MS" w:hAnsi="Arial" w:cs="Arial Unicode MS"/>
          <w:color w:val="000000"/>
          <w:sz w:val="20"/>
          <w:szCs w:val="20"/>
          <w:u w:color="000000"/>
          <w:bdr w:val="nil"/>
          <w:lang w:eastAsia="it-IT"/>
        </w:rPr>
        <w:t xml:space="preserve"> – e talvolta a </w:t>
      </w:r>
      <w:r w:rsidRPr="000C3815">
        <w:rPr>
          <w:rFonts w:ascii="Arial" w:eastAsia="Arial Unicode MS" w:hAnsi="Arial" w:cs="Arial Unicode MS"/>
          <w:color w:val="000000"/>
          <w:sz w:val="20"/>
          <w:szCs w:val="20"/>
          <w:u w:color="000000"/>
          <w:bdr w:val="nil"/>
          <w:lang w:eastAsia="it-IT"/>
        </w:rPr>
        <w:t>fenomeni di strettissima attualità (ad esempio, l’efficienza id</w:t>
      </w:r>
      <w:r>
        <w:rPr>
          <w:rFonts w:ascii="Arial" w:eastAsia="Arial Unicode MS" w:hAnsi="Arial" w:cs="Arial Unicode MS"/>
          <w:color w:val="000000"/>
          <w:sz w:val="20"/>
          <w:szCs w:val="20"/>
          <w:u w:color="000000"/>
          <w:bdr w:val="nil"/>
          <w:lang w:eastAsia="it-IT"/>
        </w:rPr>
        <w:t xml:space="preserve">rica) - </w:t>
      </w:r>
      <w:r w:rsidRPr="00306BF1">
        <w:rPr>
          <w:rFonts w:ascii="Arial" w:eastAsia="Arial Unicode MS" w:hAnsi="Arial" w:cs="Arial Unicode MS"/>
          <w:color w:val="000000"/>
          <w:sz w:val="20"/>
          <w:szCs w:val="20"/>
          <w:u w:color="000000"/>
          <w:bdr w:val="nil"/>
          <w:lang w:eastAsia="it-IT"/>
        </w:rPr>
        <w:t xml:space="preserve">questa complessa architettura </w:t>
      </w:r>
      <w:r>
        <w:rPr>
          <w:rFonts w:ascii="Arial" w:eastAsia="Arial Unicode MS" w:hAnsi="Arial" w:cs="Arial Unicode MS"/>
          <w:color w:val="000000"/>
          <w:sz w:val="20"/>
          <w:szCs w:val="20"/>
          <w:u w:color="000000"/>
          <w:bdr w:val="nil"/>
          <w:lang w:eastAsia="it-IT"/>
        </w:rPr>
        <w:t xml:space="preserve">distingue </w:t>
      </w:r>
      <w:r w:rsidRPr="00306BF1">
        <w:rPr>
          <w:rFonts w:ascii="Arial" w:eastAsia="Arial Unicode MS" w:hAnsi="Arial" w:cs="Arial Unicode MS"/>
          <w:color w:val="000000"/>
          <w:sz w:val="20"/>
          <w:szCs w:val="20"/>
          <w:u w:color="000000"/>
          <w:bdr w:val="nil"/>
          <w:lang w:eastAsia="it-IT"/>
        </w:rPr>
        <w:t>strategie di intervento più orientate allo sviluppo infrastrutturale</w:t>
      </w:r>
      <w:r>
        <w:rPr>
          <w:rFonts w:ascii="Arial" w:eastAsia="Arial Unicode MS" w:hAnsi="Arial" w:cs="Arial Unicode MS"/>
          <w:color w:val="000000"/>
          <w:sz w:val="20"/>
          <w:szCs w:val="20"/>
          <w:u w:color="000000"/>
          <w:bdr w:val="nil"/>
          <w:lang w:eastAsia="it-IT"/>
        </w:rPr>
        <w:t xml:space="preserve"> (missioni 1-3) da altre rivolte soprattutto alla qualificazione di alcuni rilevanti servizi alle persone (missioni 4-6). </w:t>
      </w:r>
      <w:r w:rsidRPr="000C3815">
        <w:rPr>
          <w:rFonts w:ascii="Arial" w:eastAsia="Arial Unicode MS" w:hAnsi="Arial" w:cs="Arial Unicode MS"/>
          <w:color w:val="000000"/>
          <w:sz w:val="20"/>
          <w:szCs w:val="20"/>
          <w:u w:color="000000"/>
          <w:bdr w:val="nil"/>
          <w:lang w:eastAsia="it-IT"/>
        </w:rPr>
        <w:t>Ne è scaturito il secondo ramo del modello operazionale</w:t>
      </w:r>
      <w:r>
        <w:rPr>
          <w:rFonts w:ascii="Arial" w:eastAsia="Arial Unicode MS" w:hAnsi="Arial" w:cs="Arial Unicode MS"/>
          <w:color w:val="000000"/>
          <w:sz w:val="20"/>
          <w:szCs w:val="20"/>
          <w:u w:color="000000"/>
          <w:bdr w:val="nil"/>
          <w:lang w:eastAsia="it-IT"/>
        </w:rPr>
        <w:t xml:space="preserve"> in cui, a queste sub-dimensioni macro afferisce un indicatore per ciascuna Missione (</w:t>
      </w:r>
      <w:r w:rsidRPr="000C3815">
        <w:rPr>
          <w:rFonts w:ascii="Arial" w:eastAsia="Arial Unicode MS" w:hAnsi="Arial" w:cs="Arial Unicode MS"/>
          <w:color w:val="000000"/>
          <w:sz w:val="20"/>
          <w:szCs w:val="20"/>
          <w:u w:color="000000"/>
          <w:bdr w:val="nil"/>
          <w:lang w:eastAsia="it-IT"/>
        </w:rPr>
        <w:t>Schema 1</w:t>
      </w:r>
      <w:r>
        <w:rPr>
          <w:rFonts w:ascii="Arial" w:eastAsia="Arial Unicode MS" w:hAnsi="Arial" w:cs="Arial Unicode MS"/>
          <w:color w:val="000000"/>
          <w:sz w:val="20"/>
          <w:szCs w:val="20"/>
          <w:u w:color="000000"/>
          <w:bdr w:val="nil"/>
          <w:lang w:eastAsia="it-IT"/>
        </w:rPr>
        <w:t>)</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 xml:space="preserve">Oltre che per il criterio </w:t>
      </w:r>
      <w:r w:rsidRPr="000C3815">
        <w:rPr>
          <w:rFonts w:ascii="Arial" w:eastAsia="Arial Unicode MS" w:hAnsi="Arial" w:cs="Arial Unicode MS"/>
          <w:color w:val="000000"/>
          <w:sz w:val="20"/>
          <w:szCs w:val="20"/>
          <w:u w:color="000000"/>
          <w:bdr w:val="nil"/>
          <w:lang w:eastAsia="it-IT"/>
        </w:rPr>
        <w:t>di “coerenza e validità” (rispetto ai contenuti specifici</w:t>
      </w:r>
      <w:r>
        <w:rPr>
          <w:rFonts w:ascii="Arial" w:eastAsia="Arial Unicode MS" w:hAnsi="Arial" w:cs="Arial Unicode MS"/>
          <w:color w:val="000000"/>
          <w:sz w:val="20"/>
          <w:szCs w:val="20"/>
          <w:u w:color="000000"/>
          <w:bdr w:val="nil"/>
          <w:lang w:eastAsia="it-IT"/>
        </w:rPr>
        <w:t xml:space="preserve"> e all’orientamento verso i divari territoriali</w:t>
      </w:r>
      <w:r w:rsidRPr="000C3815">
        <w:rPr>
          <w:rFonts w:ascii="Arial" w:eastAsia="Arial Unicode MS" w:hAnsi="Arial" w:cs="Arial Unicode MS"/>
          <w:color w:val="000000"/>
          <w:sz w:val="20"/>
          <w:szCs w:val="20"/>
          <w:u w:color="000000"/>
          <w:bdr w:val="nil"/>
          <w:lang w:eastAsia="it-IT"/>
        </w:rPr>
        <w:t xml:space="preserve">), </w:t>
      </w:r>
      <w:r>
        <w:rPr>
          <w:rFonts w:ascii="Arial" w:eastAsia="Arial Unicode MS" w:hAnsi="Arial" w:cs="Arial Unicode MS"/>
          <w:color w:val="000000"/>
          <w:sz w:val="20"/>
          <w:szCs w:val="20"/>
          <w:u w:color="000000"/>
          <w:bdr w:val="nil"/>
          <w:lang w:eastAsia="it-IT"/>
        </w:rPr>
        <w:t>gli indicatori sono stati scelti a valle di una preventiva ricognizione circa l’adeguatezza delle informazioni prodotte dalla statistica ufficiale (</w:t>
      </w:r>
      <w:r w:rsidRPr="000C3815">
        <w:rPr>
          <w:rFonts w:ascii="Arial" w:eastAsia="Arial Unicode MS" w:hAnsi="Arial" w:cs="Arial Unicode MS"/>
          <w:color w:val="000000"/>
          <w:sz w:val="20"/>
          <w:szCs w:val="20"/>
          <w:u w:color="000000"/>
          <w:bdr w:val="nil"/>
          <w:lang w:eastAsia="it-IT"/>
        </w:rPr>
        <w:t xml:space="preserve">serie storica e </w:t>
      </w:r>
      <w:r>
        <w:rPr>
          <w:rFonts w:ascii="Arial" w:eastAsia="Arial Unicode MS" w:hAnsi="Arial" w:cs="Arial Unicode MS"/>
          <w:color w:val="000000"/>
          <w:sz w:val="20"/>
          <w:szCs w:val="20"/>
          <w:u w:color="000000"/>
          <w:bdr w:val="nil"/>
          <w:lang w:eastAsia="it-IT"/>
        </w:rPr>
        <w:t>grana territoriale)</w:t>
      </w:r>
      <w:r w:rsidRPr="000C3815">
        <w:rPr>
          <w:rFonts w:ascii="Arial" w:eastAsia="Arial Unicode MS" w:hAnsi="Arial" w:cs="Arial Unicode MS"/>
          <w:color w:val="000000"/>
          <w:sz w:val="20"/>
          <w:szCs w:val="20"/>
          <w:u w:color="000000"/>
          <w:bdr w:val="nil"/>
          <w:lang w:eastAsia="it-IT"/>
        </w:rPr>
        <w:t xml:space="preserve">. </w:t>
      </w:r>
    </w:p>
    <w:p w14:paraId="2830671F" w14:textId="77777777" w:rsidR="00217FED" w:rsidRDefault="00217FED" w:rsidP="00217FED">
      <w:pPr>
        <w:tabs>
          <w:tab w:val="left" w:pos="284"/>
        </w:tabs>
        <w:spacing w:after="120" w:line="240" w:lineRule="auto"/>
        <w:jc w:val="center"/>
        <w:rPr>
          <w:rFonts w:ascii="Arial" w:hAnsi="Arial" w:cs="Arial"/>
          <w:b/>
        </w:rPr>
        <w:sectPr w:rsidR="00217FED">
          <w:footerReference w:type="default" r:id="rId13"/>
          <w:pgSz w:w="11906" w:h="16838"/>
          <w:pgMar w:top="1417" w:right="1134" w:bottom="1134" w:left="1134" w:header="708" w:footer="708" w:gutter="0"/>
          <w:cols w:space="708"/>
          <w:docGrid w:linePitch="360"/>
        </w:sectPr>
      </w:pPr>
      <w:bookmarkStart w:id="0" w:name="RANGE!A1"/>
    </w:p>
    <w:p w14:paraId="63F0CDA0" w14:textId="77777777" w:rsidR="009A1643" w:rsidRPr="00E35422" w:rsidRDefault="00217FED" w:rsidP="00217FED">
      <w:pPr>
        <w:tabs>
          <w:tab w:val="left" w:pos="284"/>
        </w:tabs>
        <w:spacing w:after="120" w:line="240" w:lineRule="auto"/>
        <w:jc w:val="center"/>
        <w:rPr>
          <w:rFonts w:ascii="Arial" w:eastAsia="Arial Unicode MS" w:hAnsi="Arial" w:cs="Arial Unicode MS"/>
          <w:b/>
          <w:color w:val="000000"/>
          <w:u w:color="000000"/>
          <w:bdr w:val="nil"/>
          <w:lang w:eastAsia="it-IT"/>
        </w:rPr>
      </w:pPr>
      <w:r>
        <w:rPr>
          <w:rFonts w:ascii="Arial" w:hAnsi="Arial" w:cs="Arial"/>
          <w:b/>
        </w:rPr>
        <w:lastRenderedPageBreak/>
        <w:t xml:space="preserve">Allegato III – Metadati </w:t>
      </w:r>
      <w:r w:rsidR="009A1643" w:rsidRPr="00E35422">
        <w:rPr>
          <w:rFonts w:ascii="Arial" w:eastAsia="Arial Unicode MS" w:hAnsi="Arial" w:cs="Arial Unicode MS"/>
          <w:b/>
          <w:color w:val="000000"/>
          <w:u w:color="000000"/>
          <w:bdr w:val="nil"/>
          <w:lang w:eastAsia="it-IT"/>
        </w:rPr>
        <w:t>(</w:t>
      </w:r>
      <w:r>
        <w:rPr>
          <w:rFonts w:ascii="Arial" w:eastAsia="Arial Unicode MS" w:hAnsi="Arial" w:cs="Arial Unicode MS"/>
          <w:b/>
          <w:color w:val="000000"/>
          <w:u w:color="000000"/>
          <w:bdr w:val="nil"/>
          <w:lang w:eastAsia="it-IT"/>
        </w:rPr>
        <w:t>scheda</w:t>
      </w:r>
      <w:r w:rsidR="009A1643" w:rsidRPr="00E35422">
        <w:rPr>
          <w:rFonts w:ascii="Arial" w:eastAsia="Arial Unicode MS" w:hAnsi="Arial" w:cs="Arial Unicode MS"/>
          <w:b/>
          <w:color w:val="000000"/>
          <w:u w:color="000000"/>
          <w:bdr w:val="nil"/>
          <w:lang w:eastAsia="it-IT"/>
        </w:rPr>
        <w:t xml:space="preserve"> tecnica </w:t>
      </w:r>
      <w:r>
        <w:rPr>
          <w:rFonts w:ascii="Arial" w:eastAsia="Arial Unicode MS" w:hAnsi="Arial" w:cs="Arial Unicode MS"/>
          <w:b/>
          <w:color w:val="000000"/>
          <w:u w:color="000000"/>
          <w:bdr w:val="nil"/>
          <w:lang w:eastAsia="it-IT"/>
        </w:rPr>
        <w:t xml:space="preserve">sugli </w:t>
      </w:r>
      <w:r w:rsidR="009A1643" w:rsidRPr="00E35422">
        <w:rPr>
          <w:rFonts w:ascii="Arial" w:eastAsia="Arial Unicode MS" w:hAnsi="Arial" w:cs="Arial Unicode MS"/>
          <w:b/>
          <w:color w:val="000000"/>
          <w:u w:color="000000"/>
          <w:bdr w:val="nil"/>
          <w:lang w:eastAsia="it-IT"/>
        </w:rPr>
        <w:t>indicatori)</w:t>
      </w:r>
      <w:bookmarkEnd w:id="0"/>
      <w:r w:rsidR="009A1643" w:rsidRPr="00E35422">
        <w:rPr>
          <w:rFonts w:ascii="Arial" w:eastAsia="Arial Unicode MS" w:hAnsi="Arial" w:cs="Arial Unicode MS"/>
          <w:b/>
          <w:color w:val="000000"/>
          <w:u w:color="000000"/>
          <w:bdr w:val="nil"/>
          <w:lang w:eastAsia="it-IT"/>
        </w:rPr>
        <w:tab/>
      </w:r>
    </w:p>
    <w:p w14:paraId="280D6A43" w14:textId="77777777" w:rsidR="00800C2F" w:rsidRDefault="00800C2F" w:rsidP="00217CF9">
      <w:pPr>
        <w:tabs>
          <w:tab w:val="left" w:pos="2122"/>
          <w:tab w:val="left" w:pos="4163"/>
          <w:tab w:val="left" w:pos="6204"/>
          <w:tab w:val="left" w:pos="8245"/>
        </w:tabs>
        <w:spacing w:after="0" w:line="240" w:lineRule="auto"/>
        <w:ind w:left="80"/>
        <w:rPr>
          <w:rFonts w:ascii="Times New Roman" w:eastAsia="Times New Roman" w:hAnsi="Times New Roman" w:cs="Times New Roman"/>
          <w:sz w:val="18"/>
          <w:szCs w:val="20"/>
          <w:lang w:eastAsia="it-IT"/>
        </w:rPr>
      </w:pPr>
    </w:p>
    <w:p w14:paraId="25B25ED6" w14:textId="77777777" w:rsidR="00217FED" w:rsidRPr="003F10FE" w:rsidRDefault="009A1643" w:rsidP="00217CF9">
      <w:pPr>
        <w:tabs>
          <w:tab w:val="left" w:pos="2122"/>
          <w:tab w:val="left" w:pos="4163"/>
          <w:tab w:val="left" w:pos="6204"/>
          <w:tab w:val="left" w:pos="8245"/>
        </w:tabs>
        <w:spacing w:after="0" w:line="240" w:lineRule="auto"/>
        <w:ind w:left="80"/>
        <w:rPr>
          <w:rFonts w:ascii="Times New Roman" w:eastAsia="Times New Roman" w:hAnsi="Times New Roman" w:cs="Times New Roman"/>
          <w:sz w:val="8"/>
          <w:szCs w:val="20"/>
          <w:lang w:eastAsia="it-IT"/>
        </w:rPr>
      </w:pPr>
      <w:r w:rsidRPr="00217CF9">
        <w:rPr>
          <w:rFonts w:ascii="Times New Roman" w:eastAsia="Times New Roman" w:hAnsi="Times New Roman" w:cs="Times New Roman"/>
          <w:sz w:val="18"/>
          <w:szCs w:val="20"/>
          <w:lang w:eastAsia="it-IT"/>
        </w:rPr>
        <w:tab/>
      </w:r>
      <w:r w:rsidRPr="00217CF9">
        <w:rPr>
          <w:rFonts w:ascii="Times New Roman" w:eastAsia="Times New Roman" w:hAnsi="Times New Roman" w:cs="Times New Roman"/>
          <w:sz w:val="18"/>
          <w:szCs w:val="20"/>
          <w:lang w:eastAsia="it-IT"/>
        </w:rPr>
        <w:tab/>
      </w:r>
    </w:p>
    <w:p w14:paraId="46ED110E" w14:textId="77777777" w:rsidR="00800C2F" w:rsidRPr="00217CF9" w:rsidRDefault="00217FED" w:rsidP="003F10FE">
      <w:pPr>
        <w:pStyle w:val="Paragrafoelenco"/>
        <w:tabs>
          <w:tab w:val="left" w:pos="2122"/>
          <w:tab w:val="left" w:pos="4163"/>
          <w:tab w:val="left" w:pos="6204"/>
          <w:tab w:val="left" w:pos="8245"/>
        </w:tabs>
        <w:spacing w:after="120" w:line="240" w:lineRule="auto"/>
        <w:jc w:val="center"/>
        <w:rPr>
          <w:rFonts w:ascii="Times New Roman" w:eastAsia="Times New Roman" w:hAnsi="Times New Roman" w:cs="Times New Roman"/>
          <w:sz w:val="18"/>
          <w:szCs w:val="20"/>
          <w:lang w:eastAsia="it-IT"/>
        </w:rPr>
      </w:pPr>
      <w:r w:rsidRPr="00800C2F">
        <w:rPr>
          <w:rFonts w:eastAsia="Times New Roman" w:cstheme="minorHAnsi"/>
          <w:b/>
          <w:bCs/>
          <w:color w:val="000000"/>
          <w:sz w:val="24"/>
          <w:lang w:eastAsia="it-IT"/>
        </w:rPr>
        <w:t>CONVERGENZA (CONTESTO SOCIO-ECONOMICO)</w:t>
      </w:r>
    </w:p>
    <w:tbl>
      <w:tblPr>
        <w:tblStyle w:val="Tabellasemplice-2"/>
        <w:tblW w:w="14695" w:type="dxa"/>
        <w:tblLayout w:type="fixed"/>
        <w:tblLook w:val="04A0" w:firstRow="1" w:lastRow="0" w:firstColumn="1" w:lastColumn="0" w:noHBand="0" w:noVBand="1"/>
      </w:tblPr>
      <w:tblGrid>
        <w:gridCol w:w="1941"/>
        <w:gridCol w:w="1818"/>
        <w:gridCol w:w="2698"/>
        <w:gridCol w:w="1704"/>
        <w:gridCol w:w="6534"/>
      </w:tblGrid>
      <w:tr w:rsidR="009A1643" w:rsidRPr="00800C40" w14:paraId="381A8EB7" w14:textId="77777777" w:rsidTr="00C37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noWrap/>
            <w:vAlign w:val="center"/>
            <w:hideMark/>
          </w:tcPr>
          <w:p w14:paraId="0FB433B6" w14:textId="77777777" w:rsidR="00217CF9" w:rsidRPr="00800C40" w:rsidRDefault="00217CF9" w:rsidP="00217CF9">
            <w:pPr>
              <w:spacing w:after="0" w:line="240" w:lineRule="auto"/>
              <w:jc w:val="center"/>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Tema</w:t>
            </w:r>
          </w:p>
        </w:tc>
        <w:tc>
          <w:tcPr>
            <w:tcW w:w="1818" w:type="dxa"/>
            <w:noWrap/>
            <w:vAlign w:val="center"/>
            <w:hideMark/>
          </w:tcPr>
          <w:p w14:paraId="0F3076A1" w14:textId="77777777" w:rsidR="00217CF9" w:rsidRPr="00800C40"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Indicatore</w:t>
            </w:r>
          </w:p>
        </w:tc>
        <w:tc>
          <w:tcPr>
            <w:tcW w:w="2698" w:type="dxa"/>
            <w:noWrap/>
            <w:vAlign w:val="center"/>
            <w:hideMark/>
          </w:tcPr>
          <w:p w14:paraId="5143CA17" w14:textId="77777777" w:rsidR="00217CF9" w:rsidRPr="00800C40"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Algoritmo</w:t>
            </w:r>
          </w:p>
        </w:tc>
        <w:tc>
          <w:tcPr>
            <w:tcW w:w="1704" w:type="dxa"/>
            <w:noWrap/>
            <w:vAlign w:val="center"/>
            <w:hideMark/>
          </w:tcPr>
          <w:p w14:paraId="30ACB8C3" w14:textId="77777777" w:rsidR="00217CF9" w:rsidRPr="00800C40"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Fonte</w:t>
            </w:r>
          </w:p>
        </w:tc>
        <w:tc>
          <w:tcPr>
            <w:tcW w:w="6534" w:type="dxa"/>
            <w:noWrap/>
            <w:vAlign w:val="center"/>
            <w:hideMark/>
          </w:tcPr>
          <w:p w14:paraId="6D38D399" w14:textId="77777777" w:rsidR="00217CF9" w:rsidRPr="00800C40"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Descrizione</w:t>
            </w:r>
          </w:p>
        </w:tc>
      </w:tr>
      <w:tr w:rsidR="009A1643" w:rsidRPr="00800C40" w14:paraId="5D903995" w14:textId="77777777" w:rsidTr="00C3711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941" w:type="dxa"/>
            <w:vMerge w:val="restart"/>
            <w:noWrap/>
            <w:vAlign w:val="center"/>
            <w:hideMark/>
          </w:tcPr>
          <w:p w14:paraId="6DE1DF50" w14:textId="77777777" w:rsidR="00217CF9" w:rsidRPr="00800C40" w:rsidRDefault="00217CF9" w:rsidP="009A1643">
            <w:pPr>
              <w:spacing w:after="0" w:line="240" w:lineRule="auto"/>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1) PRODOTTO INTERNO LORDO (PIL)</w:t>
            </w:r>
          </w:p>
        </w:tc>
        <w:tc>
          <w:tcPr>
            <w:tcW w:w="1818" w:type="dxa"/>
            <w:vMerge w:val="restart"/>
            <w:noWrap/>
            <w:vAlign w:val="center"/>
            <w:hideMark/>
          </w:tcPr>
          <w:p w14:paraId="0D41024B"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800C40">
              <w:rPr>
                <w:rFonts w:ascii="Arial" w:eastAsia="Times New Roman" w:hAnsi="Arial" w:cs="Arial"/>
                <w:b/>
                <w:bCs/>
                <w:color w:val="000000"/>
                <w:sz w:val="18"/>
                <w:szCs w:val="18"/>
                <w:lang w:eastAsia="it-IT"/>
              </w:rPr>
              <w:t xml:space="preserve">PIL pro capite </w:t>
            </w:r>
          </w:p>
        </w:tc>
        <w:tc>
          <w:tcPr>
            <w:tcW w:w="2698" w:type="dxa"/>
            <w:noWrap/>
            <w:vAlign w:val="center"/>
            <w:hideMark/>
          </w:tcPr>
          <w:p w14:paraId="12019F09" w14:textId="77777777" w:rsidR="00217CF9" w:rsidRPr="00800C40"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1a) PIL con valori concatenati (anno 2015) / totale residenti (euro)</w:t>
            </w:r>
          </w:p>
        </w:tc>
        <w:tc>
          <w:tcPr>
            <w:tcW w:w="1704" w:type="dxa"/>
            <w:noWrap/>
            <w:vAlign w:val="center"/>
            <w:hideMark/>
          </w:tcPr>
          <w:p w14:paraId="633EE10D" w14:textId="77777777" w:rsidR="00217CF9" w:rsidRPr="00800C40"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 xml:space="preserve">1a) Istat - Contabilità Nazionale </w:t>
            </w:r>
          </w:p>
        </w:tc>
        <w:tc>
          <w:tcPr>
            <w:tcW w:w="6534" w:type="dxa"/>
            <w:vMerge w:val="restart"/>
            <w:noWrap/>
            <w:vAlign w:val="center"/>
            <w:hideMark/>
          </w:tcPr>
          <w:p w14:paraId="7E4CA62E" w14:textId="77777777" w:rsidR="00217CF9" w:rsidRPr="00800C40" w:rsidRDefault="00217CF9" w:rsidP="00AA693E">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 xml:space="preserve">Il “PIL pro-capite” esprime il livello di ricchezza per abitante di un territorio e consente confronti tra aree di diversa dimensione demografica. In ambito internazionale è misurato in Standard di Potere d’Acquisto (SPA o PPS) per depurarlo dall’influenza delle diverse monete e dai diversi poteri di acquisto. In particolare, il primo fattore (PIL) è il risultato finale dell’attività di produzione delle unità produttrici residenti. Espresso con “valori concatenati” a un anno di riferimento (2015), fornisce una misura depurata dalla dinamica dei prezzi (“PIL reale”) tramite l’applicazione del “deflatore del Pil”; in serie storica, consente di valutare la dinamica reale dell’economia.  Espresso a “prezzi correnti” è una misura del “PIL nominale”, che riflette il livello al momento della rilevazione, non depurato dall’inflazione, e consente esclusivamente una comparazione di livello sincronico </w:t>
            </w:r>
          </w:p>
        </w:tc>
      </w:tr>
      <w:tr w:rsidR="009A1643" w:rsidRPr="00800C40" w14:paraId="4D45FD20" w14:textId="77777777" w:rsidTr="00C3711A">
        <w:trPr>
          <w:trHeight w:val="1395"/>
        </w:trPr>
        <w:tc>
          <w:tcPr>
            <w:cnfStyle w:val="001000000000" w:firstRow="0" w:lastRow="0" w:firstColumn="1" w:lastColumn="0" w:oddVBand="0" w:evenVBand="0" w:oddHBand="0" w:evenHBand="0" w:firstRowFirstColumn="0" w:firstRowLastColumn="0" w:lastRowFirstColumn="0" w:lastRowLastColumn="0"/>
            <w:tcW w:w="1941" w:type="dxa"/>
            <w:vMerge/>
            <w:noWrap/>
            <w:vAlign w:val="center"/>
            <w:hideMark/>
          </w:tcPr>
          <w:p w14:paraId="00FDE12C"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p>
        </w:tc>
        <w:tc>
          <w:tcPr>
            <w:tcW w:w="1818" w:type="dxa"/>
            <w:vMerge/>
            <w:noWrap/>
            <w:vAlign w:val="center"/>
            <w:hideMark/>
          </w:tcPr>
          <w:p w14:paraId="26B418DF"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698" w:type="dxa"/>
            <w:noWrap/>
            <w:vAlign w:val="center"/>
            <w:hideMark/>
          </w:tcPr>
          <w:p w14:paraId="662AEC37" w14:textId="77777777" w:rsidR="00217CF9" w:rsidRPr="00800C40" w:rsidRDefault="00217CF9" w:rsidP="00217CF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1b) PIL a prezzi correnti di mercato / totale residenti (euro)</w:t>
            </w:r>
          </w:p>
        </w:tc>
        <w:tc>
          <w:tcPr>
            <w:tcW w:w="1704" w:type="dxa"/>
            <w:noWrap/>
            <w:vAlign w:val="center"/>
            <w:hideMark/>
          </w:tcPr>
          <w:p w14:paraId="17B4F115" w14:textId="77777777" w:rsidR="00217CF9" w:rsidRPr="00800C40" w:rsidRDefault="00217CF9" w:rsidP="00217CF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1b) Eurostat</w:t>
            </w:r>
          </w:p>
        </w:tc>
        <w:tc>
          <w:tcPr>
            <w:tcW w:w="6534" w:type="dxa"/>
            <w:vMerge/>
            <w:noWrap/>
            <w:vAlign w:val="center"/>
            <w:hideMark/>
          </w:tcPr>
          <w:p w14:paraId="13916E6D"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800C40" w14:paraId="3FABDD16" w14:textId="77777777" w:rsidTr="00C3711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941" w:type="dxa"/>
            <w:vMerge w:val="restart"/>
            <w:noWrap/>
            <w:vAlign w:val="center"/>
            <w:hideMark/>
          </w:tcPr>
          <w:p w14:paraId="110C90F1"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2) CAPITALE UMANO</w:t>
            </w:r>
          </w:p>
        </w:tc>
        <w:tc>
          <w:tcPr>
            <w:tcW w:w="1818" w:type="dxa"/>
            <w:vMerge w:val="restart"/>
            <w:noWrap/>
            <w:vAlign w:val="center"/>
            <w:hideMark/>
          </w:tcPr>
          <w:p w14:paraId="2A2118A3"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800C40">
              <w:rPr>
                <w:rFonts w:ascii="Arial" w:eastAsia="Times New Roman" w:hAnsi="Arial" w:cs="Arial"/>
                <w:b/>
                <w:bCs/>
                <w:color w:val="000000"/>
                <w:sz w:val="18"/>
                <w:szCs w:val="18"/>
                <w:lang w:eastAsia="it-IT"/>
              </w:rPr>
              <w:t>Livello d’istruzione, 25-49 anni</w:t>
            </w:r>
          </w:p>
        </w:tc>
        <w:tc>
          <w:tcPr>
            <w:tcW w:w="2698" w:type="dxa"/>
            <w:noWrap/>
            <w:vAlign w:val="center"/>
            <w:hideMark/>
          </w:tcPr>
          <w:p w14:paraId="52BAE9B3"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2a) indice di “bassa istruzione”: residenti (25-49 anni) con titolo di studio al più secondario inferiore / residenti 25-49 anni %</w:t>
            </w:r>
          </w:p>
        </w:tc>
        <w:tc>
          <w:tcPr>
            <w:tcW w:w="1704" w:type="dxa"/>
            <w:vMerge w:val="restart"/>
            <w:noWrap/>
            <w:vAlign w:val="center"/>
            <w:hideMark/>
          </w:tcPr>
          <w:p w14:paraId="67A4529D"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Istat - Censimenti della popolazione</w:t>
            </w:r>
          </w:p>
        </w:tc>
        <w:tc>
          <w:tcPr>
            <w:tcW w:w="6534" w:type="dxa"/>
            <w:vMerge w:val="restart"/>
            <w:noWrap/>
            <w:vAlign w:val="center"/>
            <w:hideMark/>
          </w:tcPr>
          <w:p w14:paraId="26024207"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A livello europeo, il possesso di un titolo di studio secondario superiore è considerato un traguardo indispensabile. Di conseguenza (2a) nella «bassa istruzione» confluiscono i titoli di istruzione fino al diploma di scuola secondaria di I grado, compresa la qualifica professionale regionale di primo livello con durata inferiore ai due anni; (2b) l’«alta istruzione» include tutti i titoli successivi al diploma secondario: i titoli Universitari, Accademici (AFAM), i Diplomi di tecnico superiore ITS e altri titoli terziari non universitariSono inclusi i titoli post-laurea o post-AFAM</w:t>
            </w:r>
          </w:p>
        </w:tc>
      </w:tr>
      <w:tr w:rsidR="009A1643" w:rsidRPr="00800C40" w14:paraId="0D448B06" w14:textId="77777777" w:rsidTr="00C3711A">
        <w:trPr>
          <w:trHeight w:val="975"/>
        </w:trPr>
        <w:tc>
          <w:tcPr>
            <w:cnfStyle w:val="001000000000" w:firstRow="0" w:lastRow="0" w:firstColumn="1" w:lastColumn="0" w:oddVBand="0" w:evenVBand="0" w:oddHBand="0" w:evenHBand="0" w:firstRowFirstColumn="0" w:firstRowLastColumn="0" w:lastRowFirstColumn="0" w:lastRowLastColumn="0"/>
            <w:tcW w:w="1941" w:type="dxa"/>
            <w:vMerge/>
            <w:noWrap/>
            <w:vAlign w:val="center"/>
            <w:hideMark/>
          </w:tcPr>
          <w:p w14:paraId="3F4D66F7"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p>
        </w:tc>
        <w:tc>
          <w:tcPr>
            <w:tcW w:w="1818" w:type="dxa"/>
            <w:vMerge/>
            <w:noWrap/>
            <w:vAlign w:val="center"/>
            <w:hideMark/>
          </w:tcPr>
          <w:p w14:paraId="1773E0A2"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698" w:type="dxa"/>
            <w:noWrap/>
            <w:vAlign w:val="center"/>
            <w:hideMark/>
          </w:tcPr>
          <w:p w14:paraId="537D6497"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2b) indice di “alta istruzione”: residenti (25-49 anni) con titolo di studio terziario/ residenti 25-49 anni %</w:t>
            </w:r>
          </w:p>
        </w:tc>
        <w:tc>
          <w:tcPr>
            <w:tcW w:w="1704" w:type="dxa"/>
            <w:vMerge/>
            <w:noWrap/>
            <w:vAlign w:val="center"/>
            <w:hideMark/>
          </w:tcPr>
          <w:p w14:paraId="0C88E879"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6534" w:type="dxa"/>
            <w:vMerge/>
            <w:noWrap/>
            <w:vAlign w:val="center"/>
            <w:hideMark/>
          </w:tcPr>
          <w:p w14:paraId="7B4B27D8"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800C40" w14:paraId="2D97FFBB" w14:textId="77777777" w:rsidTr="00C3711A">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41" w:type="dxa"/>
            <w:vMerge w:val="restart"/>
            <w:noWrap/>
            <w:vAlign w:val="center"/>
            <w:hideMark/>
          </w:tcPr>
          <w:p w14:paraId="19961AE8"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3) OCCUPAZIONE GIOVANILE</w:t>
            </w:r>
          </w:p>
        </w:tc>
        <w:tc>
          <w:tcPr>
            <w:tcW w:w="1818" w:type="dxa"/>
            <w:vMerge w:val="restart"/>
            <w:noWrap/>
            <w:vAlign w:val="center"/>
            <w:hideMark/>
          </w:tcPr>
          <w:p w14:paraId="2E92F2D3"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800C40">
              <w:rPr>
                <w:rFonts w:ascii="Arial" w:eastAsia="Times New Roman" w:hAnsi="Arial" w:cs="Arial"/>
                <w:b/>
                <w:bCs/>
                <w:color w:val="000000"/>
                <w:sz w:val="18"/>
                <w:szCs w:val="18"/>
                <w:lang w:eastAsia="it-IT"/>
              </w:rPr>
              <w:t>Tasso di occupazione, 25-34 anni</w:t>
            </w:r>
          </w:p>
        </w:tc>
        <w:tc>
          <w:tcPr>
            <w:tcW w:w="2698" w:type="dxa"/>
            <w:vMerge w:val="restart"/>
            <w:noWrap/>
            <w:vAlign w:val="center"/>
            <w:hideMark/>
          </w:tcPr>
          <w:p w14:paraId="567A5980" w14:textId="77777777" w:rsidR="00217CF9" w:rsidRPr="00800C40"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Occupati (25-34 anni) / residenti (25-34 anni) %</w:t>
            </w:r>
          </w:p>
        </w:tc>
        <w:tc>
          <w:tcPr>
            <w:tcW w:w="1704" w:type="dxa"/>
            <w:vMerge w:val="restart"/>
            <w:noWrap/>
            <w:vAlign w:val="center"/>
            <w:hideMark/>
          </w:tcPr>
          <w:p w14:paraId="2EC85CF7" w14:textId="77777777" w:rsidR="00217CF9" w:rsidRPr="00800C40"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Istat - Rilevazione sulle Forze di lavoro</w:t>
            </w:r>
          </w:p>
        </w:tc>
        <w:tc>
          <w:tcPr>
            <w:tcW w:w="6534" w:type="dxa"/>
            <w:vMerge w:val="restart"/>
            <w:noWrap/>
            <w:vAlign w:val="center"/>
            <w:hideMark/>
          </w:tcPr>
          <w:p w14:paraId="57A344EC"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Il “Tasso di occupazione giovanile” include coloro i quali svolgono effettivamente un lavoro, anche temporaneo o atipico, in quota percentuale rispetto alla corrispondente popolazione di riferimento. L’indicatore consente di esaminare fenomeni rilevanti per l’età di riferimento, quali le opportunità di distacco dalla famiglia d’origine e la transizione verso il mondo del lavoro. Per il Mezzogiorno, è una proxi della propensione alla mobilità residenziale e dei rischi di depauperamento demografico</w:t>
            </w:r>
            <w:r w:rsidR="00800C40">
              <w:rPr>
                <w:rFonts w:ascii="Arial" w:eastAsia="Times New Roman" w:hAnsi="Arial" w:cs="Arial"/>
                <w:color w:val="000000"/>
                <w:sz w:val="18"/>
                <w:szCs w:val="18"/>
                <w:lang w:eastAsia="it-IT"/>
              </w:rPr>
              <w:t>.</w:t>
            </w:r>
          </w:p>
        </w:tc>
      </w:tr>
      <w:tr w:rsidR="009A1643" w:rsidRPr="00800C40" w14:paraId="6B3D6339" w14:textId="77777777" w:rsidTr="00C3711A">
        <w:trPr>
          <w:trHeight w:val="450"/>
        </w:trPr>
        <w:tc>
          <w:tcPr>
            <w:cnfStyle w:val="001000000000" w:firstRow="0" w:lastRow="0" w:firstColumn="1" w:lastColumn="0" w:oddVBand="0" w:evenVBand="0" w:oddHBand="0" w:evenHBand="0" w:firstRowFirstColumn="0" w:firstRowLastColumn="0" w:lastRowFirstColumn="0" w:lastRowLastColumn="0"/>
            <w:tcW w:w="1941" w:type="dxa"/>
            <w:vMerge/>
            <w:noWrap/>
            <w:vAlign w:val="center"/>
            <w:hideMark/>
          </w:tcPr>
          <w:p w14:paraId="3B3A7549"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p>
        </w:tc>
        <w:tc>
          <w:tcPr>
            <w:tcW w:w="1818" w:type="dxa"/>
            <w:vMerge/>
            <w:noWrap/>
            <w:vAlign w:val="center"/>
            <w:hideMark/>
          </w:tcPr>
          <w:p w14:paraId="4CB24EE1"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698" w:type="dxa"/>
            <w:vMerge/>
            <w:noWrap/>
            <w:vAlign w:val="center"/>
            <w:hideMark/>
          </w:tcPr>
          <w:p w14:paraId="6F88F403"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1704" w:type="dxa"/>
            <w:vMerge/>
            <w:noWrap/>
            <w:vAlign w:val="center"/>
            <w:hideMark/>
          </w:tcPr>
          <w:p w14:paraId="740614F7"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6534" w:type="dxa"/>
            <w:vMerge/>
            <w:noWrap/>
            <w:vAlign w:val="center"/>
            <w:hideMark/>
          </w:tcPr>
          <w:p w14:paraId="285F4DEE"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800C40" w14:paraId="4CB04DC0" w14:textId="77777777" w:rsidTr="00C3711A">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1941" w:type="dxa"/>
            <w:vMerge w:val="restart"/>
            <w:noWrap/>
            <w:vAlign w:val="center"/>
            <w:hideMark/>
          </w:tcPr>
          <w:p w14:paraId="2D1471A7"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r w:rsidRPr="00800C40">
              <w:rPr>
                <w:rFonts w:ascii="Arial" w:eastAsia="Times New Roman" w:hAnsi="Arial" w:cs="Arial"/>
                <w:color w:val="000000"/>
                <w:sz w:val="18"/>
                <w:szCs w:val="18"/>
                <w:lang w:eastAsia="it-IT"/>
              </w:rPr>
              <w:t>4) EMIGRAZIONE GIOVANILE</w:t>
            </w:r>
          </w:p>
        </w:tc>
        <w:tc>
          <w:tcPr>
            <w:tcW w:w="1818" w:type="dxa"/>
            <w:vMerge w:val="restart"/>
            <w:noWrap/>
            <w:vAlign w:val="center"/>
            <w:hideMark/>
          </w:tcPr>
          <w:p w14:paraId="0458D589"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800C40">
              <w:rPr>
                <w:rFonts w:ascii="Arial" w:eastAsia="Times New Roman" w:hAnsi="Arial" w:cs="Arial"/>
                <w:b/>
                <w:bCs/>
                <w:color w:val="000000"/>
                <w:sz w:val="18"/>
                <w:szCs w:val="18"/>
                <w:lang w:eastAsia="it-IT"/>
              </w:rPr>
              <w:t>Mobilità residenziale (extra-regionale ed estera) di cittadini italiani, 25-34 anni</w:t>
            </w:r>
          </w:p>
        </w:tc>
        <w:tc>
          <w:tcPr>
            <w:tcW w:w="2698" w:type="dxa"/>
            <w:noWrap/>
            <w:vAlign w:val="center"/>
            <w:hideMark/>
          </w:tcPr>
          <w:p w14:paraId="5F048F48"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4a) "Indice Migratorio": Iscrizioni -cancellazioni (25-34)/ iscrizioni + cancellazioni (25-34) %</w:t>
            </w:r>
          </w:p>
        </w:tc>
        <w:tc>
          <w:tcPr>
            <w:tcW w:w="1704" w:type="dxa"/>
            <w:vMerge w:val="restart"/>
            <w:noWrap/>
            <w:vAlign w:val="center"/>
            <w:hideMark/>
          </w:tcPr>
          <w:p w14:paraId="4CF9A4EE"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Istat - Iscrizioni e cancellazioni anagrafiche della popolazione residente</w:t>
            </w:r>
          </w:p>
        </w:tc>
        <w:tc>
          <w:tcPr>
            <w:tcW w:w="6534" w:type="dxa"/>
            <w:vMerge w:val="restart"/>
            <w:noWrap/>
            <w:vAlign w:val="center"/>
            <w:hideMark/>
          </w:tcPr>
          <w:p w14:paraId="20392E42" w14:textId="77777777" w:rsidR="00217CF9" w:rsidRPr="00800C40"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 xml:space="preserve">Il riferimento sono le iscrizioni e cancellazioni di residenza presso le anagrafi dei Comuni. L’«Indice Migratorio» (IM) (4a) è una misura dell’entità e del segno dei processi migratori. Nella versione classica ha un campo di variazione tra -1 e 1: sarà pari a 1 nel caso limite in cui siano presenti solo iscrizioni, - 1 nella situazione opposta. Il rapporto percentuale fornisce un’informazione più immediata del numero di persone “perse o guadagnate” dati 100 movimenti </w:t>
            </w:r>
            <w:r w:rsidRPr="00800C40">
              <w:rPr>
                <w:rFonts w:ascii="Arial" w:eastAsia="Times New Roman" w:hAnsi="Arial" w:cs="Arial"/>
                <w:color w:val="000000"/>
                <w:sz w:val="18"/>
                <w:szCs w:val="18"/>
                <w:lang w:eastAsia="it-IT"/>
              </w:rPr>
              <w:lastRenderedPageBreak/>
              <w:t>anagrafici. Il Tasso Migratorio Totale (TMT (4b) è una misura dell’impatto, in termini di guadagno (valori positivi) o di perdita (se negativi), che deriva dalle dinamiche migratorie sulla struttura demografica.</w:t>
            </w:r>
          </w:p>
        </w:tc>
      </w:tr>
      <w:tr w:rsidR="009A1643" w:rsidRPr="00800C40" w14:paraId="018FD932" w14:textId="77777777" w:rsidTr="00C3711A">
        <w:trPr>
          <w:trHeight w:val="900"/>
        </w:trPr>
        <w:tc>
          <w:tcPr>
            <w:cnfStyle w:val="001000000000" w:firstRow="0" w:lastRow="0" w:firstColumn="1" w:lastColumn="0" w:oddVBand="0" w:evenVBand="0" w:oddHBand="0" w:evenHBand="0" w:firstRowFirstColumn="0" w:firstRowLastColumn="0" w:lastRowFirstColumn="0" w:lastRowLastColumn="0"/>
            <w:tcW w:w="1941" w:type="dxa"/>
            <w:vMerge/>
            <w:noWrap/>
            <w:vAlign w:val="center"/>
            <w:hideMark/>
          </w:tcPr>
          <w:p w14:paraId="22A3AC4C" w14:textId="77777777" w:rsidR="00217CF9" w:rsidRPr="00800C40" w:rsidRDefault="00217CF9" w:rsidP="00217CF9">
            <w:pPr>
              <w:spacing w:after="0" w:line="240" w:lineRule="auto"/>
              <w:rPr>
                <w:rFonts w:ascii="Arial" w:eastAsia="Times New Roman" w:hAnsi="Arial" w:cs="Arial"/>
                <w:b w:val="0"/>
                <w:bCs w:val="0"/>
                <w:color w:val="000000"/>
                <w:sz w:val="18"/>
                <w:szCs w:val="18"/>
                <w:lang w:eastAsia="it-IT"/>
              </w:rPr>
            </w:pPr>
          </w:p>
        </w:tc>
        <w:tc>
          <w:tcPr>
            <w:tcW w:w="1818" w:type="dxa"/>
            <w:vMerge/>
            <w:noWrap/>
            <w:vAlign w:val="center"/>
            <w:hideMark/>
          </w:tcPr>
          <w:p w14:paraId="7C15A883"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698" w:type="dxa"/>
            <w:noWrap/>
            <w:vAlign w:val="center"/>
            <w:hideMark/>
          </w:tcPr>
          <w:p w14:paraId="65EE9FAD"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800C40">
              <w:rPr>
                <w:rFonts w:ascii="Arial" w:eastAsia="Times New Roman" w:hAnsi="Arial" w:cs="Arial"/>
                <w:color w:val="000000"/>
                <w:sz w:val="18"/>
                <w:szCs w:val="18"/>
                <w:lang w:eastAsia="it-IT"/>
              </w:rPr>
              <w:t xml:space="preserve">4b) "Tasso Migratorio" Totale: iscrizioni – cancellazioni (25-34)/ popolazione residente (25-34) </w:t>
            </w:r>
          </w:p>
        </w:tc>
        <w:tc>
          <w:tcPr>
            <w:tcW w:w="1704" w:type="dxa"/>
            <w:vMerge/>
            <w:noWrap/>
            <w:vAlign w:val="center"/>
            <w:hideMark/>
          </w:tcPr>
          <w:p w14:paraId="0E7093E1"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6534" w:type="dxa"/>
            <w:vMerge/>
            <w:noWrap/>
            <w:vAlign w:val="center"/>
            <w:hideMark/>
          </w:tcPr>
          <w:p w14:paraId="0FE5E506" w14:textId="77777777" w:rsidR="00217CF9" w:rsidRPr="00800C40"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bl>
    <w:p w14:paraId="068C079E" w14:textId="77777777" w:rsidR="00217FED" w:rsidRDefault="00E35422" w:rsidP="00217CF9">
      <w:pPr>
        <w:tabs>
          <w:tab w:val="left" w:pos="1388"/>
          <w:tab w:val="left" w:pos="2704"/>
          <w:tab w:val="left" w:pos="4161"/>
          <w:tab w:val="left" w:pos="5589"/>
        </w:tabs>
        <w:spacing w:after="0" w:line="240" w:lineRule="auto"/>
        <w:ind w:left="-20"/>
        <w:rPr>
          <w:rFonts w:ascii="Times New Roman" w:eastAsia="Times New Roman" w:hAnsi="Times New Roman" w:cs="Times New Roman"/>
          <w:sz w:val="16"/>
          <w:szCs w:val="20"/>
          <w:lang w:eastAsia="it-IT"/>
        </w:rPr>
      </w:pPr>
      <w:r w:rsidRPr="00E35422">
        <w:rPr>
          <w:rFonts w:ascii="Arial" w:eastAsia="Times New Roman" w:hAnsi="Arial" w:cs="Arial"/>
          <w:color w:val="000000"/>
          <w:sz w:val="16"/>
          <w:szCs w:val="18"/>
          <w:lang w:eastAsia="it-IT"/>
        </w:rPr>
        <w:tab/>
      </w:r>
      <w:r w:rsidRPr="00E35422">
        <w:rPr>
          <w:rFonts w:ascii="Times New Roman" w:eastAsia="Times New Roman" w:hAnsi="Times New Roman" w:cs="Times New Roman"/>
          <w:sz w:val="16"/>
          <w:szCs w:val="20"/>
          <w:lang w:eastAsia="it-IT"/>
        </w:rPr>
        <w:tab/>
      </w:r>
      <w:r w:rsidRPr="00E35422">
        <w:rPr>
          <w:rFonts w:ascii="Times New Roman" w:eastAsia="Times New Roman" w:hAnsi="Times New Roman" w:cs="Times New Roman"/>
          <w:sz w:val="16"/>
          <w:szCs w:val="20"/>
          <w:lang w:eastAsia="it-IT"/>
        </w:rPr>
        <w:tab/>
      </w:r>
    </w:p>
    <w:p w14:paraId="450CF192" w14:textId="77777777" w:rsidR="00800C2F" w:rsidRDefault="00800C2F" w:rsidP="00217CF9">
      <w:pPr>
        <w:tabs>
          <w:tab w:val="left" w:pos="1388"/>
          <w:tab w:val="left" w:pos="2704"/>
          <w:tab w:val="left" w:pos="4161"/>
          <w:tab w:val="left" w:pos="5589"/>
        </w:tabs>
        <w:spacing w:after="0" w:line="240" w:lineRule="auto"/>
        <w:ind w:left="-20"/>
        <w:rPr>
          <w:rFonts w:ascii="Times New Roman" w:eastAsia="Times New Roman" w:hAnsi="Times New Roman" w:cs="Times New Roman"/>
          <w:sz w:val="16"/>
          <w:szCs w:val="20"/>
          <w:lang w:eastAsia="it-IT"/>
        </w:rPr>
      </w:pPr>
    </w:p>
    <w:p w14:paraId="1C9C43B8" w14:textId="77777777" w:rsidR="00800C2F" w:rsidRPr="00800C2F" w:rsidRDefault="00800C2F" w:rsidP="003F10FE">
      <w:pPr>
        <w:pStyle w:val="Paragrafoelenco"/>
        <w:tabs>
          <w:tab w:val="left" w:pos="2122"/>
          <w:tab w:val="left" w:pos="4163"/>
          <w:tab w:val="left" w:pos="6204"/>
          <w:tab w:val="left" w:pos="8245"/>
        </w:tabs>
        <w:spacing w:after="120" w:line="240" w:lineRule="auto"/>
        <w:jc w:val="center"/>
        <w:rPr>
          <w:rFonts w:eastAsia="Times New Roman" w:cstheme="minorHAnsi"/>
          <w:bCs/>
          <w:color w:val="000000"/>
          <w:lang w:eastAsia="it-IT"/>
        </w:rPr>
      </w:pPr>
      <w:r w:rsidRPr="00800C2F">
        <w:rPr>
          <w:rFonts w:eastAsia="Times New Roman" w:cstheme="minorHAnsi"/>
          <w:b/>
          <w:bCs/>
          <w:color w:val="000000"/>
          <w:sz w:val="24"/>
          <w:lang w:eastAsia="it-IT"/>
        </w:rPr>
        <w:t>(M 1-3) INFRASTRUTTURE</w:t>
      </w:r>
    </w:p>
    <w:tbl>
      <w:tblPr>
        <w:tblStyle w:val="Tabellasemplice-2"/>
        <w:tblW w:w="14549" w:type="dxa"/>
        <w:tblLayout w:type="fixed"/>
        <w:tblLook w:val="04A0" w:firstRow="1" w:lastRow="0" w:firstColumn="1" w:lastColumn="0" w:noHBand="0" w:noVBand="1"/>
      </w:tblPr>
      <w:tblGrid>
        <w:gridCol w:w="1688"/>
        <w:gridCol w:w="1801"/>
        <w:gridCol w:w="2748"/>
        <w:gridCol w:w="1701"/>
        <w:gridCol w:w="6611"/>
      </w:tblGrid>
      <w:tr w:rsidR="00800C2F" w:rsidRPr="003F10FE" w14:paraId="6550DD8B" w14:textId="77777777" w:rsidTr="00800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noWrap/>
            <w:vAlign w:val="center"/>
            <w:hideMark/>
          </w:tcPr>
          <w:p w14:paraId="31DE9D9F" w14:textId="77777777" w:rsidR="00217CF9" w:rsidRPr="003F10FE" w:rsidRDefault="00217CF9" w:rsidP="00217CF9">
            <w:pPr>
              <w:spacing w:after="0" w:line="240" w:lineRule="auto"/>
              <w:jc w:val="center"/>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Tema</w:t>
            </w:r>
          </w:p>
        </w:tc>
        <w:tc>
          <w:tcPr>
            <w:tcW w:w="1801" w:type="dxa"/>
            <w:noWrap/>
            <w:vAlign w:val="center"/>
            <w:hideMark/>
          </w:tcPr>
          <w:p w14:paraId="4451A3F2"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Indicatore</w:t>
            </w:r>
          </w:p>
        </w:tc>
        <w:tc>
          <w:tcPr>
            <w:tcW w:w="2748" w:type="dxa"/>
            <w:noWrap/>
            <w:vAlign w:val="center"/>
            <w:hideMark/>
          </w:tcPr>
          <w:p w14:paraId="0B0B43D3"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Algoritmo</w:t>
            </w:r>
          </w:p>
        </w:tc>
        <w:tc>
          <w:tcPr>
            <w:tcW w:w="1701" w:type="dxa"/>
            <w:noWrap/>
            <w:vAlign w:val="center"/>
            <w:hideMark/>
          </w:tcPr>
          <w:p w14:paraId="4A359F03"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Fonte</w:t>
            </w:r>
          </w:p>
        </w:tc>
        <w:tc>
          <w:tcPr>
            <w:tcW w:w="6611" w:type="dxa"/>
            <w:noWrap/>
            <w:vAlign w:val="center"/>
            <w:hideMark/>
          </w:tcPr>
          <w:p w14:paraId="06221A1F"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Descrizione</w:t>
            </w:r>
          </w:p>
        </w:tc>
      </w:tr>
      <w:tr w:rsidR="009A1643" w:rsidRPr="003F10FE" w14:paraId="52F9CB78" w14:textId="77777777" w:rsidTr="00800C2F">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688" w:type="dxa"/>
            <w:vMerge w:val="restart"/>
            <w:noWrap/>
            <w:vAlign w:val="center"/>
            <w:hideMark/>
          </w:tcPr>
          <w:p w14:paraId="6A5005DE" w14:textId="77777777" w:rsidR="00217CF9" w:rsidRPr="003F10FE" w:rsidRDefault="00217CF9" w:rsidP="00217CF9">
            <w:pPr>
              <w:spacing w:after="0" w:line="240" w:lineRule="auto"/>
              <w:jc w:val="both"/>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5) RETI DIGITALI</w:t>
            </w:r>
          </w:p>
        </w:tc>
        <w:tc>
          <w:tcPr>
            <w:tcW w:w="1801" w:type="dxa"/>
            <w:vMerge w:val="restart"/>
            <w:noWrap/>
            <w:vAlign w:val="center"/>
            <w:hideMark/>
          </w:tcPr>
          <w:p w14:paraId="1AFE16D4"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Digital divide (domanda e offerta di infrastrutture digitali)</w:t>
            </w:r>
          </w:p>
        </w:tc>
        <w:tc>
          <w:tcPr>
            <w:tcW w:w="2748" w:type="dxa"/>
            <w:noWrap/>
            <w:vAlign w:val="center"/>
            <w:hideMark/>
          </w:tcPr>
          <w:p w14:paraId="20BE7C30"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5a) “Diffusione di internet”: famiglie che dichiarano di possedere l'accesso a Internet / famiglie residenti %</w:t>
            </w:r>
          </w:p>
        </w:tc>
        <w:tc>
          <w:tcPr>
            <w:tcW w:w="1701" w:type="dxa"/>
            <w:noWrap/>
            <w:vAlign w:val="center"/>
            <w:hideMark/>
          </w:tcPr>
          <w:p w14:paraId="46AF079E"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 xml:space="preserve">5a) Istat - Multiscopo sulle famiglie: aspetti della vita quotidiana </w:t>
            </w:r>
          </w:p>
        </w:tc>
        <w:tc>
          <w:tcPr>
            <w:tcW w:w="6611" w:type="dxa"/>
            <w:vMerge w:val="restart"/>
            <w:noWrap/>
            <w:vAlign w:val="center"/>
            <w:hideMark/>
          </w:tcPr>
          <w:p w14:paraId="43C40B7E"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 xml:space="preserve">Il “grado di diffusione di internet nelle famiglie” è un indicatore di domanda di accesso alle infrastrutture digitali. Si basa sull’autodichiarazione circa il possesso di una connessione </w:t>
            </w:r>
            <w:r w:rsidRPr="003F10FE">
              <w:rPr>
                <w:rFonts w:ascii="Arial" w:eastAsia="Times New Roman" w:hAnsi="Arial" w:cs="Arial"/>
                <w:i/>
                <w:iCs/>
                <w:color w:val="000000"/>
                <w:sz w:val="18"/>
                <w:szCs w:val="18"/>
                <w:lang w:eastAsia="it-IT"/>
              </w:rPr>
              <w:t>internet</w:t>
            </w:r>
            <w:r w:rsidRPr="003F10FE">
              <w:rPr>
                <w:rFonts w:ascii="Arial" w:eastAsia="Times New Roman" w:hAnsi="Arial" w:cs="Arial"/>
                <w:color w:val="000000"/>
                <w:sz w:val="18"/>
                <w:szCs w:val="18"/>
                <w:lang w:eastAsia="it-IT"/>
              </w:rPr>
              <w:t xml:space="preserve"> da casa. La “penetrazione della banda ultralarga” è un importante indicatore di offerta dell'infrastruttura digitale, del livello di disponibilità sul territorio, e si basa sulla quota di abbonamenti in banda ultra larga (velocità di connessione in download di almeno 30 Mbit/s). Sebbene di diversa fonte e metodologia di rilevazione, ambedue segnalano una disuguaglianza nell’accesso e nell’uso delle tecnologie tra la parte della popolazione che può accedervi e quella che ne rimane esclusa</w:t>
            </w:r>
          </w:p>
        </w:tc>
      </w:tr>
      <w:tr w:rsidR="009A1643" w:rsidRPr="003F10FE" w14:paraId="6AA3B454" w14:textId="77777777" w:rsidTr="00800C2F">
        <w:trPr>
          <w:trHeight w:val="1125"/>
        </w:trPr>
        <w:tc>
          <w:tcPr>
            <w:cnfStyle w:val="001000000000" w:firstRow="0" w:lastRow="0" w:firstColumn="1" w:lastColumn="0" w:oddVBand="0" w:evenVBand="0" w:oddHBand="0" w:evenHBand="0" w:firstRowFirstColumn="0" w:firstRowLastColumn="0" w:lastRowFirstColumn="0" w:lastRowLastColumn="0"/>
            <w:tcW w:w="1688" w:type="dxa"/>
            <w:vMerge/>
            <w:noWrap/>
            <w:vAlign w:val="center"/>
            <w:hideMark/>
          </w:tcPr>
          <w:p w14:paraId="53FFAD9C"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p>
        </w:tc>
        <w:tc>
          <w:tcPr>
            <w:tcW w:w="1801" w:type="dxa"/>
            <w:vMerge/>
            <w:noWrap/>
            <w:vAlign w:val="center"/>
            <w:hideMark/>
          </w:tcPr>
          <w:p w14:paraId="12B40C8C"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748" w:type="dxa"/>
            <w:noWrap/>
            <w:vAlign w:val="center"/>
            <w:hideMark/>
          </w:tcPr>
          <w:p w14:paraId="2052064B"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5b) “Penetrazione della banda ultra larga”: abbonamenti in banda ultra larga (FTTH e VDSL)  / popolazione residente %</w:t>
            </w:r>
          </w:p>
        </w:tc>
        <w:tc>
          <w:tcPr>
            <w:tcW w:w="1701" w:type="dxa"/>
            <w:noWrap/>
            <w:vAlign w:val="center"/>
            <w:hideMark/>
          </w:tcPr>
          <w:p w14:paraId="05C81DE7"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5b) Istat - Indicatori territoriali per le politiche di sviluppo</w:t>
            </w:r>
          </w:p>
        </w:tc>
        <w:tc>
          <w:tcPr>
            <w:tcW w:w="6611" w:type="dxa"/>
            <w:vMerge/>
            <w:noWrap/>
            <w:vAlign w:val="center"/>
            <w:hideMark/>
          </w:tcPr>
          <w:p w14:paraId="692FD24D"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3F10FE" w14:paraId="742B0ECF" w14:textId="77777777" w:rsidTr="00800C2F">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1688" w:type="dxa"/>
            <w:vMerge w:val="restart"/>
            <w:noWrap/>
            <w:vAlign w:val="center"/>
            <w:hideMark/>
          </w:tcPr>
          <w:p w14:paraId="2549EAFC" w14:textId="77777777" w:rsidR="00217CF9" w:rsidRPr="003F10FE" w:rsidRDefault="00217CF9" w:rsidP="00217CF9">
            <w:pPr>
              <w:spacing w:after="0" w:line="240" w:lineRule="auto"/>
              <w:jc w:val="both"/>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6) RETI IDRICHE</w:t>
            </w:r>
          </w:p>
        </w:tc>
        <w:tc>
          <w:tcPr>
            <w:tcW w:w="1801" w:type="dxa"/>
            <w:vMerge w:val="restart"/>
            <w:noWrap/>
            <w:vAlign w:val="center"/>
            <w:hideMark/>
          </w:tcPr>
          <w:p w14:paraId="1FC891AD"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Efficienza delle reti idriche</w:t>
            </w:r>
          </w:p>
        </w:tc>
        <w:tc>
          <w:tcPr>
            <w:tcW w:w="2748" w:type="dxa"/>
            <w:vMerge w:val="restart"/>
            <w:noWrap/>
            <w:vAlign w:val="center"/>
            <w:hideMark/>
          </w:tcPr>
          <w:p w14:paraId="6C89624D"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Acqua erogata / totale acqua immessa nelle reti di distribuzione comunale %</w:t>
            </w:r>
          </w:p>
        </w:tc>
        <w:tc>
          <w:tcPr>
            <w:tcW w:w="1701" w:type="dxa"/>
            <w:vMerge w:val="restart"/>
            <w:noWrap/>
            <w:vAlign w:val="center"/>
            <w:hideMark/>
          </w:tcPr>
          <w:p w14:paraId="6D8D169C"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Istat - Indicatori territoriali per le politiche di sviluppo</w:t>
            </w:r>
          </w:p>
        </w:tc>
        <w:tc>
          <w:tcPr>
            <w:tcW w:w="6611" w:type="dxa"/>
            <w:vMerge w:val="restart"/>
            <w:noWrap/>
            <w:vAlign w:val="center"/>
            <w:hideMark/>
          </w:tcPr>
          <w:p w14:paraId="58A95B93"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 xml:space="preserve">La quota di acqua erogata (output) in rapporto alle quantità immesse nella rete (input) è un classico indicatore di qualità . Valori prossimi a 100 denotano standard elevati di efficienza, e viceversa. L’indicatore segnala i margini di miglioramento dell’infrastruttura idrica. Le differenze fra le due grandezze possono essere ricondotte a: esistenza di grandi quantità di acqua destinate a usi pubblici che non vengono contabilizzate in fase di erogazione; sfiori di serbatoi nel caso in cui le disponibilità superino la capacità di contenimento in particolari periodi dell'anno (o in particolari momenti della giornata); furti/prelievi abusivi dalla rete; perdite delle condotte. </w:t>
            </w:r>
          </w:p>
        </w:tc>
      </w:tr>
      <w:tr w:rsidR="009A1643" w:rsidRPr="003F10FE" w14:paraId="324D9FD7" w14:textId="77777777" w:rsidTr="00800C2F">
        <w:trPr>
          <w:trHeight w:val="450"/>
        </w:trPr>
        <w:tc>
          <w:tcPr>
            <w:cnfStyle w:val="001000000000" w:firstRow="0" w:lastRow="0" w:firstColumn="1" w:lastColumn="0" w:oddVBand="0" w:evenVBand="0" w:oddHBand="0" w:evenHBand="0" w:firstRowFirstColumn="0" w:firstRowLastColumn="0" w:lastRowFirstColumn="0" w:lastRowLastColumn="0"/>
            <w:tcW w:w="1688" w:type="dxa"/>
            <w:vMerge/>
            <w:noWrap/>
            <w:vAlign w:val="center"/>
            <w:hideMark/>
          </w:tcPr>
          <w:p w14:paraId="32E4176E"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p>
        </w:tc>
        <w:tc>
          <w:tcPr>
            <w:tcW w:w="1801" w:type="dxa"/>
            <w:vMerge/>
            <w:noWrap/>
            <w:vAlign w:val="center"/>
            <w:hideMark/>
          </w:tcPr>
          <w:p w14:paraId="7363B717"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748" w:type="dxa"/>
            <w:vMerge/>
            <w:noWrap/>
            <w:vAlign w:val="center"/>
            <w:hideMark/>
          </w:tcPr>
          <w:p w14:paraId="5373EF48"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1701" w:type="dxa"/>
            <w:vMerge/>
            <w:noWrap/>
            <w:vAlign w:val="center"/>
            <w:hideMark/>
          </w:tcPr>
          <w:p w14:paraId="21AF75CC"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6611" w:type="dxa"/>
            <w:vMerge/>
            <w:noWrap/>
            <w:vAlign w:val="center"/>
            <w:hideMark/>
          </w:tcPr>
          <w:p w14:paraId="6346E860"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3F10FE" w14:paraId="63A47D08" w14:textId="77777777" w:rsidTr="00800C2F">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688" w:type="dxa"/>
            <w:noWrap/>
            <w:vAlign w:val="center"/>
            <w:hideMark/>
          </w:tcPr>
          <w:p w14:paraId="66F9C356" w14:textId="77777777" w:rsidR="00217CF9" w:rsidRPr="003F10FE" w:rsidRDefault="00217CF9" w:rsidP="00800C2F">
            <w:pPr>
              <w:spacing w:after="0" w:line="240" w:lineRule="auto"/>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7) RETE FERROVIARIA</w:t>
            </w:r>
          </w:p>
        </w:tc>
        <w:tc>
          <w:tcPr>
            <w:tcW w:w="1801" w:type="dxa"/>
            <w:noWrap/>
            <w:vAlign w:val="center"/>
            <w:hideMark/>
          </w:tcPr>
          <w:p w14:paraId="16C797FB"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Elettrificazione della rete ferroviaria</w:t>
            </w:r>
          </w:p>
        </w:tc>
        <w:tc>
          <w:tcPr>
            <w:tcW w:w="2748" w:type="dxa"/>
            <w:noWrap/>
            <w:vAlign w:val="center"/>
            <w:hideMark/>
          </w:tcPr>
          <w:p w14:paraId="021E3494"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Km di rete non elettrificata (binario singolo + doppio) / totale Km di rete ferroviaria %</w:t>
            </w:r>
          </w:p>
        </w:tc>
        <w:tc>
          <w:tcPr>
            <w:tcW w:w="1701" w:type="dxa"/>
            <w:noWrap/>
            <w:vAlign w:val="center"/>
            <w:hideMark/>
          </w:tcPr>
          <w:p w14:paraId="5BD3D4AD"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Istat - Atlante Statistico Territoriale delle Infrastrutture</w:t>
            </w:r>
          </w:p>
        </w:tc>
        <w:tc>
          <w:tcPr>
            <w:tcW w:w="6611" w:type="dxa"/>
            <w:noWrap/>
            <w:vAlign w:val="center"/>
            <w:hideMark/>
          </w:tcPr>
          <w:p w14:paraId="6892D28E" w14:textId="77777777" w:rsidR="00217CF9" w:rsidRPr="003F10FE"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L'elettrificazione della rete ferroviaria è un ambito privilegiato di ammodernamento del'infrastruttura. Il campo di osservazione dell’indicatore è costituito dalla rete ferroviaria gestita da Ferrovie dello Stato (FS). Nel calcolo si pone al numeratore la lunghezza complessiva (in Km) della rete ferroviaria delle FS in esercizio a “binario semplice non elettrificato” e “doppio non elettrificato”; al numeratore la lunghezza (in Km) del totale della rete ferroviaria delle FS. Fornisce indicazioni sui margini di modernizzazione della rete ferroviaria</w:t>
            </w:r>
          </w:p>
        </w:tc>
      </w:tr>
    </w:tbl>
    <w:p w14:paraId="385D87E1" w14:textId="77777777" w:rsidR="00800C2F" w:rsidRDefault="00E35422" w:rsidP="00217CF9">
      <w:pPr>
        <w:tabs>
          <w:tab w:val="left" w:pos="1388"/>
          <w:tab w:val="left" w:pos="2704"/>
          <w:tab w:val="left" w:pos="4161"/>
          <w:tab w:val="left" w:pos="5589"/>
        </w:tabs>
        <w:spacing w:after="0" w:line="240" w:lineRule="auto"/>
        <w:ind w:left="-20"/>
        <w:rPr>
          <w:rFonts w:ascii="Times New Roman" w:eastAsia="Times New Roman" w:hAnsi="Times New Roman" w:cs="Times New Roman"/>
          <w:sz w:val="16"/>
          <w:szCs w:val="20"/>
          <w:lang w:eastAsia="it-IT"/>
        </w:rPr>
      </w:pPr>
      <w:r w:rsidRPr="00E35422">
        <w:rPr>
          <w:rFonts w:ascii="Arial" w:eastAsia="Times New Roman" w:hAnsi="Arial" w:cs="Arial"/>
          <w:color w:val="000000"/>
          <w:sz w:val="16"/>
          <w:szCs w:val="18"/>
          <w:lang w:eastAsia="it-IT"/>
        </w:rPr>
        <w:tab/>
      </w:r>
      <w:r w:rsidRPr="00E35422">
        <w:rPr>
          <w:rFonts w:ascii="Times New Roman" w:eastAsia="Times New Roman" w:hAnsi="Times New Roman" w:cs="Times New Roman"/>
          <w:sz w:val="16"/>
          <w:szCs w:val="20"/>
          <w:lang w:eastAsia="it-IT"/>
        </w:rPr>
        <w:tab/>
      </w:r>
      <w:r w:rsidRPr="00E35422">
        <w:rPr>
          <w:rFonts w:ascii="Times New Roman" w:eastAsia="Times New Roman" w:hAnsi="Times New Roman" w:cs="Times New Roman"/>
          <w:sz w:val="16"/>
          <w:szCs w:val="20"/>
          <w:lang w:eastAsia="it-IT"/>
        </w:rPr>
        <w:tab/>
      </w:r>
      <w:r w:rsidRPr="00E35422">
        <w:rPr>
          <w:rFonts w:ascii="Times New Roman" w:eastAsia="Times New Roman" w:hAnsi="Times New Roman" w:cs="Times New Roman"/>
          <w:sz w:val="16"/>
          <w:szCs w:val="20"/>
          <w:lang w:eastAsia="it-IT"/>
        </w:rPr>
        <w:tab/>
      </w:r>
    </w:p>
    <w:p w14:paraId="773292C2" w14:textId="77777777" w:rsidR="003F10FE" w:rsidRDefault="003F10FE" w:rsidP="00217CF9">
      <w:pPr>
        <w:tabs>
          <w:tab w:val="left" w:pos="1388"/>
          <w:tab w:val="left" w:pos="2704"/>
          <w:tab w:val="left" w:pos="4161"/>
          <w:tab w:val="left" w:pos="5589"/>
        </w:tabs>
        <w:spacing w:after="0" w:line="240" w:lineRule="auto"/>
        <w:ind w:left="-20"/>
        <w:rPr>
          <w:rFonts w:ascii="Times New Roman" w:eastAsia="Times New Roman" w:hAnsi="Times New Roman" w:cs="Times New Roman"/>
          <w:sz w:val="16"/>
          <w:szCs w:val="20"/>
          <w:lang w:eastAsia="it-IT"/>
        </w:rPr>
      </w:pPr>
      <w:r>
        <w:rPr>
          <w:rFonts w:ascii="Times New Roman" w:eastAsia="Times New Roman" w:hAnsi="Times New Roman" w:cs="Times New Roman"/>
          <w:sz w:val="16"/>
          <w:szCs w:val="20"/>
          <w:lang w:eastAsia="it-IT"/>
        </w:rPr>
        <w:br w:type="page"/>
      </w:r>
    </w:p>
    <w:p w14:paraId="6A351C60" w14:textId="77777777" w:rsidR="00800C2F" w:rsidRPr="00800C2F" w:rsidRDefault="00800C2F" w:rsidP="00800C2F">
      <w:pPr>
        <w:tabs>
          <w:tab w:val="left" w:pos="1388"/>
          <w:tab w:val="left" w:pos="2704"/>
          <w:tab w:val="left" w:pos="4161"/>
          <w:tab w:val="left" w:pos="5589"/>
        </w:tabs>
        <w:spacing w:after="0" w:line="240" w:lineRule="auto"/>
        <w:ind w:left="-20"/>
        <w:jc w:val="center"/>
        <w:rPr>
          <w:rFonts w:eastAsia="Times New Roman" w:cstheme="minorHAnsi"/>
          <w:b/>
          <w:bCs/>
          <w:color w:val="000000"/>
          <w:sz w:val="24"/>
          <w:lang w:eastAsia="it-IT"/>
        </w:rPr>
      </w:pPr>
      <w:r w:rsidRPr="00800C2F">
        <w:rPr>
          <w:rFonts w:eastAsia="Times New Roman" w:cstheme="minorHAnsi"/>
          <w:b/>
          <w:bCs/>
          <w:color w:val="000000"/>
          <w:sz w:val="24"/>
          <w:lang w:eastAsia="it-IT"/>
        </w:rPr>
        <w:lastRenderedPageBreak/>
        <w:t>(M 4-6) SERVIZI ALLE PERSONE</w:t>
      </w:r>
    </w:p>
    <w:p w14:paraId="128E917A" w14:textId="77777777" w:rsidR="00800C2F" w:rsidRPr="00E35422" w:rsidRDefault="00800C2F" w:rsidP="00800C2F">
      <w:pPr>
        <w:tabs>
          <w:tab w:val="left" w:pos="1388"/>
          <w:tab w:val="left" w:pos="2704"/>
          <w:tab w:val="left" w:pos="4161"/>
          <w:tab w:val="left" w:pos="5589"/>
        </w:tabs>
        <w:spacing w:after="0" w:line="240" w:lineRule="auto"/>
        <w:ind w:left="-20"/>
        <w:jc w:val="center"/>
        <w:rPr>
          <w:rFonts w:ascii="Times New Roman" w:eastAsia="Times New Roman" w:hAnsi="Times New Roman" w:cs="Times New Roman"/>
          <w:sz w:val="16"/>
          <w:szCs w:val="20"/>
          <w:lang w:eastAsia="it-IT"/>
        </w:rPr>
      </w:pPr>
    </w:p>
    <w:tbl>
      <w:tblPr>
        <w:tblStyle w:val="Tabellasemplice-2"/>
        <w:tblW w:w="14601" w:type="dxa"/>
        <w:tblLayout w:type="fixed"/>
        <w:tblLook w:val="04A0" w:firstRow="1" w:lastRow="0" w:firstColumn="1" w:lastColumn="0" w:noHBand="0" w:noVBand="1"/>
      </w:tblPr>
      <w:tblGrid>
        <w:gridCol w:w="1985"/>
        <w:gridCol w:w="1701"/>
        <w:gridCol w:w="2551"/>
        <w:gridCol w:w="1701"/>
        <w:gridCol w:w="6663"/>
      </w:tblGrid>
      <w:tr w:rsidR="009A1643" w:rsidRPr="003F10FE" w14:paraId="366C4293" w14:textId="77777777" w:rsidTr="00C37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26FBFCE" w14:textId="77777777" w:rsidR="00217CF9" w:rsidRPr="003F10FE" w:rsidRDefault="00217CF9" w:rsidP="00217CF9">
            <w:pPr>
              <w:spacing w:after="0" w:line="240" w:lineRule="auto"/>
              <w:jc w:val="center"/>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Tema</w:t>
            </w:r>
          </w:p>
        </w:tc>
        <w:tc>
          <w:tcPr>
            <w:tcW w:w="1701" w:type="dxa"/>
            <w:noWrap/>
            <w:vAlign w:val="center"/>
            <w:hideMark/>
          </w:tcPr>
          <w:p w14:paraId="141DE415"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Indicatore</w:t>
            </w:r>
          </w:p>
        </w:tc>
        <w:tc>
          <w:tcPr>
            <w:tcW w:w="2551" w:type="dxa"/>
            <w:noWrap/>
            <w:vAlign w:val="center"/>
            <w:hideMark/>
          </w:tcPr>
          <w:p w14:paraId="59C3AD7B"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Algoritmo</w:t>
            </w:r>
          </w:p>
        </w:tc>
        <w:tc>
          <w:tcPr>
            <w:tcW w:w="1701" w:type="dxa"/>
            <w:noWrap/>
            <w:vAlign w:val="center"/>
            <w:hideMark/>
          </w:tcPr>
          <w:p w14:paraId="42E32CD6"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Fonte</w:t>
            </w:r>
          </w:p>
        </w:tc>
        <w:tc>
          <w:tcPr>
            <w:tcW w:w="6663" w:type="dxa"/>
            <w:noWrap/>
            <w:vAlign w:val="center"/>
            <w:hideMark/>
          </w:tcPr>
          <w:p w14:paraId="203BEFD3" w14:textId="77777777" w:rsidR="00217CF9" w:rsidRPr="003F10FE" w:rsidRDefault="00217CF9" w:rsidP="00217C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Descrizione</w:t>
            </w:r>
          </w:p>
        </w:tc>
      </w:tr>
      <w:tr w:rsidR="009A1643" w:rsidRPr="003F10FE" w14:paraId="6A261593" w14:textId="77777777" w:rsidTr="00C3711A">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1985" w:type="dxa"/>
            <w:vMerge w:val="restart"/>
            <w:noWrap/>
            <w:vAlign w:val="center"/>
            <w:hideMark/>
          </w:tcPr>
          <w:p w14:paraId="7242E1D5"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8)  ISTRUZIONE (OUTCOME)</w:t>
            </w:r>
          </w:p>
        </w:tc>
        <w:tc>
          <w:tcPr>
            <w:tcW w:w="1701" w:type="dxa"/>
            <w:vMerge w:val="restart"/>
            <w:noWrap/>
            <w:vAlign w:val="center"/>
            <w:hideMark/>
          </w:tcPr>
          <w:p w14:paraId="0ADE9FD1" w14:textId="77777777" w:rsidR="00217CF9" w:rsidRPr="003F10FE" w:rsidRDefault="00217CF9" w:rsidP="00C3711A">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Competenze degli studenti</w:t>
            </w:r>
          </w:p>
        </w:tc>
        <w:tc>
          <w:tcPr>
            <w:tcW w:w="2551" w:type="dxa"/>
            <w:noWrap/>
            <w:vAlign w:val="center"/>
            <w:hideMark/>
          </w:tcPr>
          <w:p w14:paraId="19A5DD16"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it-IT"/>
              </w:rPr>
            </w:pPr>
            <w:r w:rsidRPr="003F10FE">
              <w:rPr>
                <w:rFonts w:ascii="Arial" w:eastAsia="Times New Roman" w:hAnsi="Arial" w:cs="Arial"/>
                <w:b/>
                <w:color w:val="000000"/>
                <w:sz w:val="18"/>
                <w:szCs w:val="18"/>
                <w:lang w:eastAsia="it-IT"/>
              </w:rPr>
              <w:t xml:space="preserve">8a) “Competenza media” in italiano e matematica (III media) </w:t>
            </w:r>
          </w:p>
        </w:tc>
        <w:tc>
          <w:tcPr>
            <w:tcW w:w="1701" w:type="dxa"/>
            <w:vMerge w:val="restart"/>
            <w:noWrap/>
            <w:vAlign w:val="center"/>
            <w:hideMark/>
          </w:tcPr>
          <w:p w14:paraId="0B1F4566"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Invalsi - Open Data territoriali (Dati provinciali di popolazione)</w:t>
            </w:r>
          </w:p>
        </w:tc>
        <w:tc>
          <w:tcPr>
            <w:tcW w:w="6663" w:type="dxa"/>
            <w:vMerge w:val="restart"/>
            <w:noWrap/>
            <w:vAlign w:val="center"/>
            <w:hideMark/>
          </w:tcPr>
          <w:p w14:paraId="49B61A91"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Le prove Invalsi di italiano e matematica prevedono una valutazione con due metodi: (a) l’attribuzione di un punteggio numerico su una scala quantitativa (Rasch); (b) l’assegnazione di un livello di competenza su una scala a cinque modalità. I “punteggi (wle) medi” su scala nazionale (8a) sono ottenuti attraverso l’applicazione di specifiche procedure statistiche (stima delle abilità secondo il modello di Rasch)  e depurati dal cosiddetto cheating: più elevato è il punteggio migliore è il livello di competenza. Nella scala sui livelli di competenza (8b), i valori 1 e 2 identificano un risultato non in linea con i traguardi previsti per il grado scolastico, mentre il livello 3 rappresenta un esito della prova adeguato ai traguardi di apprendimento previsti dalle Indicazioni nazionali, e i valori 4 e 5 il raggiungimento dei risultati di apprendimento più elevati disciplinare.</w:t>
            </w:r>
          </w:p>
        </w:tc>
      </w:tr>
      <w:tr w:rsidR="009A1643" w:rsidRPr="003F10FE" w14:paraId="24B3CA2F" w14:textId="77777777" w:rsidTr="00C3711A">
        <w:trPr>
          <w:trHeight w:val="1290"/>
        </w:trPr>
        <w:tc>
          <w:tcPr>
            <w:cnfStyle w:val="001000000000" w:firstRow="0" w:lastRow="0" w:firstColumn="1" w:lastColumn="0" w:oddVBand="0" w:evenVBand="0" w:oddHBand="0" w:evenHBand="0" w:firstRowFirstColumn="0" w:firstRowLastColumn="0" w:lastRowFirstColumn="0" w:lastRowLastColumn="0"/>
            <w:tcW w:w="1985" w:type="dxa"/>
            <w:vMerge/>
            <w:noWrap/>
            <w:vAlign w:val="center"/>
            <w:hideMark/>
          </w:tcPr>
          <w:p w14:paraId="52168DA1"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p>
        </w:tc>
        <w:tc>
          <w:tcPr>
            <w:tcW w:w="1701" w:type="dxa"/>
            <w:vMerge/>
            <w:noWrap/>
            <w:vAlign w:val="center"/>
            <w:hideMark/>
          </w:tcPr>
          <w:p w14:paraId="4644428A"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p>
        </w:tc>
        <w:tc>
          <w:tcPr>
            <w:tcW w:w="2551" w:type="dxa"/>
            <w:noWrap/>
            <w:vAlign w:val="center"/>
            <w:hideMark/>
          </w:tcPr>
          <w:p w14:paraId="43B974EF"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8b) “Livelli di competenza” in matematica (V superiore)</w:t>
            </w:r>
          </w:p>
        </w:tc>
        <w:tc>
          <w:tcPr>
            <w:tcW w:w="1701" w:type="dxa"/>
            <w:vMerge/>
            <w:noWrap/>
            <w:vAlign w:val="center"/>
            <w:hideMark/>
          </w:tcPr>
          <w:p w14:paraId="3CC7D5A2"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c>
          <w:tcPr>
            <w:tcW w:w="6663" w:type="dxa"/>
            <w:vMerge/>
            <w:noWrap/>
            <w:vAlign w:val="center"/>
            <w:hideMark/>
          </w:tcPr>
          <w:p w14:paraId="595B7567"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p>
        </w:tc>
      </w:tr>
      <w:tr w:rsidR="009A1643" w:rsidRPr="003F10FE" w14:paraId="06ECA88B" w14:textId="77777777" w:rsidTr="00C3711A">
        <w:trPr>
          <w:cnfStyle w:val="000000100000" w:firstRow="0" w:lastRow="0" w:firstColumn="0" w:lastColumn="0" w:oddVBand="0" w:evenVBand="0" w:oddHBand="1" w:evenHBand="0" w:firstRowFirstColumn="0" w:firstRowLastColumn="0" w:lastRowFirstColumn="0" w:lastRowLastColumn="0"/>
          <w:trHeight w:val="264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206037C8"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9)  SERVIZI SOCIO-EDUCATIVI</w:t>
            </w:r>
          </w:p>
        </w:tc>
        <w:tc>
          <w:tcPr>
            <w:tcW w:w="1701" w:type="dxa"/>
            <w:noWrap/>
            <w:vAlign w:val="center"/>
            <w:hideMark/>
          </w:tcPr>
          <w:p w14:paraId="2648AACE" w14:textId="77777777" w:rsidR="00217CF9" w:rsidRPr="003F10FE" w:rsidRDefault="00217CF9" w:rsidP="00C3711A">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Diffusione dei servizi per l'infanzia</w:t>
            </w:r>
          </w:p>
        </w:tc>
        <w:tc>
          <w:tcPr>
            <w:tcW w:w="2551" w:type="dxa"/>
            <w:noWrap/>
            <w:vAlign w:val="center"/>
            <w:hideMark/>
          </w:tcPr>
          <w:p w14:paraId="4CCD6EB0"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Comuni che hanno attivato servizi per l'infanzia / totale comuni della provincia %</w:t>
            </w:r>
          </w:p>
        </w:tc>
        <w:tc>
          <w:tcPr>
            <w:tcW w:w="1701" w:type="dxa"/>
            <w:noWrap/>
            <w:vAlign w:val="center"/>
            <w:hideMark/>
          </w:tcPr>
          <w:p w14:paraId="001C2537" w14:textId="77777777" w:rsidR="00217CF9" w:rsidRPr="003F10FE" w:rsidRDefault="00217CF9" w:rsidP="00217CF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Istat - Indicatori territoriali per le politiche di sviluppo</w:t>
            </w:r>
          </w:p>
        </w:tc>
        <w:tc>
          <w:tcPr>
            <w:tcW w:w="6663" w:type="dxa"/>
            <w:noWrap/>
            <w:vAlign w:val="center"/>
            <w:hideMark/>
          </w:tcPr>
          <w:p w14:paraId="52CC6933" w14:textId="77777777" w:rsidR="00217CF9" w:rsidRPr="003F10FE" w:rsidRDefault="00217CF9" w:rsidP="00217CF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L’indicatore fornisce informazioni sulla quota di comuni che – a livello provinciale - hanno attivi asili nido, micro-nidi o servizi integrativi e innovativi. L'asilo nido è un servizio rivolto alla prima infanzia (0-3 anni), finalizzato a promuovere lo sviluppo psico-fisico, cognitivo, affettivo e sociale del bambino e a offrire sostegno alle famiglie nel loro compito educativo, aperto per almeno 5 giorni e almeno 6 ore al giorno per un periodo di almeno 10 mesi all'anno. Rientrano sotto questa tipologia gli asili nido, i micronidi, gli asili nido aziendali, le sezioni 24-36 mesi aggregate alle scuole dell'infanzia ("sezioni primavera") e i nidi integrati. Nella categoria dei servizi integrativi rientrano, invece, i servizi educativi realizzati in contesto domiciliare, gli spazi gioco e i centri bambini genitori rivolti a bambini da 0 a 3 anni e sono compresi i contributi per il servizio di "Tagesmutter"</w:t>
            </w:r>
          </w:p>
        </w:tc>
      </w:tr>
      <w:tr w:rsidR="009A1643" w:rsidRPr="003F10FE" w14:paraId="4D149EE1" w14:textId="77777777" w:rsidTr="00C3711A">
        <w:trPr>
          <w:trHeight w:val="201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400A8449" w14:textId="77777777" w:rsidR="00217CF9" w:rsidRPr="003F10FE" w:rsidRDefault="00217CF9" w:rsidP="00217CF9">
            <w:pPr>
              <w:spacing w:after="0" w:line="240" w:lineRule="auto"/>
              <w:rPr>
                <w:rFonts w:ascii="Arial" w:eastAsia="Times New Roman" w:hAnsi="Arial" w:cs="Arial"/>
                <w:b w:val="0"/>
                <w:bCs w:val="0"/>
                <w:color w:val="000000"/>
                <w:sz w:val="18"/>
                <w:szCs w:val="18"/>
                <w:lang w:eastAsia="it-IT"/>
              </w:rPr>
            </w:pPr>
            <w:r w:rsidRPr="003F10FE">
              <w:rPr>
                <w:rFonts w:ascii="Arial" w:eastAsia="Times New Roman" w:hAnsi="Arial" w:cs="Arial"/>
                <w:color w:val="000000"/>
                <w:sz w:val="18"/>
                <w:szCs w:val="18"/>
                <w:lang w:eastAsia="it-IT"/>
              </w:rPr>
              <w:t>10)  SANITA'</w:t>
            </w:r>
          </w:p>
        </w:tc>
        <w:tc>
          <w:tcPr>
            <w:tcW w:w="1701" w:type="dxa"/>
            <w:noWrap/>
            <w:vAlign w:val="center"/>
            <w:hideMark/>
          </w:tcPr>
          <w:p w14:paraId="6E81A94D" w14:textId="77777777" w:rsidR="00217CF9" w:rsidRPr="003F10FE" w:rsidRDefault="00217CF9" w:rsidP="00C3711A">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it-IT"/>
              </w:rPr>
            </w:pPr>
            <w:r w:rsidRPr="003F10FE">
              <w:rPr>
                <w:rFonts w:ascii="Arial" w:eastAsia="Times New Roman" w:hAnsi="Arial" w:cs="Arial"/>
                <w:b/>
                <w:bCs/>
                <w:color w:val="000000"/>
                <w:sz w:val="18"/>
                <w:szCs w:val="18"/>
                <w:lang w:eastAsia="it-IT"/>
              </w:rPr>
              <w:t>Emigrazione ospedaliera (extra-regione)</w:t>
            </w:r>
          </w:p>
        </w:tc>
        <w:tc>
          <w:tcPr>
            <w:tcW w:w="2551" w:type="dxa"/>
            <w:noWrap/>
            <w:vAlign w:val="center"/>
            <w:hideMark/>
          </w:tcPr>
          <w:p w14:paraId="7F48E56E"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Dimissioni ospedaliere effettuate in regioni diverse da quella di residenza / totale delle dimissioni dei residenti nella propria regione %</w:t>
            </w:r>
          </w:p>
        </w:tc>
        <w:tc>
          <w:tcPr>
            <w:tcW w:w="1701" w:type="dxa"/>
            <w:noWrap/>
            <w:vAlign w:val="center"/>
            <w:hideMark/>
          </w:tcPr>
          <w:p w14:paraId="2A96B3E9" w14:textId="77777777" w:rsidR="00217CF9" w:rsidRPr="003F10FE" w:rsidRDefault="00217CF9" w:rsidP="00217CF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Istat - Indicatori territoriali per le politiche di sviluppo</w:t>
            </w:r>
          </w:p>
        </w:tc>
        <w:tc>
          <w:tcPr>
            <w:tcW w:w="6663" w:type="dxa"/>
            <w:noWrap/>
            <w:vAlign w:val="center"/>
            <w:hideMark/>
          </w:tcPr>
          <w:p w14:paraId="7280AA5D" w14:textId="77777777" w:rsidR="00217CF9" w:rsidRPr="003F10FE" w:rsidRDefault="00217CF9" w:rsidP="00217CF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t-IT"/>
              </w:rPr>
            </w:pPr>
            <w:r w:rsidRPr="003F10FE">
              <w:rPr>
                <w:rFonts w:ascii="Arial" w:eastAsia="Times New Roman" w:hAnsi="Arial" w:cs="Arial"/>
                <w:color w:val="000000"/>
                <w:sz w:val="18"/>
                <w:szCs w:val="18"/>
                <w:lang w:eastAsia="it-IT"/>
              </w:rPr>
              <w:t xml:space="preserve">L’indicatore di “Emigrazione ospedaliera” è una misura della mobilità sanitaria per la ricerca di cure ospedaliere in regioni diverse da quella di residenza. E’ una </w:t>
            </w:r>
            <w:r w:rsidRPr="003F10FE">
              <w:rPr>
                <w:rFonts w:ascii="Arial" w:eastAsia="Times New Roman" w:hAnsi="Arial" w:cs="Arial"/>
                <w:i/>
                <w:iCs/>
                <w:color w:val="000000"/>
                <w:sz w:val="18"/>
                <w:szCs w:val="18"/>
                <w:lang w:eastAsia="it-IT"/>
              </w:rPr>
              <w:t>proxi</w:t>
            </w:r>
            <w:r w:rsidRPr="003F10FE">
              <w:rPr>
                <w:rFonts w:ascii="Arial" w:eastAsia="Times New Roman" w:hAnsi="Arial" w:cs="Arial"/>
                <w:color w:val="000000"/>
                <w:sz w:val="18"/>
                <w:szCs w:val="18"/>
                <w:lang w:eastAsia="it-IT"/>
              </w:rPr>
              <w:t xml:space="preserve"> di qualità (adeguatezza, accessibilità) del sistema sanitario regionale. Valori elevati dell'indicatore possono indicare: a) la volontà di ovviare a lunghe liste di attesa; b) una sfiducia e/o scarsa soddisfazione per la sanità locale; c) il bisogno di avvalersi di prestazioni di alta specializzazione non erogate nelle strutture presenti nella regione di residenza</w:t>
            </w:r>
          </w:p>
        </w:tc>
      </w:tr>
    </w:tbl>
    <w:p w14:paraId="2B200990" w14:textId="77777777" w:rsidR="00217FED" w:rsidRDefault="00217FED" w:rsidP="00E35422">
      <w:pPr>
        <w:tabs>
          <w:tab w:val="left" w:pos="284"/>
        </w:tabs>
        <w:spacing w:after="120" w:line="240" w:lineRule="auto"/>
        <w:jc w:val="both"/>
        <w:rPr>
          <w:rFonts w:ascii="Arial" w:eastAsia="Arial Unicode MS" w:hAnsi="Arial" w:cs="Arial Unicode MS"/>
          <w:b/>
          <w:color w:val="000000"/>
          <w:u w:color="000000"/>
          <w:bdr w:val="nil"/>
          <w:lang w:eastAsia="it-IT"/>
        </w:rPr>
      </w:pPr>
    </w:p>
    <w:p w14:paraId="071B9B67" w14:textId="77777777" w:rsidR="00217FED" w:rsidRDefault="00217FED">
      <w:pPr>
        <w:spacing w:after="160" w:line="259" w:lineRule="auto"/>
        <w:rPr>
          <w:rFonts w:ascii="Arial" w:eastAsia="Arial Unicode MS" w:hAnsi="Arial" w:cs="Arial Unicode MS"/>
          <w:b/>
          <w:color w:val="000000"/>
          <w:u w:color="000000"/>
          <w:bdr w:val="nil"/>
          <w:lang w:eastAsia="it-IT"/>
        </w:rPr>
      </w:pPr>
      <w:r>
        <w:rPr>
          <w:rFonts w:ascii="Arial" w:eastAsia="Arial Unicode MS" w:hAnsi="Arial" w:cs="Arial Unicode MS"/>
          <w:b/>
          <w:color w:val="000000"/>
          <w:u w:color="000000"/>
          <w:bdr w:val="nil"/>
          <w:lang w:eastAsia="it-IT"/>
        </w:rPr>
        <w:br w:type="page"/>
      </w:r>
    </w:p>
    <w:p w14:paraId="492579D6" w14:textId="77777777" w:rsidR="00217FED" w:rsidRDefault="00217FED" w:rsidP="00E35422">
      <w:pPr>
        <w:tabs>
          <w:tab w:val="left" w:pos="284"/>
        </w:tabs>
        <w:spacing w:after="120" w:line="240" w:lineRule="auto"/>
        <w:jc w:val="both"/>
        <w:rPr>
          <w:rFonts w:ascii="Arial" w:eastAsia="Arial Unicode MS" w:hAnsi="Arial" w:cs="Arial Unicode MS"/>
          <w:b/>
          <w:color w:val="000000"/>
          <w:u w:color="000000"/>
          <w:bdr w:val="nil"/>
          <w:lang w:eastAsia="it-IT"/>
        </w:rPr>
        <w:sectPr w:rsidR="00217FED" w:rsidSect="00217FED">
          <w:pgSz w:w="16838" w:h="11906" w:orient="landscape"/>
          <w:pgMar w:top="1134" w:right="1418" w:bottom="1134" w:left="1134" w:header="709" w:footer="709" w:gutter="0"/>
          <w:cols w:space="708"/>
          <w:docGrid w:linePitch="360"/>
        </w:sectPr>
      </w:pPr>
    </w:p>
    <w:p w14:paraId="3DBFE228" w14:textId="77777777" w:rsidR="00775307" w:rsidRPr="00E35422" w:rsidRDefault="00775307" w:rsidP="00775307">
      <w:pPr>
        <w:tabs>
          <w:tab w:val="left" w:pos="284"/>
        </w:tabs>
        <w:spacing w:after="120" w:line="240" w:lineRule="auto"/>
        <w:jc w:val="center"/>
        <w:rPr>
          <w:rFonts w:ascii="Arial" w:eastAsia="Arial Unicode MS" w:hAnsi="Arial" w:cs="Arial Unicode MS"/>
          <w:b/>
          <w:color w:val="000000"/>
          <w:u w:color="000000"/>
          <w:bdr w:val="nil"/>
          <w:lang w:eastAsia="it-IT"/>
        </w:rPr>
      </w:pPr>
      <w:r>
        <w:rPr>
          <w:rFonts w:ascii="Arial" w:hAnsi="Arial" w:cs="Arial"/>
          <w:b/>
        </w:rPr>
        <w:lastRenderedPageBreak/>
        <w:t>Allegato IV – Riferimenti bibliografici</w:t>
      </w:r>
      <w:r w:rsidRPr="00E35422">
        <w:rPr>
          <w:rFonts w:ascii="Arial" w:eastAsia="Arial Unicode MS" w:hAnsi="Arial" w:cs="Arial Unicode MS"/>
          <w:b/>
          <w:color w:val="000000"/>
          <w:u w:color="000000"/>
          <w:bdr w:val="nil"/>
          <w:lang w:eastAsia="it-IT"/>
        </w:rPr>
        <w:tab/>
      </w:r>
      <w:r w:rsidRPr="00E35422">
        <w:rPr>
          <w:rFonts w:ascii="Arial" w:eastAsia="Arial Unicode MS" w:hAnsi="Arial" w:cs="Arial Unicode MS"/>
          <w:b/>
          <w:color w:val="000000"/>
          <w:u w:color="000000"/>
          <w:bdr w:val="nil"/>
          <w:lang w:eastAsia="it-IT"/>
        </w:rPr>
        <w:tab/>
      </w:r>
    </w:p>
    <w:p w14:paraId="0553E317" w14:textId="77777777" w:rsidR="00217FED" w:rsidRDefault="00217FED" w:rsidP="00E35422">
      <w:pPr>
        <w:tabs>
          <w:tab w:val="left" w:pos="284"/>
        </w:tabs>
        <w:spacing w:after="120" w:line="240" w:lineRule="auto"/>
        <w:jc w:val="both"/>
        <w:rPr>
          <w:rFonts w:ascii="Arial" w:eastAsia="Arial Unicode MS" w:hAnsi="Arial" w:cs="Arial Unicode MS"/>
          <w:b/>
          <w:color w:val="000000"/>
          <w:u w:color="000000"/>
          <w:bdr w:val="nil"/>
          <w:lang w:eastAsia="it-IT"/>
        </w:rPr>
      </w:pPr>
    </w:p>
    <w:p w14:paraId="7E3B9290" w14:textId="77777777" w:rsidR="009A1643" w:rsidRPr="00370D26" w:rsidRDefault="009A1643" w:rsidP="009A1643">
      <w:pPr>
        <w:pStyle w:val="Testonotaapidipagina"/>
        <w:jc w:val="both"/>
        <w:rPr>
          <w:rFonts w:ascii="Arial" w:eastAsia="Arial Unicode MS" w:hAnsi="Arial" w:cs="Arial Unicode MS"/>
          <w:color w:val="000000"/>
          <w:u w:color="000000"/>
          <w:bdr w:val="nil"/>
          <w:lang w:eastAsia="it-IT"/>
        </w:rPr>
      </w:pPr>
    </w:p>
    <w:p w14:paraId="4E729AC5" w14:textId="77777777" w:rsidR="00775307" w:rsidRDefault="00775307"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AA. VV. (2022), “L’Italia dei divari”, </w:t>
      </w:r>
      <w:r>
        <w:rPr>
          <w:rFonts w:ascii="Arial" w:eastAsia="Arial Unicode MS" w:hAnsi="Arial" w:cs="Arial Unicode MS"/>
          <w:i/>
          <w:color w:val="000000"/>
          <w:u w:color="000000"/>
          <w:bdr w:val="nil"/>
          <w:lang w:eastAsia="it-IT"/>
        </w:rPr>
        <w:t>Rivista Il Mulino</w:t>
      </w:r>
      <w:r>
        <w:rPr>
          <w:rFonts w:ascii="Arial" w:eastAsia="Arial Unicode MS" w:hAnsi="Arial" w:cs="Arial Unicode MS"/>
          <w:color w:val="000000"/>
          <w:u w:color="000000"/>
          <w:bdr w:val="nil"/>
          <w:lang w:eastAsia="it-IT"/>
        </w:rPr>
        <w:t>, LXXI, 4</w:t>
      </w:r>
    </w:p>
    <w:p w14:paraId="1DA8462B"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Banca d’Italia (aprile 2022), “La crescita dell’economia italiana e il divario nord-sud”, </w:t>
      </w:r>
      <w:r w:rsidRPr="005F6804">
        <w:rPr>
          <w:rFonts w:ascii="Arial" w:eastAsia="Arial Unicode MS" w:hAnsi="Arial" w:cs="Arial Unicode MS"/>
          <w:i/>
          <w:color w:val="000000"/>
          <w:u w:color="000000"/>
          <w:bdr w:val="nil"/>
          <w:lang w:eastAsia="it-IT"/>
        </w:rPr>
        <w:t>Questioni di economia e finanza</w:t>
      </w:r>
      <w:r w:rsidRPr="0007615C">
        <w:rPr>
          <w:rFonts w:ascii="Arial" w:eastAsia="Arial Unicode MS" w:hAnsi="Arial" w:cs="Arial Unicode MS"/>
          <w:color w:val="000000"/>
          <w:u w:color="000000"/>
          <w:bdr w:val="nil"/>
          <w:lang w:eastAsia="it-IT"/>
        </w:rPr>
        <w:t>,</w:t>
      </w:r>
      <w:r w:rsidRPr="00B018CA">
        <w:rPr>
          <w:rFonts w:ascii="Arial" w:eastAsia="Arial Unicode MS" w:hAnsi="Arial" w:cs="Arial Unicode MS"/>
          <w:color w:val="000000"/>
          <w:u w:color="000000"/>
          <w:bdr w:val="nil"/>
          <w:lang w:eastAsia="it-IT"/>
        </w:rPr>
        <w:t xml:space="preserve"> n. 683</w:t>
      </w:r>
    </w:p>
    <w:p w14:paraId="5B98A7DA"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Barberi N. S. (2015), </w:t>
      </w:r>
      <w:r w:rsidRPr="005F6804">
        <w:rPr>
          <w:rFonts w:ascii="Arial" w:eastAsia="Arial Unicode MS" w:hAnsi="Arial" w:cs="Arial Unicode MS"/>
          <w:i/>
          <w:color w:val="000000"/>
          <w:u w:color="000000"/>
          <w:bdr w:val="nil"/>
          <w:lang w:eastAsia="it-IT"/>
        </w:rPr>
        <w:t>Asili nido e servizi educativi per la prima infanzia in Italia</w:t>
      </w:r>
      <w:r w:rsidRPr="00B018CA">
        <w:rPr>
          <w:rFonts w:ascii="Arial" w:eastAsia="Arial Unicode MS" w:hAnsi="Arial" w:cs="Arial Unicode MS"/>
          <w:color w:val="000000"/>
          <w:u w:color="000000"/>
          <w:bdr w:val="nil"/>
          <w:lang w:eastAsia="it-IT"/>
        </w:rPr>
        <w:t>, Cleup</w:t>
      </w:r>
    </w:p>
    <w:p w14:paraId="0A6C33EF"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Barca F. (2006), </w:t>
      </w:r>
      <w:r w:rsidRPr="00267093">
        <w:rPr>
          <w:rFonts w:ascii="Arial" w:eastAsia="Arial Unicode MS" w:hAnsi="Arial" w:cs="Arial Unicode MS"/>
          <w:i/>
          <w:color w:val="000000"/>
          <w:u w:color="000000"/>
          <w:bdr w:val="nil"/>
          <w:lang w:eastAsia="it-IT"/>
        </w:rPr>
        <w:t>Italia frenata</w:t>
      </w:r>
      <w:r>
        <w:rPr>
          <w:rFonts w:ascii="Arial" w:eastAsia="Arial Unicode MS" w:hAnsi="Arial" w:cs="Arial Unicode MS"/>
          <w:color w:val="000000"/>
          <w:u w:color="000000"/>
          <w:bdr w:val="nil"/>
          <w:lang w:eastAsia="it-IT"/>
        </w:rPr>
        <w:t>, Donzelli</w:t>
      </w:r>
    </w:p>
    <w:p w14:paraId="74111437"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Barca F. (2009), “Un «Sud persistente»: riflessioni su 10 anni di politica per il Mezzogiorno”, in M. - Petrusewicz, J. Schneider, P. Schneider (a cura di), </w:t>
      </w:r>
      <w:r w:rsidRPr="005F6804">
        <w:rPr>
          <w:rFonts w:ascii="Arial" w:eastAsia="Arial Unicode MS" w:hAnsi="Arial" w:cs="Arial Unicode MS"/>
          <w:i/>
          <w:color w:val="000000"/>
          <w:u w:color="000000"/>
          <w:bdr w:val="nil"/>
          <w:lang w:eastAsia="it-IT"/>
        </w:rPr>
        <w:t>I Sud: conoscere, capire, cambiare</w:t>
      </w:r>
      <w:r>
        <w:rPr>
          <w:rFonts w:ascii="Arial" w:eastAsia="Arial Unicode MS" w:hAnsi="Arial" w:cs="Arial Unicode MS"/>
          <w:color w:val="000000"/>
          <w:u w:color="000000"/>
          <w:bdr w:val="nil"/>
          <w:lang w:eastAsia="it-IT"/>
        </w:rPr>
        <w:t>, Il Mulino</w:t>
      </w:r>
    </w:p>
    <w:p w14:paraId="4E416B41"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Bevilacqua </w:t>
      </w:r>
      <w:r>
        <w:rPr>
          <w:rFonts w:ascii="Arial" w:eastAsia="Arial Unicode MS" w:hAnsi="Arial" w:cs="Arial Unicode MS"/>
          <w:color w:val="000000"/>
          <w:u w:color="000000"/>
          <w:bdr w:val="nil"/>
          <w:lang w:eastAsia="it-IT"/>
        </w:rPr>
        <w:t xml:space="preserve">P. </w:t>
      </w:r>
      <w:r w:rsidRPr="00B018CA">
        <w:rPr>
          <w:rFonts w:ascii="Arial" w:eastAsia="Arial Unicode MS" w:hAnsi="Arial" w:cs="Arial Unicode MS"/>
          <w:color w:val="000000"/>
          <w:u w:color="000000"/>
          <w:bdr w:val="nil"/>
          <w:lang w:eastAsia="it-IT"/>
        </w:rPr>
        <w:t xml:space="preserve">(1993), </w:t>
      </w:r>
      <w:r w:rsidRPr="00267093">
        <w:rPr>
          <w:rFonts w:ascii="Arial" w:eastAsia="Arial Unicode MS" w:hAnsi="Arial" w:cs="Arial Unicode MS"/>
          <w:i/>
          <w:color w:val="000000"/>
          <w:u w:color="000000"/>
          <w:bdr w:val="nil"/>
          <w:lang w:eastAsia="it-IT"/>
        </w:rPr>
        <w:t>Breve storia dell’Italia meridionale</w:t>
      </w:r>
      <w:r w:rsidRPr="00B018CA">
        <w:rPr>
          <w:rFonts w:ascii="Arial" w:eastAsia="Arial Unicode MS" w:hAnsi="Arial" w:cs="Arial Unicode MS"/>
          <w:color w:val="000000"/>
          <w:u w:color="000000"/>
          <w:bdr w:val="nil"/>
          <w:lang w:eastAsia="it-IT"/>
        </w:rPr>
        <w:t>, Donzelli</w:t>
      </w:r>
    </w:p>
    <w:p w14:paraId="3EBC7E65"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Brunetta R.</w:t>
      </w:r>
      <w:r>
        <w:rPr>
          <w:rFonts w:ascii="Arial" w:eastAsia="Arial Unicode MS" w:hAnsi="Arial" w:cs="Arial Unicode MS"/>
          <w:color w:val="000000"/>
          <w:u w:color="000000"/>
          <w:bdr w:val="nil"/>
          <w:lang w:eastAsia="it-IT"/>
        </w:rPr>
        <w:t>,</w:t>
      </w:r>
      <w:r w:rsidRPr="00B018CA">
        <w:rPr>
          <w:rFonts w:ascii="Arial" w:eastAsia="Arial Unicode MS" w:hAnsi="Arial" w:cs="Arial Unicode MS"/>
          <w:color w:val="000000"/>
          <w:u w:color="000000"/>
          <w:bdr w:val="nil"/>
          <w:lang w:eastAsia="it-IT"/>
        </w:rPr>
        <w:t xml:space="preserve"> Tronti </w:t>
      </w:r>
      <w:r>
        <w:rPr>
          <w:rFonts w:ascii="Arial" w:eastAsia="Arial Unicode MS" w:hAnsi="Arial" w:cs="Arial Unicode MS"/>
          <w:color w:val="000000"/>
          <w:u w:color="000000"/>
          <w:bdr w:val="nil"/>
          <w:lang w:eastAsia="it-IT"/>
        </w:rPr>
        <w:t xml:space="preserve">L. </w:t>
      </w:r>
      <w:r w:rsidRPr="00B018CA">
        <w:rPr>
          <w:rFonts w:ascii="Arial" w:eastAsia="Arial Unicode MS" w:hAnsi="Arial" w:cs="Arial Unicode MS"/>
          <w:color w:val="000000"/>
          <w:u w:color="000000"/>
          <w:bdr w:val="nil"/>
          <w:lang w:eastAsia="it-IT"/>
        </w:rPr>
        <w:t xml:space="preserve">(1994), </w:t>
      </w:r>
      <w:r w:rsidRPr="00267093">
        <w:rPr>
          <w:rFonts w:ascii="Arial" w:eastAsia="Arial Unicode MS" w:hAnsi="Arial" w:cs="Arial Unicode MS"/>
          <w:i/>
          <w:color w:val="000000"/>
          <w:u w:color="000000"/>
          <w:bdr w:val="nil"/>
          <w:lang w:eastAsia="it-IT"/>
        </w:rPr>
        <w:t>Capitale umano e Mezzogiorno</w:t>
      </w:r>
      <w:r w:rsidRPr="00B018CA">
        <w:rPr>
          <w:rFonts w:ascii="Arial" w:eastAsia="Arial Unicode MS" w:hAnsi="Arial" w:cs="Arial Unicode MS"/>
          <w:color w:val="000000"/>
          <w:u w:color="000000"/>
          <w:bdr w:val="nil"/>
          <w:lang w:eastAsia="it-IT"/>
        </w:rPr>
        <w:t>, Il Mulino</w:t>
      </w:r>
    </w:p>
    <w:p w14:paraId="6049C41A" w14:textId="77777777" w:rsidR="009A1643" w:rsidRPr="00787EB8"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787EB8">
        <w:rPr>
          <w:rFonts w:ascii="Arial" w:eastAsia="Arial Unicode MS" w:hAnsi="Arial" w:cs="Arial Unicode MS"/>
          <w:color w:val="000000"/>
          <w:u w:color="000000"/>
          <w:bdr w:val="nil"/>
          <w:lang w:eastAsia="it-IT"/>
        </w:rPr>
        <w:t xml:space="preserve">Cavalli A. (1997), “La lunga transizione all’età adulta”, in: AA. VV., </w:t>
      </w:r>
      <w:r w:rsidRPr="00787EB8">
        <w:rPr>
          <w:rFonts w:ascii="Arial" w:eastAsia="Arial Unicode MS" w:hAnsi="Arial" w:cs="Arial Unicode MS"/>
          <w:i/>
          <w:color w:val="000000"/>
          <w:u w:color="000000"/>
          <w:bdr w:val="nil"/>
          <w:lang w:eastAsia="it-IT"/>
        </w:rPr>
        <w:t>Giovani verso il Duemila</w:t>
      </w:r>
      <w:r w:rsidRPr="00787EB8">
        <w:rPr>
          <w:rFonts w:ascii="Arial" w:eastAsia="Arial Unicode MS" w:hAnsi="Arial" w:cs="Arial Unicode MS"/>
          <w:color w:val="000000"/>
          <w:u w:color="000000"/>
          <w:bdr w:val="nil"/>
          <w:lang w:eastAsia="it-IT"/>
        </w:rPr>
        <w:t>, Il Mulino</w:t>
      </w:r>
    </w:p>
    <w:p w14:paraId="08F50A5E" w14:textId="77777777" w:rsidR="00787EB8" w:rsidRPr="00787EB8" w:rsidRDefault="00787EB8"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787EB8">
        <w:rPr>
          <w:rFonts w:ascii="Arial" w:eastAsia="Arial Unicode MS" w:hAnsi="Arial" w:cs="Arial Unicode MS"/>
          <w:color w:val="000000"/>
          <w:u w:color="000000"/>
          <w:bdr w:val="nil"/>
          <w:lang w:eastAsia="it-IT"/>
        </w:rPr>
        <w:t xml:space="preserve">Cersosimo D., Donzelli C. (1996), “Mezzo giorno e mezzo no”, </w:t>
      </w:r>
      <w:r w:rsidRPr="00787EB8">
        <w:rPr>
          <w:rFonts w:ascii="Arial" w:eastAsia="Arial Unicode MS" w:hAnsi="Arial" w:cs="Arial Unicode MS"/>
          <w:i/>
          <w:color w:val="000000"/>
          <w:u w:color="000000"/>
          <w:bdr w:val="nil"/>
          <w:lang w:eastAsia="it-IT"/>
        </w:rPr>
        <w:t>Meridiana</w:t>
      </w:r>
      <w:r w:rsidRPr="00787EB8">
        <w:rPr>
          <w:rFonts w:ascii="Arial" w:eastAsia="Arial Unicode MS" w:hAnsi="Arial" w:cs="Arial Unicode MS"/>
          <w:color w:val="000000"/>
          <w:u w:color="000000"/>
          <w:bdr w:val="nil"/>
          <w:lang w:eastAsia="it-IT"/>
        </w:rPr>
        <w:t>, 26-27</w:t>
      </w:r>
    </w:p>
    <w:p w14:paraId="3B9B615C" w14:textId="77777777" w:rsidR="009A1643" w:rsidRPr="00787EB8"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787EB8">
        <w:rPr>
          <w:rFonts w:ascii="Arial" w:eastAsia="Arial Unicode MS" w:hAnsi="Arial" w:cs="Arial Unicode MS"/>
          <w:color w:val="000000"/>
          <w:u w:color="000000"/>
          <w:bdr w:val="nil"/>
          <w:lang w:eastAsia="it-IT"/>
        </w:rPr>
        <w:t xml:space="preserve">Commissione Europea (2019), </w:t>
      </w:r>
      <w:r w:rsidRPr="00787EB8">
        <w:rPr>
          <w:rFonts w:ascii="Arial" w:eastAsia="Arial Unicode MS" w:hAnsi="Arial" w:cs="Arial Unicode MS"/>
          <w:i/>
          <w:color w:val="000000"/>
          <w:u w:color="000000"/>
          <w:bdr w:val="nil"/>
          <w:lang w:eastAsia="it-IT"/>
        </w:rPr>
        <w:t>State of health in the EU. Italia, profilo della sanità 2019</w:t>
      </w:r>
    </w:p>
    <w:p w14:paraId="52F2DC83" w14:textId="77777777" w:rsidR="009A1643" w:rsidRPr="00787EB8"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787EB8">
        <w:rPr>
          <w:rFonts w:ascii="Arial" w:eastAsia="Arial Unicode MS" w:hAnsi="Arial" w:cs="Arial Unicode MS"/>
          <w:color w:val="000000"/>
          <w:u w:color="000000"/>
          <w:bdr w:val="nil"/>
          <w:lang w:eastAsia="it-IT"/>
        </w:rPr>
        <w:t xml:space="preserve">Corazza L. (9 giugno 2022), “Potrà il PNRR rilanciare le Aree interne?”, </w:t>
      </w:r>
      <w:r w:rsidRPr="00787EB8">
        <w:rPr>
          <w:rFonts w:ascii="Arial" w:eastAsia="Arial Unicode MS" w:hAnsi="Arial" w:cs="Arial Unicode MS"/>
          <w:i/>
          <w:color w:val="000000"/>
          <w:u w:color="000000"/>
          <w:bdr w:val="nil"/>
          <w:lang w:eastAsia="it-IT"/>
        </w:rPr>
        <w:t>www.rivistailmulino.it</w:t>
      </w:r>
    </w:p>
    <w:p w14:paraId="4A02827A"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Daniele V., Malanima P. (2011), </w:t>
      </w:r>
      <w:r w:rsidRPr="00267093">
        <w:rPr>
          <w:rFonts w:ascii="Arial" w:eastAsia="Arial Unicode MS" w:hAnsi="Arial" w:cs="Arial Unicode MS"/>
          <w:i/>
          <w:color w:val="000000"/>
          <w:u w:color="000000"/>
          <w:bdr w:val="nil"/>
          <w:lang w:eastAsia="it-IT"/>
        </w:rPr>
        <w:t>Il divario nord-sud in Italia</w:t>
      </w:r>
      <w:r w:rsidRPr="00B018CA">
        <w:rPr>
          <w:rFonts w:ascii="Arial" w:eastAsia="Arial Unicode MS" w:hAnsi="Arial" w:cs="Arial Unicode MS"/>
          <w:color w:val="000000"/>
          <w:u w:color="000000"/>
          <w:bdr w:val="nil"/>
          <w:lang w:eastAsia="it-IT"/>
        </w:rPr>
        <w:t>, Rubbettino</w:t>
      </w:r>
    </w:p>
    <w:p w14:paraId="5D5469F2"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De Rossi A. (a cura di) (2018), </w:t>
      </w:r>
      <w:r>
        <w:rPr>
          <w:rFonts w:ascii="Arial" w:eastAsia="Arial Unicode MS" w:hAnsi="Arial" w:cs="Arial Unicode MS"/>
          <w:i/>
          <w:color w:val="000000"/>
          <w:u w:color="000000"/>
          <w:bdr w:val="nil"/>
          <w:lang w:eastAsia="it-IT"/>
        </w:rPr>
        <w:t>Riabitare l’Italia</w:t>
      </w:r>
      <w:r>
        <w:rPr>
          <w:rFonts w:ascii="Arial" w:eastAsia="Arial Unicode MS" w:hAnsi="Arial" w:cs="Arial Unicode MS"/>
          <w:color w:val="000000"/>
          <w:u w:color="000000"/>
          <w:bdr w:val="nil"/>
          <w:lang w:eastAsia="it-IT"/>
        </w:rPr>
        <w:t>, Donzelli</w:t>
      </w:r>
    </w:p>
    <w:p w14:paraId="0A714AC6"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Falorsi P. D, Falzetti P., Ricci R. (2019), </w:t>
      </w:r>
      <w:r w:rsidRPr="00267093">
        <w:rPr>
          <w:rFonts w:ascii="Arial" w:eastAsia="Arial Unicode MS" w:hAnsi="Arial" w:cs="Arial Unicode MS"/>
          <w:i/>
          <w:color w:val="000000"/>
          <w:u w:color="000000"/>
          <w:bdr w:val="nil"/>
          <w:lang w:eastAsia="it-IT"/>
        </w:rPr>
        <w:t>Le metodologie di campionamento e scomposizione della devianza nelle rilevazioni nazionali dell’Invalsi</w:t>
      </w:r>
      <w:r w:rsidRPr="00B018CA">
        <w:rPr>
          <w:rFonts w:ascii="Arial" w:eastAsia="Arial Unicode MS" w:hAnsi="Arial" w:cs="Arial Unicode MS"/>
          <w:color w:val="000000"/>
          <w:u w:color="000000"/>
          <w:bdr w:val="nil"/>
          <w:lang w:eastAsia="it-IT"/>
        </w:rPr>
        <w:t>, Franco Angeli (Open access)</w:t>
      </w:r>
    </w:p>
    <w:p w14:paraId="374E49F3"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Falzetti P. (a cura di) (2017), </w:t>
      </w:r>
      <w:r w:rsidRPr="00267093">
        <w:rPr>
          <w:rFonts w:ascii="Arial" w:eastAsia="Arial Unicode MS" w:hAnsi="Arial" w:cs="Arial Unicode MS"/>
          <w:i/>
          <w:color w:val="000000"/>
          <w:u w:color="000000"/>
          <w:bdr w:val="nil"/>
          <w:lang w:eastAsia="it-IT"/>
        </w:rPr>
        <w:t>I dati INVALSI: uno strumento per la ricerca</w:t>
      </w:r>
      <w:r w:rsidRPr="00B018CA">
        <w:rPr>
          <w:rFonts w:ascii="Arial" w:eastAsia="Arial Unicode MS" w:hAnsi="Arial" w:cs="Arial Unicode MS"/>
          <w:color w:val="000000"/>
          <w:u w:color="000000"/>
          <w:bdr w:val="nil"/>
          <w:lang w:eastAsia="it-IT"/>
        </w:rPr>
        <w:t>, Franco Angeli (Open access)</w:t>
      </w:r>
    </w:p>
    <w:p w14:paraId="5177B5B6"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Felice E. (2018), “Crescita, crisi, convergenza”, in: Istat (2018)</w:t>
      </w:r>
    </w:p>
    <w:p w14:paraId="7882D710"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Field (2003), </w:t>
      </w:r>
      <w:r>
        <w:rPr>
          <w:rFonts w:ascii="Arial" w:eastAsia="Arial Unicode MS" w:hAnsi="Arial" w:cs="Arial Unicode MS"/>
          <w:i/>
          <w:color w:val="000000"/>
          <w:u w:color="000000"/>
          <w:bdr w:val="nil"/>
          <w:lang w:eastAsia="it-IT"/>
        </w:rPr>
        <w:t>Il capitale sociale: un’introduzione</w:t>
      </w:r>
      <w:r>
        <w:rPr>
          <w:rFonts w:ascii="Arial" w:eastAsia="Arial Unicode MS" w:hAnsi="Arial" w:cs="Arial Unicode MS"/>
          <w:color w:val="000000"/>
          <w:u w:color="000000"/>
          <w:bdr w:val="nil"/>
          <w:lang w:eastAsia="it-IT"/>
        </w:rPr>
        <w:t>, Erikson</w:t>
      </w:r>
    </w:p>
    <w:p w14:paraId="4E8179BF"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FMI (ottobre 2019), “Closer together or further apart?”, </w:t>
      </w:r>
      <w:r w:rsidRPr="00267093">
        <w:rPr>
          <w:rFonts w:ascii="Arial" w:eastAsia="Arial Unicode MS" w:hAnsi="Arial" w:cs="Arial Unicode MS"/>
          <w:i/>
          <w:color w:val="000000"/>
          <w:u w:color="000000"/>
          <w:bdr w:val="nil"/>
          <w:lang w:eastAsia="it-IT"/>
        </w:rPr>
        <w:t>World Economic Outlook</w:t>
      </w:r>
    </w:p>
    <w:p w14:paraId="582874D1"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FORMEZ (2007), “I sistemi di governance dei servizi sanitari regionali”, </w:t>
      </w:r>
      <w:r w:rsidRPr="00267093">
        <w:rPr>
          <w:rFonts w:ascii="Arial" w:eastAsia="Arial Unicode MS" w:hAnsi="Arial" w:cs="Arial Unicode MS"/>
          <w:i/>
          <w:color w:val="000000"/>
          <w:u w:color="000000"/>
          <w:bdr w:val="nil"/>
          <w:lang w:eastAsia="it-IT"/>
        </w:rPr>
        <w:t>Quaderni FORMEZ</w:t>
      </w:r>
      <w:r w:rsidRPr="00B018CA">
        <w:rPr>
          <w:rFonts w:ascii="Arial" w:eastAsia="Arial Unicode MS" w:hAnsi="Arial" w:cs="Arial Unicode MS"/>
          <w:color w:val="000000"/>
          <w:u w:color="000000"/>
          <w:bdr w:val="nil"/>
          <w:lang w:eastAsia="it-IT"/>
        </w:rPr>
        <w:t>, n. 57</w:t>
      </w:r>
    </w:p>
    <w:p w14:paraId="23166D5D"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Gagliardi F. (2001), </w:t>
      </w:r>
      <w:r w:rsidRPr="00267093">
        <w:rPr>
          <w:rFonts w:ascii="Arial" w:eastAsia="Arial Unicode MS" w:hAnsi="Arial" w:cs="Arial Unicode MS"/>
          <w:i/>
          <w:color w:val="000000"/>
          <w:u w:color="000000"/>
          <w:bdr w:val="nil"/>
          <w:lang w:eastAsia="it-IT"/>
        </w:rPr>
        <w:t>Le politiche per lo sviluppo delle risorse umane in Europa</w:t>
      </w:r>
      <w:r w:rsidRPr="00B018CA">
        <w:rPr>
          <w:rFonts w:ascii="Arial" w:eastAsia="Arial Unicode MS" w:hAnsi="Arial" w:cs="Arial Unicode MS"/>
          <w:color w:val="000000"/>
          <w:u w:color="000000"/>
          <w:bdr w:val="nil"/>
          <w:lang w:eastAsia="it-IT"/>
        </w:rPr>
        <w:t>, Il Mulino</w:t>
      </w:r>
    </w:p>
    <w:p w14:paraId="2E6E50CB"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Gaudio F. (</w:t>
      </w:r>
      <w:r>
        <w:rPr>
          <w:rFonts w:ascii="Arial" w:eastAsia="Arial Unicode MS" w:hAnsi="Arial" w:cs="Arial Unicode MS"/>
          <w:color w:val="000000"/>
          <w:u w:color="000000"/>
          <w:bdr w:val="nil"/>
          <w:lang w:eastAsia="it-IT"/>
        </w:rPr>
        <w:t xml:space="preserve">1998), </w:t>
      </w:r>
      <w:r w:rsidRPr="00EB11BF">
        <w:rPr>
          <w:rFonts w:ascii="Arial" w:eastAsia="Arial Unicode MS" w:hAnsi="Arial" w:cs="Arial Unicode MS"/>
          <w:i/>
          <w:color w:val="000000"/>
          <w:u w:color="000000"/>
          <w:bdr w:val="nil"/>
          <w:lang w:eastAsia="it-IT"/>
        </w:rPr>
        <w:t>Cittadini a metà</w:t>
      </w:r>
      <w:r w:rsidRPr="00B018CA">
        <w:rPr>
          <w:rFonts w:ascii="Arial" w:eastAsia="Arial Unicode MS" w:hAnsi="Arial" w:cs="Arial Unicode MS"/>
          <w:color w:val="000000"/>
          <w:u w:color="000000"/>
          <w:bdr w:val="nil"/>
          <w:lang w:eastAsia="it-IT"/>
        </w:rPr>
        <w:t xml:space="preserve">, </w:t>
      </w:r>
      <w:r>
        <w:rPr>
          <w:rFonts w:ascii="Arial" w:eastAsia="Arial Unicode MS" w:hAnsi="Arial" w:cs="Arial Unicode MS"/>
          <w:color w:val="000000"/>
          <w:u w:color="000000"/>
          <w:bdr w:val="nil"/>
          <w:lang w:eastAsia="it-IT"/>
        </w:rPr>
        <w:t>Rubbettino</w:t>
      </w:r>
    </w:p>
    <w:p w14:paraId="591E4493"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Gaudio F. (2012), “Qualità della formazione, sviluppo, regolazione sociale”, </w:t>
      </w:r>
      <w:r w:rsidRPr="00267093">
        <w:rPr>
          <w:rFonts w:ascii="Arial" w:eastAsia="Arial Unicode MS" w:hAnsi="Arial" w:cs="Arial Unicode MS"/>
          <w:i/>
          <w:color w:val="000000"/>
          <w:u w:color="000000"/>
          <w:bdr w:val="nil"/>
          <w:lang w:eastAsia="it-IT"/>
        </w:rPr>
        <w:t>Osservatorio Isfol</w:t>
      </w:r>
      <w:r w:rsidRPr="00B018CA">
        <w:rPr>
          <w:rFonts w:ascii="Arial" w:eastAsia="Arial Unicode MS" w:hAnsi="Arial" w:cs="Arial Unicode MS"/>
          <w:color w:val="000000"/>
          <w:u w:color="000000"/>
          <w:bdr w:val="nil"/>
          <w:lang w:eastAsia="it-IT"/>
        </w:rPr>
        <w:t>, n. 1</w:t>
      </w:r>
    </w:p>
    <w:p w14:paraId="7939AA85"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Giannola A. (2015), “Crisi del Mezzogiorno e nuove spinte migratorie”, in I. Gjergji (a cura di), </w:t>
      </w:r>
      <w:r w:rsidRPr="00267093">
        <w:rPr>
          <w:rFonts w:ascii="Arial" w:eastAsia="Arial Unicode MS" w:hAnsi="Arial" w:cs="Arial Unicode MS"/>
          <w:i/>
          <w:color w:val="000000"/>
          <w:u w:color="000000"/>
          <w:bdr w:val="nil"/>
          <w:lang w:eastAsia="it-IT"/>
        </w:rPr>
        <w:t>La nuova emigrazione italiana</w:t>
      </w:r>
      <w:r w:rsidRPr="00B018CA">
        <w:rPr>
          <w:rFonts w:ascii="Arial" w:eastAsia="Arial Unicode MS" w:hAnsi="Arial" w:cs="Arial Unicode MS"/>
          <w:color w:val="000000"/>
          <w:u w:color="000000"/>
          <w:bdr w:val="nil"/>
          <w:lang w:eastAsia="it-IT"/>
        </w:rPr>
        <w:t>, Venezia, Ed. Ca’ Foscari</w:t>
      </w:r>
    </w:p>
    <w:p w14:paraId="344F9878" w14:textId="77777777" w:rsidR="005C409D" w:rsidRPr="00B018CA" w:rsidRDefault="005C409D"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Giovannetti G., Gori C., Pacini L. (a cura di) (</w:t>
      </w:r>
      <w:r w:rsidR="00DA3776">
        <w:rPr>
          <w:rFonts w:ascii="Arial" w:eastAsia="Arial Unicode MS" w:hAnsi="Arial" w:cs="Arial Unicode MS"/>
          <w:color w:val="000000"/>
          <w:u w:color="000000"/>
          <w:bdr w:val="nil"/>
          <w:lang w:eastAsia="it-IT"/>
        </w:rPr>
        <w:t xml:space="preserve">2014), </w:t>
      </w:r>
      <w:r w:rsidR="00DA3776">
        <w:rPr>
          <w:rFonts w:ascii="Arial" w:eastAsia="Arial Unicode MS" w:hAnsi="Arial" w:cs="Arial Unicode MS"/>
          <w:i/>
          <w:color w:val="000000"/>
          <w:u w:color="000000"/>
          <w:bdr w:val="nil"/>
          <w:lang w:eastAsia="it-IT"/>
        </w:rPr>
        <w:t>La pratica del welfare locale</w:t>
      </w:r>
      <w:r w:rsidR="00DA3776">
        <w:rPr>
          <w:rFonts w:ascii="Arial" w:eastAsia="Arial Unicode MS" w:hAnsi="Arial" w:cs="Arial Unicode MS"/>
          <w:color w:val="000000"/>
          <w:u w:color="000000"/>
          <w:bdr w:val="nil"/>
          <w:lang w:eastAsia="it-IT"/>
        </w:rPr>
        <w:t>, Maggioli</w:t>
      </w:r>
    </w:p>
    <w:p w14:paraId="6C98F9A6"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Governo italiano (30 aprile 2021), “PNRR - Piano Nazionale di Ripresa e Resilienza” (</w:t>
      </w:r>
      <w:hyperlink r:id="rId14" w:history="1">
        <w:r w:rsidRPr="00B018CA">
          <w:rPr>
            <w:rFonts w:ascii="Arial" w:eastAsia="Arial Unicode MS" w:hAnsi="Arial" w:cs="Arial Unicode MS"/>
            <w:color w:val="000000"/>
            <w:u w:color="000000"/>
            <w:bdr w:val="nil"/>
            <w:lang w:eastAsia="it-IT"/>
          </w:rPr>
          <w:t>https://italiadomani.gov.it/content/dam/sogei-ng/documenti/PNRR%20Aggiornato.pdf</w:t>
        </w:r>
      </w:hyperlink>
      <w:r w:rsidRPr="00B018CA">
        <w:rPr>
          <w:rFonts w:ascii="Arial" w:eastAsia="Arial Unicode MS" w:hAnsi="Arial" w:cs="Arial Unicode MS"/>
          <w:color w:val="000000"/>
          <w:u w:color="000000"/>
          <w:bdr w:val="nil"/>
          <w:lang w:eastAsia="it-IT"/>
        </w:rPr>
        <w:t>)</w:t>
      </w:r>
    </w:p>
    <w:p w14:paraId="43AE4F23"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Graziani A. (1979), </w:t>
      </w:r>
      <w:r w:rsidRPr="00267093">
        <w:rPr>
          <w:rFonts w:ascii="Arial" w:eastAsia="Arial Unicode MS" w:hAnsi="Arial" w:cs="Arial Unicode MS"/>
          <w:i/>
          <w:color w:val="000000"/>
          <w:u w:color="000000"/>
          <w:bdr w:val="nil"/>
          <w:lang w:eastAsia="it-IT"/>
        </w:rPr>
        <w:t>L’economia italiana dal 1945 a oggi</w:t>
      </w:r>
      <w:r>
        <w:rPr>
          <w:rFonts w:ascii="Arial" w:eastAsia="Arial Unicode MS" w:hAnsi="Arial" w:cs="Arial Unicode MS"/>
          <w:color w:val="000000"/>
          <w:u w:color="000000"/>
          <w:bdr w:val="nil"/>
          <w:lang w:eastAsia="it-IT"/>
        </w:rPr>
        <w:t>, Il Mulino</w:t>
      </w:r>
    </w:p>
    <w:p w14:paraId="111ED90B"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INVALSI (2022), “Rapporto Invalsi 2022” </w:t>
      </w:r>
    </w:p>
    <w:p w14:paraId="677940FA" w14:textId="77777777" w:rsidR="002743A3" w:rsidRPr="00B018CA" w:rsidRDefault="002743A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ISPRA (14 giugno 2022), “Desertificazione e degrado del suolo”, </w:t>
      </w:r>
      <w:r>
        <w:rPr>
          <w:rFonts w:ascii="Arial" w:eastAsia="Arial Unicode MS" w:hAnsi="Arial" w:cs="Arial Unicode MS"/>
          <w:i/>
          <w:color w:val="000000"/>
          <w:u w:color="000000"/>
          <w:bdr w:val="nil"/>
          <w:lang w:eastAsia="it-IT"/>
        </w:rPr>
        <w:t>Comunicato stampa</w:t>
      </w:r>
    </w:p>
    <w:p w14:paraId="31BEA9B0"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ISPRA (10 luglio 2022), “Nota sulle condizioni di siccità in corso e sullo stato della risorsa idrica a livello nazionale”</w:t>
      </w:r>
    </w:p>
    <w:p w14:paraId="7A8089DE"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Istat (23 dicembre 2022), “Conti economici territoriali – anni 2019-2021”, </w:t>
      </w:r>
      <w:r w:rsidRPr="00267093">
        <w:rPr>
          <w:rFonts w:ascii="Arial" w:eastAsia="Arial Unicode MS" w:hAnsi="Arial" w:cs="Arial Unicode MS"/>
          <w:i/>
          <w:color w:val="000000"/>
          <w:u w:color="000000"/>
          <w:bdr w:val="nil"/>
          <w:lang w:eastAsia="it-IT"/>
        </w:rPr>
        <w:t>Statistic</w:t>
      </w:r>
      <w:r>
        <w:rPr>
          <w:rFonts w:ascii="Arial" w:eastAsia="Arial Unicode MS" w:hAnsi="Arial" w:cs="Arial Unicode MS"/>
          <w:i/>
          <w:color w:val="000000"/>
          <w:u w:color="000000"/>
          <w:bdr w:val="nil"/>
          <w:lang w:eastAsia="it-IT"/>
        </w:rPr>
        <w:t>he</w:t>
      </w:r>
      <w:r w:rsidRPr="00267093">
        <w:rPr>
          <w:rFonts w:ascii="Arial" w:eastAsia="Arial Unicode MS" w:hAnsi="Arial" w:cs="Arial Unicode MS"/>
          <w:i/>
          <w:color w:val="000000"/>
          <w:u w:color="000000"/>
          <w:bdr w:val="nil"/>
          <w:lang w:eastAsia="it-IT"/>
        </w:rPr>
        <w:t xml:space="preserve"> Report</w:t>
      </w:r>
    </w:p>
    <w:p w14:paraId="30360E0C" w14:textId="77777777" w:rsidR="00384966" w:rsidRPr="009D055D"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(14 marzo 2022), “Dinamica demografica – anno 2021”, </w:t>
      </w:r>
      <w:r w:rsidRPr="00267093">
        <w:rPr>
          <w:rFonts w:ascii="Arial" w:eastAsia="Arial Unicode MS" w:hAnsi="Arial" w:cs="Arial Unicode MS"/>
          <w:i/>
          <w:color w:val="000000"/>
          <w:u w:color="000000"/>
          <w:bdr w:val="nil"/>
          <w:lang w:eastAsia="it-IT"/>
        </w:rPr>
        <w:t>Statistic</w:t>
      </w:r>
      <w:r>
        <w:rPr>
          <w:rFonts w:ascii="Arial" w:eastAsia="Arial Unicode MS" w:hAnsi="Arial" w:cs="Arial Unicode MS"/>
          <w:i/>
          <w:color w:val="000000"/>
          <w:u w:color="000000"/>
          <w:bdr w:val="nil"/>
          <w:lang w:eastAsia="it-IT"/>
        </w:rPr>
        <w:t>he</w:t>
      </w:r>
      <w:r w:rsidRPr="00267093">
        <w:rPr>
          <w:rFonts w:ascii="Arial" w:eastAsia="Arial Unicode MS" w:hAnsi="Arial" w:cs="Arial Unicode MS"/>
          <w:i/>
          <w:color w:val="000000"/>
          <w:u w:color="000000"/>
          <w:bdr w:val="nil"/>
          <w:lang w:eastAsia="it-IT"/>
        </w:rPr>
        <w:t xml:space="preserve"> Report</w:t>
      </w:r>
    </w:p>
    <w:p w14:paraId="24C5BAB4"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 gennaio 2021), “Iscrizioni e cancellazioni anagrafiche della popolazione residente, anno 2019”, </w:t>
      </w:r>
      <w:r w:rsidRPr="00267093">
        <w:rPr>
          <w:rFonts w:ascii="Arial" w:eastAsia="Arial Unicode MS" w:hAnsi="Arial" w:cs="Arial Unicode MS"/>
          <w:i/>
          <w:color w:val="000000"/>
          <w:u w:color="000000"/>
          <w:bdr w:val="nil"/>
          <w:lang w:eastAsia="it-IT"/>
        </w:rPr>
        <w:t>Statistic</w:t>
      </w:r>
      <w:r>
        <w:rPr>
          <w:rFonts w:ascii="Arial" w:eastAsia="Arial Unicode MS" w:hAnsi="Arial" w:cs="Arial Unicode MS"/>
          <w:i/>
          <w:color w:val="000000"/>
          <w:u w:color="000000"/>
          <w:bdr w:val="nil"/>
          <w:lang w:eastAsia="it-IT"/>
        </w:rPr>
        <w:t>he</w:t>
      </w:r>
      <w:r w:rsidRPr="00267093">
        <w:rPr>
          <w:rFonts w:ascii="Arial" w:eastAsia="Arial Unicode MS" w:hAnsi="Arial" w:cs="Arial Unicode MS"/>
          <w:i/>
          <w:color w:val="000000"/>
          <w:u w:color="000000"/>
          <w:bdr w:val="nil"/>
          <w:lang w:eastAsia="it-IT"/>
        </w:rPr>
        <w:t xml:space="preserve"> Report</w:t>
      </w:r>
    </w:p>
    <w:p w14:paraId="509844C9"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(1 febbraio 2022), “Iscrizioni e cancellazioni anagrafiche della popolazione residente, anno 2020”, </w:t>
      </w:r>
      <w:r w:rsidRPr="00267093">
        <w:rPr>
          <w:rFonts w:ascii="Arial" w:eastAsia="Arial Unicode MS" w:hAnsi="Arial" w:cs="Arial Unicode MS"/>
          <w:i/>
          <w:color w:val="000000"/>
          <w:u w:color="000000"/>
          <w:bdr w:val="nil"/>
          <w:lang w:eastAsia="it-IT"/>
        </w:rPr>
        <w:t>Statistic</w:t>
      </w:r>
      <w:r>
        <w:rPr>
          <w:rFonts w:ascii="Arial" w:eastAsia="Arial Unicode MS" w:hAnsi="Arial" w:cs="Arial Unicode MS"/>
          <w:i/>
          <w:color w:val="000000"/>
          <w:u w:color="000000"/>
          <w:bdr w:val="nil"/>
          <w:lang w:eastAsia="it-IT"/>
        </w:rPr>
        <w:t>he</w:t>
      </w:r>
      <w:r w:rsidRPr="00267093">
        <w:rPr>
          <w:rFonts w:ascii="Arial" w:eastAsia="Arial Unicode MS" w:hAnsi="Arial" w:cs="Arial Unicode MS"/>
          <w:i/>
          <w:color w:val="000000"/>
          <w:u w:color="000000"/>
          <w:bdr w:val="nil"/>
          <w:lang w:eastAsia="it-IT"/>
        </w:rPr>
        <w:t xml:space="preserve"> Report</w:t>
      </w:r>
    </w:p>
    <w:p w14:paraId="7C93B21A"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 luglio 2022) “La geografia delle Aree Interne nel 2020”, </w:t>
      </w:r>
      <w:r w:rsidRPr="00267093">
        <w:rPr>
          <w:rFonts w:ascii="Arial" w:eastAsia="Arial Unicode MS" w:hAnsi="Arial" w:cs="Arial Unicode MS"/>
          <w:i/>
          <w:color w:val="000000"/>
          <w:u w:color="000000"/>
          <w:bdr w:val="nil"/>
          <w:lang w:eastAsia="it-IT"/>
        </w:rPr>
        <w:t>Statistiche Focus</w:t>
      </w:r>
    </w:p>
    <w:p w14:paraId="49247C8A"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(2012), </w:t>
      </w:r>
      <w:r w:rsidRPr="005F6804">
        <w:rPr>
          <w:rFonts w:ascii="Arial" w:eastAsia="Arial Unicode MS" w:hAnsi="Arial" w:cs="Arial Unicode MS"/>
          <w:i/>
          <w:color w:val="000000"/>
          <w:u w:color="000000"/>
          <w:bdr w:val="nil"/>
          <w:lang w:eastAsia="it-IT"/>
        </w:rPr>
        <w:t>La recente mobilità territoriale in Italia. Le migrazioni dal Mezzogiorno al Centro-Nord nel periodo 1995-2008</w:t>
      </w:r>
      <w:r w:rsidRPr="00B018CA">
        <w:rPr>
          <w:rFonts w:ascii="Arial" w:eastAsia="Arial Unicode MS" w:hAnsi="Arial" w:cs="Arial Unicode MS"/>
          <w:color w:val="000000"/>
          <w:u w:color="000000"/>
          <w:bdr w:val="nil"/>
          <w:lang w:eastAsia="it-IT"/>
        </w:rPr>
        <w:t xml:space="preserve">, Roma </w:t>
      </w:r>
    </w:p>
    <w:p w14:paraId="17CAA5F5"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(2018), </w:t>
      </w:r>
      <w:r>
        <w:rPr>
          <w:rFonts w:ascii="Arial" w:eastAsia="Arial Unicode MS" w:hAnsi="Arial" w:cs="Arial Unicode MS"/>
          <w:color w:val="000000"/>
          <w:u w:color="000000"/>
          <w:bdr w:val="nil"/>
          <w:lang w:eastAsia="it-IT"/>
        </w:rPr>
        <w:t>“</w:t>
      </w:r>
      <w:r w:rsidRPr="00B018CA">
        <w:rPr>
          <w:rFonts w:ascii="Arial" w:eastAsia="Arial Unicode MS" w:hAnsi="Arial" w:cs="Arial Unicode MS"/>
          <w:color w:val="000000"/>
          <w:u w:color="000000"/>
          <w:bdr w:val="nil"/>
          <w:lang w:eastAsia="it-IT"/>
        </w:rPr>
        <w:t xml:space="preserve">La società italiana e le grandi crisi economiche, 1929-2016”, </w:t>
      </w:r>
      <w:r w:rsidRPr="005F6804">
        <w:rPr>
          <w:rFonts w:ascii="Arial" w:eastAsia="Arial Unicode MS" w:hAnsi="Arial" w:cs="Arial Unicode MS"/>
          <w:i/>
          <w:color w:val="000000"/>
          <w:u w:color="000000"/>
          <w:bdr w:val="nil"/>
          <w:lang w:eastAsia="it-IT"/>
        </w:rPr>
        <w:t>Annali di statistica</w:t>
      </w:r>
      <w:r w:rsidRPr="00B018CA">
        <w:rPr>
          <w:rFonts w:ascii="Arial" w:eastAsia="Arial Unicode MS" w:hAnsi="Arial" w:cs="Arial Unicode MS"/>
          <w:color w:val="000000"/>
          <w:u w:color="000000"/>
          <w:bdr w:val="nil"/>
          <w:lang w:eastAsia="it-IT"/>
        </w:rPr>
        <w:t>, Serie XIII, vol. 2, Roma</w:t>
      </w:r>
    </w:p>
    <w:p w14:paraId="544D6A17"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Istat (22 marzo 2021), “</w:t>
      </w:r>
      <w:r>
        <w:rPr>
          <w:rFonts w:ascii="Arial" w:eastAsia="Arial Unicode MS" w:hAnsi="Arial" w:cs="Arial Unicode MS"/>
          <w:color w:val="000000"/>
          <w:u w:color="000000"/>
          <w:bdr w:val="nil"/>
          <w:lang w:eastAsia="it-IT"/>
        </w:rPr>
        <w:t>Le statistiche dell’Istat sull’acqua – anni 2018-2020”</w:t>
      </w:r>
      <w:r w:rsidRPr="00B018CA">
        <w:rPr>
          <w:rFonts w:ascii="Arial" w:eastAsia="Arial Unicode MS" w:hAnsi="Arial" w:cs="Arial Unicode MS"/>
          <w:color w:val="000000"/>
          <w:u w:color="000000"/>
          <w:bdr w:val="nil"/>
          <w:lang w:eastAsia="it-IT"/>
        </w:rPr>
        <w:t xml:space="preserve">, </w:t>
      </w:r>
      <w:r w:rsidRPr="00267093">
        <w:rPr>
          <w:rFonts w:ascii="Arial" w:eastAsia="Arial Unicode MS" w:hAnsi="Arial" w:cs="Arial Unicode MS"/>
          <w:i/>
          <w:color w:val="000000"/>
          <w:u w:color="000000"/>
          <w:bdr w:val="nil"/>
          <w:lang w:eastAsia="it-IT"/>
        </w:rPr>
        <w:t>Statistiche report</w:t>
      </w:r>
    </w:p>
    <w:p w14:paraId="38EBD623"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(21 marzo 2022), “Le statistiche </w:t>
      </w:r>
      <w:r w:rsidR="00BC11A7">
        <w:rPr>
          <w:rFonts w:ascii="Arial" w:eastAsia="Arial Unicode MS" w:hAnsi="Arial" w:cs="Arial Unicode MS"/>
          <w:color w:val="000000"/>
          <w:u w:color="000000"/>
          <w:bdr w:val="nil"/>
          <w:lang w:eastAsia="it-IT"/>
        </w:rPr>
        <w:t>dell’</w:t>
      </w:r>
      <w:r w:rsidRPr="00B018CA">
        <w:rPr>
          <w:rFonts w:ascii="Arial" w:eastAsia="Arial Unicode MS" w:hAnsi="Arial" w:cs="Arial Unicode MS"/>
          <w:color w:val="000000"/>
          <w:u w:color="000000"/>
          <w:bdr w:val="nil"/>
          <w:lang w:eastAsia="it-IT"/>
        </w:rPr>
        <w:t>Istat sull’acqua</w:t>
      </w:r>
      <w:r>
        <w:rPr>
          <w:rFonts w:ascii="Arial" w:eastAsia="Arial Unicode MS" w:hAnsi="Arial" w:cs="Arial Unicode MS"/>
          <w:color w:val="000000"/>
          <w:u w:color="000000"/>
          <w:bdr w:val="nil"/>
          <w:lang w:eastAsia="it-IT"/>
        </w:rPr>
        <w:t xml:space="preserve"> - anni </w:t>
      </w:r>
      <w:r w:rsidRPr="00B018CA">
        <w:rPr>
          <w:rFonts w:ascii="Arial" w:eastAsia="Arial Unicode MS" w:hAnsi="Arial" w:cs="Arial Unicode MS"/>
          <w:color w:val="000000"/>
          <w:u w:color="000000"/>
          <w:bdr w:val="nil"/>
          <w:lang w:eastAsia="it-IT"/>
        </w:rPr>
        <w:t xml:space="preserve">2019-2021”, </w:t>
      </w:r>
      <w:r w:rsidRPr="00267093">
        <w:rPr>
          <w:rFonts w:ascii="Arial" w:eastAsia="Arial Unicode MS" w:hAnsi="Arial" w:cs="Arial Unicode MS"/>
          <w:i/>
          <w:color w:val="000000"/>
          <w:u w:color="000000"/>
          <w:bdr w:val="nil"/>
          <w:lang w:eastAsia="it-IT"/>
        </w:rPr>
        <w:t>Statistiche Report</w:t>
      </w:r>
    </w:p>
    <w:p w14:paraId="4A82D821"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lastRenderedPageBreak/>
        <w:t xml:space="preserve">Istat (8 ottobre 2021), “Livelli di istruzione e partecipazione alla formazione”, </w:t>
      </w:r>
      <w:r w:rsidRPr="00267093">
        <w:rPr>
          <w:rFonts w:ascii="Arial" w:eastAsia="Arial Unicode MS" w:hAnsi="Arial" w:cs="Arial Unicode MS"/>
          <w:i/>
          <w:color w:val="000000"/>
          <w:u w:color="000000"/>
          <w:bdr w:val="nil"/>
          <w:lang w:eastAsia="it-IT"/>
        </w:rPr>
        <w:t>Statistiche Report</w:t>
      </w:r>
    </w:p>
    <w:p w14:paraId="18AA348B"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(4 novembre 2021), “Nidi e servizi integrativi per la prima infanzia”, </w:t>
      </w:r>
      <w:r w:rsidRPr="00267093">
        <w:rPr>
          <w:rFonts w:ascii="Arial" w:eastAsia="Arial Unicode MS" w:hAnsi="Arial" w:cs="Arial Unicode MS"/>
          <w:i/>
          <w:color w:val="000000"/>
          <w:u w:color="000000"/>
          <w:bdr w:val="nil"/>
          <w:lang w:eastAsia="it-IT"/>
        </w:rPr>
        <w:t>Statistiche Report</w:t>
      </w:r>
    </w:p>
    <w:p w14:paraId="54AE8812" w14:textId="77777777" w:rsidR="00384966"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Istat (29 gennaio 2021), “Proposta di Piano Nazionale di Ripresa e Resilienza. Audizione del Presidente dell’Istat”, Camera dei Deputati</w:t>
      </w:r>
    </w:p>
    <w:p w14:paraId="46A6F0A2" w14:textId="77777777" w:rsidR="00384966" w:rsidRPr="00876F44"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876F44">
        <w:rPr>
          <w:rFonts w:ascii="Arial" w:eastAsia="Arial Unicode MS" w:hAnsi="Arial" w:cs="Arial Unicode MS"/>
          <w:color w:val="000000"/>
          <w:u w:color="000000"/>
          <w:bdr w:val="nil"/>
          <w:lang w:eastAsia="it-IT"/>
        </w:rPr>
        <w:t xml:space="preserve">Istat (2020c), </w:t>
      </w:r>
      <w:r w:rsidRPr="00876F44">
        <w:rPr>
          <w:rFonts w:ascii="Arial" w:eastAsia="Arial Unicode MS" w:hAnsi="Arial" w:cs="Arial Unicode MS"/>
          <w:i/>
          <w:color w:val="000000"/>
          <w:u w:color="000000"/>
          <w:bdr w:val="nil"/>
          <w:lang w:eastAsia="it-IT"/>
        </w:rPr>
        <w:t>Rapporto Annuale 2020 sulla situazione del Paese</w:t>
      </w:r>
      <w:r w:rsidRPr="00876F44">
        <w:rPr>
          <w:rFonts w:ascii="Arial" w:eastAsia="Arial Unicode MS" w:hAnsi="Arial" w:cs="Arial Unicode MS"/>
          <w:color w:val="000000"/>
          <w:u w:color="000000"/>
          <w:bdr w:val="nil"/>
          <w:lang w:eastAsia="it-IT"/>
        </w:rPr>
        <w:t>, Roma</w:t>
      </w:r>
    </w:p>
    <w:p w14:paraId="0D6A4561"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(2021), </w:t>
      </w:r>
      <w:r w:rsidRPr="00267093">
        <w:rPr>
          <w:rFonts w:ascii="Arial" w:eastAsia="Arial Unicode MS" w:hAnsi="Arial" w:cs="Arial Unicode MS"/>
          <w:i/>
          <w:color w:val="000000"/>
          <w:u w:color="000000"/>
          <w:bdr w:val="nil"/>
          <w:lang w:eastAsia="it-IT"/>
        </w:rPr>
        <w:t>Rapporto Annuale 2021 sulla situazione del Paese</w:t>
      </w:r>
      <w:r w:rsidRPr="00B018CA">
        <w:rPr>
          <w:rFonts w:ascii="Arial" w:eastAsia="Arial Unicode MS" w:hAnsi="Arial" w:cs="Arial Unicode MS"/>
          <w:color w:val="000000"/>
          <w:u w:color="000000"/>
          <w:bdr w:val="nil"/>
          <w:lang w:eastAsia="it-IT"/>
        </w:rPr>
        <w:t>, Roma</w:t>
      </w:r>
    </w:p>
    <w:p w14:paraId="40F45B80"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(2022a), </w:t>
      </w:r>
      <w:r w:rsidRPr="00267093">
        <w:rPr>
          <w:rFonts w:ascii="Arial" w:eastAsia="Arial Unicode MS" w:hAnsi="Arial" w:cs="Arial Unicode MS"/>
          <w:i/>
          <w:color w:val="000000"/>
          <w:u w:color="000000"/>
          <w:bdr w:val="nil"/>
          <w:lang w:eastAsia="it-IT"/>
        </w:rPr>
        <w:t>Rapporto Annuale 2022 sulla situazione del Paese</w:t>
      </w:r>
      <w:r w:rsidRPr="00B018CA">
        <w:rPr>
          <w:rFonts w:ascii="Arial" w:eastAsia="Arial Unicode MS" w:hAnsi="Arial" w:cs="Arial Unicode MS"/>
          <w:color w:val="000000"/>
          <w:u w:color="000000"/>
          <w:bdr w:val="nil"/>
          <w:lang w:eastAsia="it-IT"/>
        </w:rPr>
        <w:t>, Roma</w:t>
      </w:r>
    </w:p>
    <w:p w14:paraId="79671F5A"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(2020b), </w:t>
      </w:r>
      <w:r w:rsidRPr="00267093">
        <w:rPr>
          <w:rFonts w:ascii="Arial" w:eastAsia="Arial Unicode MS" w:hAnsi="Arial" w:cs="Arial Unicode MS"/>
          <w:i/>
          <w:color w:val="000000"/>
          <w:u w:color="000000"/>
          <w:bdr w:val="nil"/>
          <w:lang w:eastAsia="it-IT"/>
        </w:rPr>
        <w:t>Rapporto Bes 2020</w:t>
      </w:r>
      <w:r w:rsidRPr="00B018CA">
        <w:rPr>
          <w:rFonts w:ascii="Arial" w:eastAsia="Arial Unicode MS" w:hAnsi="Arial" w:cs="Arial Unicode MS"/>
          <w:color w:val="000000"/>
          <w:u w:color="000000"/>
          <w:bdr w:val="nil"/>
          <w:lang w:eastAsia="it-IT"/>
        </w:rPr>
        <w:t>, Roma</w:t>
      </w:r>
    </w:p>
    <w:p w14:paraId="042AC872"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(2021b), </w:t>
      </w:r>
      <w:r w:rsidRPr="00267093">
        <w:rPr>
          <w:rFonts w:ascii="Arial" w:eastAsia="Arial Unicode MS" w:hAnsi="Arial" w:cs="Arial Unicode MS"/>
          <w:i/>
          <w:color w:val="000000"/>
          <w:u w:color="000000"/>
          <w:bdr w:val="nil"/>
          <w:lang w:eastAsia="it-IT"/>
        </w:rPr>
        <w:t>Rapporto Bes 2021</w:t>
      </w:r>
      <w:r w:rsidRPr="00B018CA">
        <w:rPr>
          <w:rFonts w:ascii="Arial" w:eastAsia="Arial Unicode MS" w:hAnsi="Arial" w:cs="Arial Unicode MS"/>
          <w:color w:val="000000"/>
          <w:u w:color="000000"/>
          <w:bdr w:val="nil"/>
          <w:lang w:eastAsia="it-IT"/>
        </w:rPr>
        <w:t xml:space="preserve">, </w:t>
      </w:r>
      <w:r>
        <w:rPr>
          <w:rFonts w:ascii="Arial" w:eastAsia="Arial Unicode MS" w:hAnsi="Arial" w:cs="Arial Unicode MS"/>
          <w:color w:val="000000"/>
          <w:u w:color="000000"/>
          <w:bdr w:val="nil"/>
          <w:lang w:eastAsia="it-IT"/>
        </w:rPr>
        <w:t>Roma</w:t>
      </w:r>
    </w:p>
    <w:p w14:paraId="78585D8E" w14:textId="77777777" w:rsidR="00384966" w:rsidRPr="00B018CA"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(2022b), </w:t>
      </w:r>
      <w:r w:rsidRPr="00267093">
        <w:rPr>
          <w:rFonts w:ascii="Arial" w:eastAsia="Arial Unicode MS" w:hAnsi="Arial" w:cs="Arial Unicode MS"/>
          <w:i/>
          <w:color w:val="000000"/>
          <w:u w:color="000000"/>
          <w:bdr w:val="nil"/>
          <w:lang w:eastAsia="it-IT"/>
        </w:rPr>
        <w:t>Rapporto SDGs 2022</w:t>
      </w:r>
      <w:r w:rsidRPr="00B018CA">
        <w:rPr>
          <w:rFonts w:ascii="Arial" w:eastAsia="Arial Unicode MS" w:hAnsi="Arial" w:cs="Arial Unicode MS"/>
          <w:color w:val="000000"/>
          <w:u w:color="000000"/>
          <w:bdr w:val="nil"/>
          <w:lang w:eastAsia="it-IT"/>
        </w:rPr>
        <w:t>, Roma</w:t>
      </w:r>
    </w:p>
    <w:p w14:paraId="710A0DDD" w14:textId="77777777" w:rsidR="00384966" w:rsidRDefault="00384966"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Istat, (2020a), </w:t>
      </w:r>
      <w:r w:rsidRPr="00267093">
        <w:rPr>
          <w:rFonts w:ascii="Arial" w:eastAsia="Arial Unicode MS" w:hAnsi="Arial" w:cs="Arial Unicode MS"/>
          <w:i/>
          <w:color w:val="000000"/>
          <w:u w:color="000000"/>
          <w:bdr w:val="nil"/>
          <w:lang w:eastAsia="it-IT"/>
        </w:rPr>
        <w:t>Rapporto sul territorio</w:t>
      </w:r>
      <w:r w:rsidRPr="00B018CA">
        <w:rPr>
          <w:rFonts w:ascii="Arial" w:eastAsia="Arial Unicode MS" w:hAnsi="Arial" w:cs="Arial Unicode MS"/>
          <w:color w:val="000000"/>
          <w:u w:color="000000"/>
          <w:bdr w:val="nil"/>
          <w:lang w:eastAsia="it-IT"/>
        </w:rPr>
        <w:t>, Roma</w:t>
      </w:r>
    </w:p>
    <w:p w14:paraId="29C2CC1A"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Martini A. (2020), “Il divario nord-sud nei risultati delle prove INVALSI”, </w:t>
      </w:r>
      <w:r w:rsidRPr="00267093">
        <w:rPr>
          <w:rFonts w:ascii="Arial" w:eastAsia="Arial Unicode MS" w:hAnsi="Arial" w:cs="Arial Unicode MS"/>
          <w:i/>
          <w:color w:val="000000"/>
          <w:u w:color="000000"/>
          <w:bdr w:val="nil"/>
          <w:lang w:eastAsia="it-IT"/>
        </w:rPr>
        <w:t>Working Papers INVALSI</w:t>
      </w:r>
      <w:r w:rsidRPr="00B018CA">
        <w:rPr>
          <w:rFonts w:ascii="Arial" w:eastAsia="Arial Unicode MS" w:hAnsi="Arial" w:cs="Arial Unicode MS"/>
          <w:color w:val="000000"/>
          <w:u w:color="000000"/>
          <w:bdr w:val="nil"/>
          <w:lang w:eastAsia="it-IT"/>
        </w:rPr>
        <w:t>, 52</w:t>
      </w:r>
    </w:p>
    <w:p w14:paraId="311CBBD1" w14:textId="22470058" w:rsidR="001201B0" w:rsidRDefault="001201B0"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Miniaci R., Valbonesi P.</w:t>
      </w:r>
      <w:r w:rsidR="00BB6B26">
        <w:rPr>
          <w:rFonts w:ascii="Arial" w:eastAsia="Arial Unicode MS" w:hAnsi="Arial" w:cs="Arial Unicode MS"/>
          <w:color w:val="000000"/>
          <w:u w:color="000000"/>
          <w:bdr w:val="nil"/>
          <w:lang w:eastAsia="it-IT"/>
        </w:rPr>
        <w:t xml:space="preserve"> (2022)</w:t>
      </w:r>
      <w:r>
        <w:rPr>
          <w:rFonts w:ascii="Arial" w:eastAsia="Arial Unicode MS" w:hAnsi="Arial" w:cs="Arial Unicode MS"/>
          <w:color w:val="000000"/>
          <w:u w:color="000000"/>
          <w:bdr w:val="nil"/>
          <w:lang w:eastAsia="it-IT"/>
        </w:rPr>
        <w:t>, “La povertà energetica in Italia”, in: AA. VV. (2022)</w:t>
      </w:r>
    </w:p>
    <w:p w14:paraId="365E0782" w14:textId="77777777" w:rsidR="00457BE9"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Ministero dell’Istruzione (</w:t>
      </w:r>
      <w:r>
        <w:rPr>
          <w:rFonts w:ascii="Arial" w:eastAsia="Arial Unicode MS" w:hAnsi="Arial" w:cs="Arial Unicode MS"/>
          <w:color w:val="000000"/>
          <w:u w:color="000000"/>
          <w:bdr w:val="nil"/>
          <w:lang w:eastAsia="it-IT"/>
        </w:rPr>
        <w:t>DM 43/</w:t>
      </w:r>
      <w:r w:rsidRPr="00B018CA">
        <w:rPr>
          <w:rFonts w:ascii="Arial" w:eastAsia="Arial Unicode MS" w:hAnsi="Arial" w:cs="Arial Unicode MS"/>
          <w:color w:val="000000"/>
          <w:u w:color="000000"/>
          <w:bdr w:val="nil"/>
          <w:lang w:eastAsia="it-IT"/>
        </w:rPr>
        <w:t>2021), “Orientamenti nazionali per i servizi educativi per l’Infanzia”</w:t>
      </w:r>
    </w:p>
    <w:p w14:paraId="5052E41C" w14:textId="77777777" w:rsidR="00457BE9" w:rsidRPr="00457BE9" w:rsidRDefault="00457BE9"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457BE9">
        <w:rPr>
          <w:rFonts w:ascii="Arial" w:eastAsia="Arial Unicode MS" w:hAnsi="Arial" w:cs="Arial Unicode MS"/>
          <w:color w:val="000000"/>
          <w:u w:color="000000"/>
          <w:bdr w:val="nil"/>
          <w:lang w:eastAsia="it-IT"/>
        </w:rPr>
        <w:t>Ministero delle Infrastrutture (2022), “Report linee ferroviarie dismesse” (https://www.mit.gov.it/documentazione/dismissioni-linee-ferroviarie-nazionali</w:t>
      </w:r>
      <w:r>
        <w:rPr>
          <w:rFonts w:ascii="Arial" w:eastAsia="Arial Unicode MS" w:hAnsi="Arial" w:cs="Arial Unicode MS"/>
          <w:color w:val="000000"/>
          <w:u w:color="000000"/>
          <w:bdr w:val="nil"/>
          <w:lang w:eastAsia="it-IT"/>
        </w:rPr>
        <w:t>)</w:t>
      </w:r>
    </w:p>
    <w:p w14:paraId="1705F6DE"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Ministero </w:t>
      </w:r>
      <w:r>
        <w:rPr>
          <w:rFonts w:ascii="Arial" w:eastAsia="Arial Unicode MS" w:hAnsi="Arial" w:cs="Arial Unicode MS"/>
          <w:color w:val="000000"/>
          <w:u w:color="000000"/>
          <w:bdr w:val="nil"/>
          <w:lang w:eastAsia="it-IT"/>
        </w:rPr>
        <w:t xml:space="preserve">dello </w:t>
      </w:r>
      <w:r w:rsidRPr="00B018CA">
        <w:rPr>
          <w:rFonts w:ascii="Arial" w:eastAsia="Arial Unicode MS" w:hAnsi="Arial" w:cs="Arial Unicode MS"/>
          <w:color w:val="000000"/>
          <w:u w:color="000000"/>
          <w:bdr w:val="nil"/>
          <w:lang w:eastAsia="it-IT"/>
        </w:rPr>
        <w:t>Sviluppo economico (25 maggio 2021), “Strategia Italiana per la Banda Ultralarga”</w:t>
      </w:r>
    </w:p>
    <w:p w14:paraId="5ADC5D51"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MIUR (gennaio 2018), “Una politica nazionale di contrasto del fallimento formativo e della povertà educativa”</w:t>
      </w:r>
    </w:p>
    <w:p w14:paraId="52F4CEE1"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OECD (2007), “Il Capitale umano”</w:t>
      </w:r>
    </w:p>
    <w:p w14:paraId="14B18181" w14:textId="139EE1A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Openpolis (18 luglio 2</w:t>
      </w:r>
      <w:r w:rsidR="00BB6B26">
        <w:rPr>
          <w:rFonts w:ascii="Arial" w:eastAsia="Arial Unicode MS" w:hAnsi="Arial" w:cs="Arial Unicode MS"/>
          <w:color w:val="000000"/>
          <w:u w:color="000000"/>
          <w:bdr w:val="nil"/>
          <w:lang w:eastAsia="it-IT"/>
        </w:rPr>
        <w:t>0</w:t>
      </w:r>
      <w:r w:rsidRPr="00B018CA">
        <w:rPr>
          <w:rFonts w:ascii="Arial" w:eastAsia="Arial Unicode MS" w:hAnsi="Arial" w:cs="Arial Unicode MS"/>
          <w:color w:val="000000"/>
          <w:u w:color="000000"/>
          <w:bdr w:val="nil"/>
          <w:lang w:eastAsia="it-IT"/>
        </w:rPr>
        <w:t xml:space="preserve">22), “Cosa prevede il PNRR per la tutela delle risorse idriche” </w:t>
      </w:r>
    </w:p>
    <w:p w14:paraId="78C1FDB0"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Openpolis (25 luglio 2022), “Gli interventi del Pnrr per la digitalizzazione del Paese” </w:t>
      </w:r>
    </w:p>
    <w:p w14:paraId="452E423F"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OpenPolis (15 novembre 2021), “Gli interventi sulle linee ferroviarie per ridurre i divari territoriali” </w:t>
      </w:r>
    </w:p>
    <w:p w14:paraId="1AB047BA"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Osti G. (2010), </w:t>
      </w:r>
      <w:r w:rsidRPr="00267093">
        <w:rPr>
          <w:rFonts w:ascii="Arial" w:eastAsia="Arial Unicode MS" w:hAnsi="Arial" w:cs="Arial Unicode MS"/>
          <w:i/>
          <w:color w:val="000000"/>
          <w:u w:color="000000"/>
          <w:bdr w:val="nil"/>
          <w:lang w:eastAsia="it-IT"/>
        </w:rPr>
        <w:t>Sociologia del territorio</w:t>
      </w:r>
      <w:r w:rsidRPr="00B018CA">
        <w:rPr>
          <w:rFonts w:ascii="Arial" w:eastAsia="Arial Unicode MS" w:hAnsi="Arial" w:cs="Arial Unicode MS"/>
          <w:color w:val="000000"/>
          <w:u w:color="000000"/>
          <w:bdr w:val="nil"/>
          <w:lang w:eastAsia="it-IT"/>
        </w:rPr>
        <w:t xml:space="preserve">, Il Mulino </w:t>
      </w:r>
    </w:p>
    <w:p w14:paraId="77BC6011"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Padoa Schioppa Kostoris F. (1994), “Squilibri regionali e flussi migratori in Italia, 1960-1986”, in Brunetta R. e Tronti L. (1994)</w:t>
      </w:r>
    </w:p>
    <w:p w14:paraId="10BE608B" w14:textId="77777777" w:rsidR="001201B0" w:rsidRDefault="001201B0"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Panichella N. (2022), “Diseguaglianze territoriali e stratificazione sociale”, in: AA. VV. (2022)</w:t>
      </w:r>
    </w:p>
    <w:p w14:paraId="728A6B6A"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Parlamento europeo (novembre 2017), “Pilastro europeo dei diritti sociali”</w:t>
      </w:r>
    </w:p>
    <w:p w14:paraId="4347C72E"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Presidenza del Consiglio dei Ministri (2015), “Strategia ita</w:t>
      </w:r>
      <w:r>
        <w:rPr>
          <w:rFonts w:ascii="Arial" w:eastAsia="Arial Unicode MS" w:hAnsi="Arial" w:cs="Arial Unicode MS"/>
          <w:color w:val="000000"/>
          <w:u w:color="000000"/>
          <w:bdr w:val="nil"/>
          <w:lang w:eastAsia="it-IT"/>
        </w:rPr>
        <w:t>liana per la Banda Ultralarga”</w:t>
      </w:r>
    </w:p>
    <w:p w14:paraId="33B10B59"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Putnam (1993), </w:t>
      </w:r>
      <w:r w:rsidRPr="00267093">
        <w:rPr>
          <w:rFonts w:ascii="Arial" w:eastAsia="Arial Unicode MS" w:hAnsi="Arial" w:cs="Arial Unicode MS"/>
          <w:i/>
          <w:color w:val="000000"/>
          <w:u w:color="000000"/>
          <w:bdr w:val="nil"/>
          <w:lang w:eastAsia="it-IT"/>
        </w:rPr>
        <w:t>La tradizione civica nelle regioni italiane</w:t>
      </w:r>
      <w:r w:rsidRPr="00B018CA">
        <w:rPr>
          <w:rFonts w:ascii="Arial" w:eastAsia="Arial Unicode MS" w:hAnsi="Arial" w:cs="Arial Unicode MS"/>
          <w:color w:val="000000"/>
          <w:u w:color="000000"/>
          <w:bdr w:val="nil"/>
          <w:lang w:eastAsia="it-IT"/>
        </w:rPr>
        <w:t>, Mondadori</w:t>
      </w:r>
    </w:p>
    <w:p w14:paraId="2A0D34CB"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Ramella F. (marzo 2022), “Una giuntura critica per l’Italia”, </w:t>
      </w:r>
      <w:r w:rsidRPr="00E7773B">
        <w:rPr>
          <w:rFonts w:ascii="Arial" w:eastAsia="Arial Unicode MS" w:hAnsi="Arial" w:cs="Arial Unicode MS"/>
          <w:i/>
          <w:color w:val="000000"/>
          <w:u w:color="000000"/>
          <w:bdr w:val="nil"/>
          <w:lang w:eastAsia="it-IT"/>
        </w:rPr>
        <w:t>www.rivistailmulino.it</w:t>
      </w:r>
    </w:p>
    <w:p w14:paraId="57AF12F5"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Reyneri E. (2018), “Le due grandi crisi del Mercato del lavoro: gli anni Trenta del XX secolo e gli anni Dieci del XXI secolo a confronto”, in: Istat (2018)</w:t>
      </w:r>
    </w:p>
    <w:p w14:paraId="72771838"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Ricci R. (ottobre 2019), “La dispersione scolastica implicita”, </w:t>
      </w:r>
      <w:r w:rsidRPr="005F6804">
        <w:rPr>
          <w:rFonts w:ascii="Arial" w:eastAsia="Arial Unicode MS" w:hAnsi="Arial" w:cs="Arial Unicode MS"/>
          <w:i/>
          <w:color w:val="000000"/>
          <w:u w:color="000000"/>
          <w:bdr w:val="nil"/>
          <w:lang w:eastAsia="it-IT"/>
        </w:rPr>
        <w:t>Invalsi-open</w:t>
      </w:r>
    </w:p>
    <w:p w14:paraId="5DE906AA"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Schizzerotto A., Abbiati G., Vergolini L. (2018), “L’influenza delle riforme scolastiche e delle crisi economiche sulla partecipazione al sistema di istruzione in Italia dal XX secolo ad oggi”, in: Istat (2018)</w:t>
      </w:r>
    </w:p>
    <w:p w14:paraId="4FB19E5E" w14:textId="77777777" w:rsidR="009A1643" w:rsidRPr="00ED00AF"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ED00AF">
        <w:rPr>
          <w:rFonts w:ascii="Arial" w:eastAsia="Arial Unicode MS" w:hAnsi="Arial" w:cs="Arial Unicode MS"/>
          <w:color w:val="000000"/>
          <w:u w:color="000000"/>
          <w:bdr w:val="nil"/>
          <w:lang w:eastAsia="it-IT"/>
        </w:rPr>
        <w:t>Servizi</w:t>
      </w:r>
      <w:r w:rsidR="00982E2D" w:rsidRPr="00ED00AF">
        <w:rPr>
          <w:rFonts w:ascii="Arial" w:eastAsia="Arial Unicode MS" w:hAnsi="Arial" w:cs="Arial Unicode MS"/>
          <w:color w:val="000000"/>
          <w:u w:color="000000"/>
          <w:bdr w:val="nil"/>
          <w:lang w:eastAsia="it-IT"/>
        </w:rPr>
        <w:t>o</w:t>
      </w:r>
      <w:r w:rsidRPr="00ED00AF">
        <w:rPr>
          <w:rFonts w:ascii="Arial" w:eastAsia="Arial Unicode MS" w:hAnsi="Arial" w:cs="Arial Unicode MS"/>
          <w:color w:val="000000"/>
          <w:u w:color="000000"/>
          <w:bdr w:val="nil"/>
          <w:lang w:eastAsia="it-IT"/>
        </w:rPr>
        <w:t xml:space="preserve"> Studi Camera e Senato (15 luglio 2021), “Il PNRR. Schede di lettura”</w:t>
      </w:r>
      <w:r w:rsidR="0075007B" w:rsidRPr="00ED00AF">
        <w:rPr>
          <w:rFonts w:ascii="Arial" w:eastAsia="Arial Unicode MS" w:hAnsi="Arial" w:cs="Arial Unicode MS"/>
          <w:color w:val="000000"/>
          <w:u w:color="000000"/>
          <w:bdr w:val="nil"/>
          <w:lang w:eastAsia="it-IT"/>
        </w:rPr>
        <w:t xml:space="preserve">, </w:t>
      </w:r>
      <w:r w:rsidR="0075007B" w:rsidRPr="00ED00AF">
        <w:rPr>
          <w:rFonts w:ascii="Arial" w:eastAsia="Arial Unicode MS" w:hAnsi="Arial" w:cs="Arial Unicode MS"/>
          <w:i/>
          <w:color w:val="000000"/>
          <w:u w:color="000000"/>
          <w:bdr w:val="nil"/>
          <w:lang w:eastAsia="it-IT"/>
        </w:rPr>
        <w:t>Documentazione di finanza pubblica</w:t>
      </w:r>
      <w:r w:rsidR="0075007B" w:rsidRPr="00ED00AF">
        <w:rPr>
          <w:rFonts w:ascii="Arial" w:eastAsia="Arial Unicode MS" w:hAnsi="Arial" w:cs="Arial Unicode MS"/>
          <w:color w:val="000000"/>
          <w:u w:color="000000"/>
          <w:bdr w:val="nil"/>
          <w:lang w:eastAsia="it-IT"/>
        </w:rPr>
        <w:t>, 28/1 (DFP28a.docx)</w:t>
      </w:r>
      <w:r w:rsidRPr="00ED00AF">
        <w:rPr>
          <w:rFonts w:ascii="Arial" w:eastAsia="Arial Unicode MS" w:hAnsi="Arial" w:cs="Arial Unicode MS"/>
          <w:color w:val="000000"/>
          <w:u w:color="000000"/>
          <w:bdr w:val="nil"/>
          <w:lang w:eastAsia="it-IT"/>
        </w:rPr>
        <w:t xml:space="preserve"> </w:t>
      </w:r>
    </w:p>
    <w:p w14:paraId="6C156A97"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SNPA (2021),</w:t>
      </w:r>
      <w:r w:rsidRPr="00B018CA">
        <w:rPr>
          <w:rFonts w:ascii="Arial" w:eastAsia="Arial Unicode MS" w:hAnsi="Arial" w:cs="Arial Unicode MS"/>
          <w:color w:val="000000"/>
          <w:u w:color="000000"/>
          <w:bdr w:val="nil"/>
          <w:lang w:eastAsia="it-IT"/>
        </w:rPr>
        <w:t xml:space="preserve"> </w:t>
      </w:r>
      <w:r>
        <w:rPr>
          <w:rFonts w:ascii="Arial" w:eastAsia="Arial Unicode MS" w:hAnsi="Arial" w:cs="Arial Unicode MS"/>
          <w:color w:val="000000"/>
          <w:u w:color="000000"/>
          <w:bdr w:val="nil"/>
          <w:lang w:eastAsia="it-IT"/>
        </w:rPr>
        <w:t>“</w:t>
      </w:r>
      <w:r w:rsidRPr="00B018CA">
        <w:rPr>
          <w:rFonts w:ascii="Arial" w:eastAsia="Arial Unicode MS" w:hAnsi="Arial" w:cs="Arial Unicode MS"/>
          <w:color w:val="000000"/>
          <w:u w:color="000000"/>
          <w:bdr w:val="nil"/>
          <w:lang w:eastAsia="it-IT"/>
        </w:rPr>
        <w:t>Rapporto sugli indicatori di impatto dei cambiamenti climatici</w:t>
      </w:r>
      <w:r>
        <w:rPr>
          <w:rFonts w:ascii="Arial" w:eastAsia="Arial Unicode MS" w:hAnsi="Arial" w:cs="Arial Unicode MS"/>
          <w:color w:val="000000"/>
          <w:u w:color="000000"/>
          <w:bdr w:val="nil"/>
          <w:lang w:eastAsia="it-IT"/>
        </w:rPr>
        <w:t>”</w:t>
      </w:r>
    </w:p>
    <w:p w14:paraId="0CA71905" w14:textId="77777777" w:rsidR="000E07FD" w:rsidRPr="00B018CA" w:rsidRDefault="000E07FD"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Svimez (settembre 2011), “Sud a rischio tsunami demografico”, </w:t>
      </w:r>
      <w:r w:rsidRPr="000E07FD">
        <w:rPr>
          <w:rFonts w:ascii="Arial" w:eastAsia="Arial Unicode MS" w:hAnsi="Arial" w:cs="Arial Unicode MS"/>
          <w:i/>
          <w:color w:val="000000"/>
          <w:u w:color="000000"/>
          <w:bdr w:val="nil"/>
          <w:lang w:eastAsia="it-IT"/>
        </w:rPr>
        <w:t>Comunicato generale</w:t>
      </w:r>
    </w:p>
    <w:p w14:paraId="01779988"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Svimez (novembre 2020), </w:t>
      </w:r>
      <w:r>
        <w:rPr>
          <w:rFonts w:ascii="Arial" w:eastAsia="Arial Unicode MS" w:hAnsi="Arial" w:cs="Arial Unicode MS"/>
          <w:color w:val="000000"/>
          <w:u w:color="000000"/>
          <w:bdr w:val="nil"/>
          <w:lang w:eastAsia="it-IT"/>
        </w:rPr>
        <w:t>“</w:t>
      </w:r>
      <w:r w:rsidRPr="00142595">
        <w:rPr>
          <w:rFonts w:ascii="Arial" w:eastAsia="Arial Unicode MS" w:hAnsi="Arial" w:cs="Arial Unicode MS"/>
          <w:color w:val="000000"/>
          <w:u w:color="000000"/>
          <w:bdr w:val="nil"/>
          <w:lang w:eastAsia="it-IT"/>
        </w:rPr>
        <w:t>Rapporto 2020 sull’economia e la società del Mezzogiorno</w:t>
      </w:r>
      <w:r>
        <w:rPr>
          <w:rFonts w:ascii="Arial" w:eastAsia="Arial Unicode MS" w:hAnsi="Arial" w:cs="Arial Unicode MS"/>
          <w:color w:val="000000"/>
          <w:u w:color="000000"/>
          <w:bdr w:val="nil"/>
          <w:lang w:eastAsia="it-IT"/>
        </w:rPr>
        <w:t xml:space="preserve">”, </w:t>
      </w:r>
      <w:r w:rsidRPr="000E07FD">
        <w:rPr>
          <w:rFonts w:ascii="Arial" w:eastAsia="Arial Unicode MS" w:hAnsi="Arial" w:cs="Arial Unicode MS"/>
          <w:i/>
          <w:color w:val="000000"/>
          <w:u w:color="000000"/>
          <w:bdr w:val="nil"/>
          <w:lang w:eastAsia="it-IT"/>
        </w:rPr>
        <w:t>Nota di sintesi</w:t>
      </w:r>
    </w:p>
    <w:p w14:paraId="6449992C"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Svimez (novembre 2021), </w:t>
      </w:r>
      <w:r>
        <w:rPr>
          <w:rFonts w:ascii="Arial" w:eastAsia="Arial Unicode MS" w:hAnsi="Arial" w:cs="Arial Unicode MS"/>
          <w:color w:val="000000"/>
          <w:u w:color="000000"/>
          <w:bdr w:val="nil"/>
          <w:lang w:eastAsia="it-IT"/>
        </w:rPr>
        <w:t>“</w:t>
      </w:r>
      <w:r w:rsidR="006F03F5" w:rsidRPr="00142595">
        <w:rPr>
          <w:rFonts w:ascii="Arial" w:eastAsia="Arial Unicode MS" w:hAnsi="Arial" w:cs="Arial Unicode MS"/>
          <w:color w:val="000000"/>
          <w:u w:color="000000"/>
          <w:bdr w:val="nil"/>
          <w:lang w:eastAsia="it-IT"/>
        </w:rPr>
        <w:t>Rapporto 202</w:t>
      </w:r>
      <w:r w:rsidR="006F03F5">
        <w:rPr>
          <w:rFonts w:ascii="Arial" w:eastAsia="Arial Unicode MS" w:hAnsi="Arial" w:cs="Arial Unicode MS"/>
          <w:color w:val="000000"/>
          <w:u w:color="000000"/>
          <w:bdr w:val="nil"/>
          <w:lang w:eastAsia="it-IT"/>
        </w:rPr>
        <w:t>1</w:t>
      </w:r>
      <w:r w:rsidR="006F03F5" w:rsidRPr="00142595">
        <w:rPr>
          <w:rFonts w:ascii="Arial" w:eastAsia="Arial Unicode MS" w:hAnsi="Arial" w:cs="Arial Unicode MS"/>
          <w:color w:val="000000"/>
          <w:u w:color="000000"/>
          <w:bdr w:val="nil"/>
          <w:lang w:eastAsia="it-IT"/>
        </w:rPr>
        <w:t xml:space="preserve"> sull’economia e la società del Mezzogiorno</w:t>
      </w:r>
      <w:r>
        <w:rPr>
          <w:rFonts w:ascii="Arial" w:eastAsia="Arial Unicode MS" w:hAnsi="Arial" w:cs="Arial Unicode MS"/>
          <w:color w:val="000000"/>
          <w:u w:color="000000"/>
          <w:bdr w:val="nil"/>
          <w:lang w:eastAsia="it-IT"/>
        </w:rPr>
        <w:t xml:space="preserve">”, </w:t>
      </w:r>
      <w:r w:rsidRPr="000E07FD">
        <w:rPr>
          <w:rFonts w:ascii="Arial" w:eastAsia="Arial Unicode MS" w:hAnsi="Arial" w:cs="Arial Unicode MS"/>
          <w:i/>
          <w:color w:val="000000"/>
          <w:u w:color="000000"/>
          <w:bdr w:val="nil"/>
          <w:lang w:eastAsia="it-IT"/>
        </w:rPr>
        <w:t>Nota di sintesi</w:t>
      </w:r>
    </w:p>
    <w:p w14:paraId="7686119C" w14:textId="77777777" w:rsidR="006F03F5" w:rsidRDefault="006F03F5"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Svimez (novembre 202</w:t>
      </w:r>
      <w:r w:rsidR="00C137CC">
        <w:rPr>
          <w:rFonts w:ascii="Arial" w:eastAsia="Arial Unicode MS" w:hAnsi="Arial" w:cs="Arial Unicode MS"/>
          <w:color w:val="000000"/>
          <w:u w:color="000000"/>
          <w:bdr w:val="nil"/>
          <w:lang w:eastAsia="it-IT"/>
        </w:rPr>
        <w:t>2</w:t>
      </w:r>
      <w:r w:rsidRPr="00B018CA">
        <w:rPr>
          <w:rFonts w:ascii="Arial" w:eastAsia="Arial Unicode MS" w:hAnsi="Arial" w:cs="Arial Unicode MS"/>
          <w:color w:val="000000"/>
          <w:u w:color="000000"/>
          <w:bdr w:val="nil"/>
          <w:lang w:eastAsia="it-IT"/>
        </w:rPr>
        <w:t xml:space="preserve">), </w:t>
      </w:r>
      <w:r>
        <w:rPr>
          <w:rFonts w:ascii="Arial" w:eastAsia="Arial Unicode MS" w:hAnsi="Arial" w:cs="Arial Unicode MS"/>
          <w:color w:val="000000"/>
          <w:u w:color="000000"/>
          <w:bdr w:val="nil"/>
          <w:lang w:eastAsia="it-IT"/>
        </w:rPr>
        <w:t>“Rapporto 2022</w:t>
      </w:r>
      <w:r w:rsidRPr="00142595">
        <w:rPr>
          <w:rFonts w:ascii="Arial" w:eastAsia="Arial Unicode MS" w:hAnsi="Arial" w:cs="Arial Unicode MS"/>
          <w:color w:val="000000"/>
          <w:u w:color="000000"/>
          <w:bdr w:val="nil"/>
          <w:lang w:eastAsia="it-IT"/>
        </w:rPr>
        <w:t xml:space="preserve"> sull’economia e la società del Mezzogiorno</w:t>
      </w:r>
      <w:r>
        <w:rPr>
          <w:rFonts w:ascii="Arial" w:eastAsia="Arial Unicode MS" w:hAnsi="Arial" w:cs="Arial Unicode MS"/>
          <w:color w:val="000000"/>
          <w:u w:color="000000"/>
          <w:bdr w:val="nil"/>
          <w:lang w:eastAsia="it-IT"/>
        </w:rPr>
        <w:t xml:space="preserve">”, </w:t>
      </w:r>
      <w:r w:rsidRPr="00B018CA">
        <w:rPr>
          <w:rFonts w:ascii="Arial" w:eastAsia="Arial Unicode MS" w:hAnsi="Arial" w:cs="Arial Unicode MS"/>
          <w:color w:val="000000"/>
          <w:u w:color="000000"/>
          <w:bdr w:val="nil"/>
          <w:lang w:eastAsia="it-IT"/>
        </w:rPr>
        <w:t>Nota di sintesi</w:t>
      </w:r>
    </w:p>
    <w:p w14:paraId="105E972B"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Pr>
          <w:rFonts w:ascii="Arial" w:eastAsia="Arial Unicode MS" w:hAnsi="Arial" w:cs="Arial Unicode MS"/>
          <w:color w:val="000000"/>
          <w:u w:color="000000"/>
          <w:bdr w:val="nil"/>
          <w:lang w:eastAsia="it-IT"/>
        </w:rPr>
        <w:t xml:space="preserve">Trigilia C. (1992), </w:t>
      </w:r>
      <w:r w:rsidRPr="00E7773B">
        <w:rPr>
          <w:rFonts w:ascii="Arial" w:eastAsia="Arial Unicode MS" w:hAnsi="Arial" w:cs="Arial Unicode MS"/>
          <w:i/>
          <w:color w:val="000000"/>
          <w:u w:color="000000"/>
          <w:bdr w:val="nil"/>
          <w:lang w:eastAsia="it-IT"/>
        </w:rPr>
        <w:t>Sviluppo senza autonomia</w:t>
      </w:r>
      <w:r>
        <w:rPr>
          <w:rFonts w:ascii="Arial" w:eastAsia="Arial Unicode MS" w:hAnsi="Arial" w:cs="Arial Unicode MS"/>
          <w:color w:val="000000"/>
          <w:u w:color="000000"/>
          <w:bdr w:val="nil"/>
          <w:lang w:eastAsia="it-IT"/>
        </w:rPr>
        <w:t>, Il Mulino</w:t>
      </w:r>
    </w:p>
    <w:p w14:paraId="17DA0C17" w14:textId="77777777" w:rsidR="009A1643"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Unione Europea (15-16 marzo 2002), “Consiglio Europeo di Barcellona – Conclusioni della Presidenza” (SN 100/02 ADD 1)</w:t>
      </w:r>
    </w:p>
    <w:p w14:paraId="230E7C10" w14:textId="77777777" w:rsidR="009A1643" w:rsidRPr="00B018CA"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Viesti G. (2021), </w:t>
      </w:r>
      <w:r w:rsidRPr="00E7773B">
        <w:rPr>
          <w:rFonts w:ascii="Arial" w:eastAsia="Arial Unicode MS" w:hAnsi="Arial" w:cs="Arial Unicode MS"/>
          <w:i/>
          <w:color w:val="000000"/>
          <w:u w:color="000000"/>
          <w:bdr w:val="nil"/>
          <w:lang w:eastAsia="it-IT"/>
        </w:rPr>
        <w:t>Centri e periferie</w:t>
      </w:r>
      <w:r w:rsidRPr="00B018CA">
        <w:rPr>
          <w:rFonts w:ascii="Arial" w:eastAsia="Arial Unicode MS" w:hAnsi="Arial" w:cs="Arial Unicode MS"/>
          <w:color w:val="000000"/>
          <w:u w:color="000000"/>
          <w:bdr w:val="nil"/>
          <w:lang w:eastAsia="it-IT"/>
        </w:rPr>
        <w:t>, Laterza</w:t>
      </w:r>
    </w:p>
    <w:p w14:paraId="7DBA4401" w14:textId="77777777" w:rsidR="009A1643" w:rsidRPr="00F273B5" w:rsidRDefault="009A1643" w:rsidP="00800C40">
      <w:pPr>
        <w:pStyle w:val="Testonotaapidipagina"/>
        <w:numPr>
          <w:ilvl w:val="0"/>
          <w:numId w:val="11"/>
        </w:numPr>
        <w:spacing w:after="40"/>
        <w:ind w:left="426" w:hanging="284"/>
        <w:jc w:val="both"/>
        <w:outlineLvl w:val="0"/>
        <w:rPr>
          <w:rFonts w:ascii="Arial" w:eastAsia="Arial Unicode MS" w:hAnsi="Arial" w:cs="Arial Unicode MS"/>
          <w:color w:val="000000"/>
          <w:u w:color="000000"/>
          <w:bdr w:val="nil"/>
          <w:lang w:eastAsia="it-IT"/>
        </w:rPr>
      </w:pPr>
      <w:r w:rsidRPr="00B018CA">
        <w:rPr>
          <w:rFonts w:ascii="Arial" w:eastAsia="Arial Unicode MS" w:hAnsi="Arial" w:cs="Arial Unicode MS"/>
          <w:color w:val="000000"/>
          <w:u w:color="000000"/>
          <w:bdr w:val="nil"/>
          <w:lang w:eastAsia="it-IT"/>
        </w:rPr>
        <w:t xml:space="preserve">Viesti G. (marzo 2022), “Riuscirà il PNRR a rilanciare l’Italia?”, </w:t>
      </w:r>
      <w:r w:rsidRPr="00E7773B">
        <w:rPr>
          <w:rFonts w:ascii="Arial" w:eastAsia="Arial Unicode MS" w:hAnsi="Arial" w:cs="Arial Unicode MS"/>
          <w:i/>
          <w:color w:val="000000"/>
          <w:u w:color="000000"/>
          <w:bdr w:val="nil"/>
          <w:lang w:eastAsia="it-IT"/>
        </w:rPr>
        <w:t>www.rivistailmulino.it</w:t>
      </w:r>
    </w:p>
    <w:p w14:paraId="6DCFE487" w14:textId="77777777" w:rsidR="009A1643" w:rsidRDefault="009A1643" w:rsidP="008D0723">
      <w:pPr>
        <w:spacing w:after="0"/>
      </w:pPr>
    </w:p>
    <w:p w14:paraId="5B7F0D25" w14:textId="77777777" w:rsidR="009A1643" w:rsidRDefault="009A1643" w:rsidP="008D0723">
      <w:pPr>
        <w:spacing w:after="0" w:line="259" w:lineRule="auto"/>
      </w:pPr>
    </w:p>
    <w:sectPr w:rsidR="009A1643" w:rsidSect="00217FE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F65C" w14:textId="77777777" w:rsidR="00D41455" w:rsidRDefault="00D41455" w:rsidP="008A05B0">
      <w:pPr>
        <w:spacing w:after="0" w:line="240" w:lineRule="auto"/>
      </w:pPr>
      <w:r>
        <w:separator/>
      </w:r>
    </w:p>
  </w:endnote>
  <w:endnote w:type="continuationSeparator" w:id="0">
    <w:p w14:paraId="79F0BCD6" w14:textId="77777777" w:rsidR="00D41455" w:rsidRDefault="00D41455" w:rsidP="008A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917957"/>
      <w:docPartObj>
        <w:docPartGallery w:val="Page Numbers (Bottom of Page)"/>
        <w:docPartUnique/>
      </w:docPartObj>
    </w:sdtPr>
    <w:sdtContent>
      <w:p w14:paraId="68CB3894" w14:textId="77777777" w:rsidR="008012A8" w:rsidRDefault="008012A8">
        <w:pPr>
          <w:pStyle w:val="Pidipagina"/>
          <w:jc w:val="center"/>
        </w:pPr>
        <w:r>
          <w:fldChar w:fldCharType="begin"/>
        </w:r>
        <w:r>
          <w:instrText>PAGE   \* MERGEFORMAT</w:instrText>
        </w:r>
        <w:r>
          <w:fldChar w:fldCharType="separate"/>
        </w:r>
        <w:r w:rsidR="003F10FE">
          <w:rPr>
            <w:noProof/>
          </w:rPr>
          <w:t>9</w:t>
        </w:r>
        <w:r>
          <w:fldChar w:fldCharType="end"/>
        </w:r>
      </w:p>
    </w:sdtContent>
  </w:sdt>
  <w:p w14:paraId="5746660C" w14:textId="77777777" w:rsidR="008012A8" w:rsidRDefault="008012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2E6A" w14:textId="77777777" w:rsidR="00D41455" w:rsidRDefault="00D41455" w:rsidP="008A05B0">
      <w:pPr>
        <w:spacing w:after="0" w:line="240" w:lineRule="auto"/>
      </w:pPr>
      <w:r>
        <w:separator/>
      </w:r>
    </w:p>
  </w:footnote>
  <w:footnote w:type="continuationSeparator" w:id="0">
    <w:p w14:paraId="488AD658" w14:textId="77777777" w:rsidR="00D41455" w:rsidRDefault="00D41455" w:rsidP="008A05B0">
      <w:pPr>
        <w:spacing w:after="0" w:line="240" w:lineRule="auto"/>
      </w:pPr>
      <w:r>
        <w:continuationSeparator/>
      </w:r>
    </w:p>
  </w:footnote>
  <w:footnote w:id="1">
    <w:p w14:paraId="31A22311" w14:textId="77777777" w:rsidR="00BD3BF9" w:rsidRPr="004C2C6B" w:rsidRDefault="00BD3BF9" w:rsidP="00982E2D">
      <w:pPr>
        <w:pStyle w:val="Testonotaapidipagina"/>
        <w:jc w:val="both"/>
        <w:rPr>
          <w:rFonts w:ascii="Arial" w:hAnsi="Arial" w:cs="Arial"/>
          <w:sz w:val="16"/>
          <w:szCs w:val="16"/>
        </w:rPr>
      </w:pPr>
      <w:r>
        <w:rPr>
          <w:rStyle w:val="Rimandonotaapidipagina"/>
        </w:rPr>
        <w:footnoteRef/>
      </w:r>
      <w:r>
        <w:t xml:space="preserve"> </w:t>
      </w:r>
      <w:r w:rsidR="00982E2D" w:rsidRPr="00982E2D">
        <w:rPr>
          <w:rFonts w:ascii="Arial" w:hAnsi="Arial" w:cs="Arial"/>
          <w:sz w:val="16"/>
          <w:szCs w:val="16"/>
        </w:rPr>
        <w:t xml:space="preserve">Governo italiano (30 aprile 2021), </w:t>
      </w:r>
      <w:r w:rsidR="00982E2D">
        <w:rPr>
          <w:rFonts w:ascii="Arial" w:hAnsi="Arial" w:cs="Arial"/>
          <w:sz w:val="16"/>
          <w:szCs w:val="16"/>
        </w:rPr>
        <w:t>r</w:t>
      </w:r>
      <w:r w:rsidRPr="004C2C6B">
        <w:rPr>
          <w:rFonts w:ascii="Arial" w:hAnsi="Arial" w:cs="Arial"/>
          <w:sz w:val="16"/>
          <w:szCs w:val="16"/>
        </w:rPr>
        <w:t>eperibile su: https://www.italiadomani.gov.it/content/sogei-ng/it/it/home.html</w:t>
      </w:r>
    </w:p>
  </w:footnote>
  <w:footnote w:id="2">
    <w:p w14:paraId="342812FA" w14:textId="77777777" w:rsidR="00BD3BF9" w:rsidRPr="004C2C6B" w:rsidRDefault="00BD3BF9" w:rsidP="00982E2D">
      <w:pPr>
        <w:pStyle w:val="Testonotaapidipagina"/>
        <w:jc w:val="both"/>
        <w:outlineLvl w:val="0"/>
        <w:rPr>
          <w:rFonts w:ascii="Arial" w:hAnsi="Arial" w:cs="Arial"/>
          <w:sz w:val="16"/>
          <w:szCs w:val="16"/>
        </w:rPr>
      </w:pPr>
      <w:r>
        <w:rPr>
          <w:rStyle w:val="Rimandonotaapidipagina"/>
        </w:rPr>
        <w:footnoteRef/>
      </w:r>
      <w:r>
        <w:t xml:space="preserve"> </w:t>
      </w:r>
      <w:r w:rsidR="00982E2D" w:rsidRPr="00982E2D">
        <w:rPr>
          <w:rFonts w:ascii="Arial" w:hAnsi="Arial" w:cs="Arial"/>
          <w:sz w:val="16"/>
          <w:szCs w:val="16"/>
        </w:rPr>
        <w:t xml:space="preserve">Servizi Studi Camera e Senato </w:t>
      </w:r>
      <w:r w:rsidR="008E27C4">
        <w:rPr>
          <w:rFonts w:ascii="Arial" w:hAnsi="Arial" w:cs="Arial"/>
          <w:sz w:val="16"/>
          <w:szCs w:val="16"/>
        </w:rPr>
        <w:t xml:space="preserve">(in particolare: </w:t>
      </w:r>
      <w:r w:rsidR="00982E2D" w:rsidRPr="008E27C4">
        <w:rPr>
          <w:rFonts w:ascii="Arial" w:hAnsi="Arial" w:cs="Arial"/>
          <w:sz w:val="16"/>
          <w:szCs w:val="16"/>
        </w:rPr>
        <w:t>15 luglio 2021</w:t>
      </w:r>
      <w:r w:rsidR="00982E2D">
        <w:rPr>
          <w:rFonts w:ascii="Arial" w:hAnsi="Arial" w:cs="Arial"/>
          <w:sz w:val="16"/>
          <w:szCs w:val="16"/>
        </w:rPr>
        <w:t xml:space="preserve">). </w:t>
      </w:r>
      <w:r w:rsidRPr="004C2C6B">
        <w:rPr>
          <w:rFonts w:ascii="Arial" w:hAnsi="Arial" w:cs="Arial"/>
          <w:sz w:val="16"/>
          <w:szCs w:val="16"/>
        </w:rPr>
        <w:t xml:space="preserve">Reperibile su: </w:t>
      </w:r>
      <w:hyperlink r:id="rId1" w:history="1">
        <w:r w:rsidR="008E27C4" w:rsidRPr="008F78CD">
          <w:rPr>
            <w:rStyle w:val="Collegamentoipertestuale"/>
            <w:rFonts w:ascii="Arial" w:hAnsi="Arial" w:cs="Arial"/>
            <w:sz w:val="16"/>
            <w:szCs w:val="16"/>
          </w:rPr>
          <w:t>http://documenti.camera.it/leg18/dossier/pdf/DFP28a.pdf</w:t>
        </w:r>
      </w:hyperlink>
      <w:r w:rsidR="008E27C4">
        <w:rPr>
          <w:rFonts w:ascii="Arial" w:hAnsi="Arial" w:cs="Arial"/>
          <w:sz w:val="16"/>
          <w:szCs w:val="16"/>
        </w:rPr>
        <w:t xml:space="preserve">. Per ulteriore documentazione, anche aggiornata, si rimanda a: </w:t>
      </w:r>
      <w:r w:rsidRPr="004C2C6B">
        <w:rPr>
          <w:rFonts w:ascii="Arial" w:hAnsi="Arial" w:cs="Arial"/>
          <w:sz w:val="16"/>
          <w:szCs w:val="16"/>
        </w:rPr>
        <w:t>https://www.senato.it/30367?categoria=2709</w:t>
      </w:r>
    </w:p>
  </w:footnote>
  <w:footnote w:id="3">
    <w:p w14:paraId="006CC575" w14:textId="77777777" w:rsidR="00422ED6" w:rsidRPr="004C2C6B" w:rsidRDefault="00422ED6" w:rsidP="00422ED6">
      <w:pPr>
        <w:pStyle w:val="Testonotaapidipagina"/>
        <w:jc w:val="both"/>
        <w:rPr>
          <w:rFonts w:ascii="Arial" w:hAnsi="Arial" w:cs="Arial"/>
          <w:sz w:val="16"/>
          <w:szCs w:val="16"/>
        </w:rPr>
      </w:pPr>
      <w:r>
        <w:rPr>
          <w:rStyle w:val="Rimandonotaapidipagina"/>
        </w:rPr>
        <w:footnoteRef/>
      </w:r>
      <w:r>
        <w:t xml:space="preserve"> </w:t>
      </w:r>
      <w:r w:rsidRPr="004C2C6B">
        <w:rPr>
          <w:rFonts w:ascii="Arial" w:hAnsi="Arial" w:cs="Arial"/>
          <w:sz w:val="16"/>
          <w:szCs w:val="16"/>
        </w:rPr>
        <w:t>Governo italiano</w:t>
      </w:r>
      <w:r>
        <w:rPr>
          <w:rFonts w:ascii="Arial" w:hAnsi="Arial" w:cs="Arial"/>
          <w:sz w:val="16"/>
          <w:szCs w:val="16"/>
        </w:rPr>
        <w:t xml:space="preserve"> (30</w:t>
      </w:r>
      <w:r w:rsidRPr="004C2C6B">
        <w:rPr>
          <w:rFonts w:ascii="Arial" w:hAnsi="Arial" w:cs="Arial"/>
          <w:sz w:val="16"/>
          <w:szCs w:val="16"/>
        </w:rPr>
        <w:t xml:space="preserve"> </w:t>
      </w:r>
      <w:r>
        <w:rPr>
          <w:rFonts w:ascii="Arial" w:hAnsi="Arial" w:cs="Arial"/>
          <w:sz w:val="16"/>
          <w:szCs w:val="16"/>
        </w:rPr>
        <w:t xml:space="preserve">aprile 2011), </w:t>
      </w:r>
      <w:r w:rsidRPr="004C2C6B">
        <w:rPr>
          <w:rFonts w:ascii="Arial" w:hAnsi="Arial" w:cs="Arial"/>
          <w:sz w:val="16"/>
          <w:szCs w:val="16"/>
        </w:rPr>
        <w:t xml:space="preserve">p. 40. </w:t>
      </w:r>
      <w:r>
        <w:rPr>
          <w:rFonts w:ascii="Arial" w:hAnsi="Arial" w:cs="Arial"/>
          <w:sz w:val="16"/>
          <w:szCs w:val="16"/>
        </w:rPr>
        <w:t>L</w:t>
      </w:r>
      <w:r w:rsidRPr="004C2C6B">
        <w:rPr>
          <w:rFonts w:ascii="Arial" w:hAnsi="Arial" w:cs="Arial"/>
          <w:sz w:val="16"/>
          <w:szCs w:val="16"/>
        </w:rPr>
        <w:t xml:space="preserve">’estratto qui riportato </w:t>
      </w:r>
      <w:r>
        <w:rPr>
          <w:rFonts w:ascii="Arial" w:hAnsi="Arial" w:cs="Arial"/>
          <w:sz w:val="16"/>
          <w:szCs w:val="16"/>
        </w:rPr>
        <w:t xml:space="preserve">evidenzia (corsivo) </w:t>
      </w:r>
      <w:r w:rsidRPr="004C2C6B">
        <w:rPr>
          <w:rFonts w:ascii="Arial" w:hAnsi="Arial" w:cs="Arial"/>
          <w:sz w:val="16"/>
          <w:szCs w:val="16"/>
        </w:rPr>
        <w:t xml:space="preserve">i contenuti </w:t>
      </w:r>
      <w:r>
        <w:rPr>
          <w:rFonts w:ascii="Arial" w:hAnsi="Arial" w:cs="Arial"/>
          <w:sz w:val="16"/>
          <w:szCs w:val="16"/>
        </w:rPr>
        <w:t xml:space="preserve">che hanno portato a </w:t>
      </w:r>
      <w:r w:rsidRPr="004C2C6B">
        <w:rPr>
          <w:rFonts w:ascii="Arial" w:hAnsi="Arial" w:cs="Arial"/>
          <w:sz w:val="16"/>
          <w:szCs w:val="16"/>
        </w:rPr>
        <w:t>identifica</w:t>
      </w:r>
      <w:r>
        <w:rPr>
          <w:rFonts w:ascii="Arial" w:hAnsi="Arial" w:cs="Arial"/>
          <w:sz w:val="16"/>
          <w:szCs w:val="16"/>
        </w:rPr>
        <w:t>re</w:t>
      </w:r>
      <w:r w:rsidRPr="004C2C6B">
        <w:rPr>
          <w:rFonts w:ascii="Arial" w:hAnsi="Arial" w:cs="Arial"/>
          <w:sz w:val="16"/>
          <w:szCs w:val="16"/>
        </w:rPr>
        <w:t xml:space="preserve"> il set di </w:t>
      </w:r>
      <w:r>
        <w:rPr>
          <w:rFonts w:ascii="Arial" w:hAnsi="Arial" w:cs="Arial"/>
          <w:sz w:val="16"/>
          <w:szCs w:val="16"/>
        </w:rPr>
        <w:t xml:space="preserve">4 </w:t>
      </w:r>
      <w:r w:rsidRPr="004C2C6B">
        <w:rPr>
          <w:rFonts w:ascii="Arial" w:hAnsi="Arial" w:cs="Arial"/>
          <w:sz w:val="16"/>
          <w:szCs w:val="16"/>
        </w:rPr>
        <w:t>indicatori “generali”</w:t>
      </w:r>
      <w:r>
        <w:rPr>
          <w:rFonts w:ascii="Arial" w:hAnsi="Arial" w:cs="Arial"/>
          <w:sz w:val="16"/>
          <w:szCs w:val="16"/>
        </w:rPr>
        <w:t xml:space="preserve">. Questi aspetti vengono </w:t>
      </w:r>
      <w:r w:rsidRPr="004C2C6B">
        <w:rPr>
          <w:rFonts w:ascii="Arial" w:hAnsi="Arial" w:cs="Arial"/>
          <w:sz w:val="16"/>
          <w:szCs w:val="16"/>
        </w:rPr>
        <w:t>variamente ripres</w:t>
      </w:r>
      <w:r>
        <w:rPr>
          <w:rFonts w:ascii="Arial" w:hAnsi="Arial" w:cs="Arial"/>
          <w:sz w:val="16"/>
          <w:szCs w:val="16"/>
        </w:rPr>
        <w:t xml:space="preserve">i </w:t>
      </w:r>
      <w:r w:rsidRPr="004C2C6B">
        <w:rPr>
          <w:rFonts w:ascii="Arial" w:hAnsi="Arial" w:cs="Arial"/>
          <w:sz w:val="16"/>
          <w:szCs w:val="16"/>
        </w:rPr>
        <w:t>sia in altre parti del documento citato (in particolare, nella parte 4 “Valutazione di impatto macro-economico”</w:t>
      </w:r>
      <w:r>
        <w:rPr>
          <w:rFonts w:ascii="Arial" w:hAnsi="Arial" w:cs="Arial"/>
          <w:sz w:val="16"/>
          <w:szCs w:val="16"/>
        </w:rPr>
        <w:t>)</w:t>
      </w:r>
      <w:r w:rsidRPr="004C2C6B">
        <w:rPr>
          <w:rFonts w:ascii="Arial" w:hAnsi="Arial" w:cs="Arial"/>
          <w:sz w:val="16"/>
          <w:szCs w:val="16"/>
        </w:rPr>
        <w:t>, sia in altri documenti istituzionali</w:t>
      </w:r>
      <w:r>
        <w:rPr>
          <w:rFonts w:ascii="Arial" w:hAnsi="Arial" w:cs="Arial"/>
          <w:sz w:val="16"/>
          <w:szCs w:val="16"/>
        </w:rPr>
        <w:t xml:space="preserve"> (</w:t>
      </w:r>
      <w:r w:rsidRPr="00982E2D">
        <w:rPr>
          <w:rFonts w:ascii="Arial" w:hAnsi="Arial" w:cs="Arial"/>
          <w:sz w:val="16"/>
          <w:szCs w:val="16"/>
        </w:rPr>
        <w:t>Servizi Studi Camera e Senato</w:t>
      </w:r>
      <w:r>
        <w:rPr>
          <w:rFonts w:ascii="Arial" w:hAnsi="Arial" w:cs="Arial"/>
          <w:sz w:val="16"/>
          <w:szCs w:val="16"/>
        </w:rPr>
        <w:t xml:space="preserve">, </w:t>
      </w:r>
      <w:r w:rsidRPr="008E27C4">
        <w:rPr>
          <w:rFonts w:ascii="Arial" w:hAnsi="Arial" w:cs="Arial"/>
          <w:sz w:val="16"/>
          <w:szCs w:val="16"/>
        </w:rPr>
        <w:t>15 luglio 2021</w:t>
      </w:r>
      <w:r>
        <w:rPr>
          <w:rFonts w:ascii="Arial" w:hAnsi="Arial" w:cs="Arial"/>
          <w:sz w:val="16"/>
          <w:szCs w:val="16"/>
        </w:rPr>
        <w:t>, pp. 71-77)</w:t>
      </w:r>
      <w:r w:rsidRPr="004C2C6B">
        <w:rPr>
          <w:rFonts w:ascii="Arial" w:hAnsi="Arial" w:cs="Arial"/>
          <w:sz w:val="16"/>
          <w:szCs w:val="16"/>
        </w:rPr>
        <w:t xml:space="preserve">. </w:t>
      </w:r>
      <w:r>
        <w:rPr>
          <w:rFonts w:ascii="Arial" w:hAnsi="Arial" w:cs="Arial"/>
          <w:sz w:val="16"/>
          <w:szCs w:val="16"/>
        </w:rPr>
        <w:t>Essi</w:t>
      </w:r>
      <w:r w:rsidRPr="004C2C6B">
        <w:rPr>
          <w:rFonts w:ascii="Arial" w:hAnsi="Arial" w:cs="Arial"/>
          <w:sz w:val="16"/>
          <w:szCs w:val="16"/>
        </w:rPr>
        <w:t xml:space="preserve">, pertanto, </w:t>
      </w:r>
      <w:r>
        <w:rPr>
          <w:rFonts w:ascii="Arial" w:hAnsi="Arial" w:cs="Arial"/>
          <w:sz w:val="16"/>
          <w:szCs w:val="16"/>
        </w:rPr>
        <w:t xml:space="preserve">sono stati </w:t>
      </w:r>
      <w:r w:rsidRPr="004C2C6B">
        <w:rPr>
          <w:rFonts w:ascii="Arial" w:hAnsi="Arial" w:cs="Arial"/>
          <w:sz w:val="16"/>
          <w:szCs w:val="16"/>
        </w:rPr>
        <w:t xml:space="preserve">considerati esemplificativi degli scopi di ordine macro </w:t>
      </w:r>
      <w:r>
        <w:rPr>
          <w:rFonts w:ascii="Arial" w:hAnsi="Arial" w:cs="Arial"/>
          <w:sz w:val="16"/>
          <w:szCs w:val="16"/>
        </w:rPr>
        <w:t xml:space="preserve">del PNRR per </w:t>
      </w:r>
      <w:r w:rsidRPr="004C2C6B">
        <w:rPr>
          <w:rFonts w:ascii="Arial" w:hAnsi="Arial" w:cs="Arial"/>
          <w:sz w:val="16"/>
          <w:szCs w:val="16"/>
        </w:rPr>
        <w:t>il Mezzogiorno</w:t>
      </w:r>
    </w:p>
  </w:footnote>
  <w:footnote w:id="4">
    <w:p w14:paraId="67DFDBAA" w14:textId="77777777" w:rsidR="00422ED6" w:rsidRPr="004C2C6B" w:rsidRDefault="00422ED6" w:rsidP="00422ED6">
      <w:pPr>
        <w:pStyle w:val="Testonotaapidipagina"/>
        <w:jc w:val="both"/>
        <w:rPr>
          <w:rFonts w:ascii="Arial" w:hAnsi="Arial" w:cs="Arial"/>
          <w:sz w:val="16"/>
          <w:szCs w:val="16"/>
        </w:rPr>
      </w:pPr>
      <w:r>
        <w:rPr>
          <w:rStyle w:val="Rimandonotaapidipagina"/>
        </w:rPr>
        <w:footnoteRef/>
      </w:r>
      <w:r>
        <w:t xml:space="preserve"> Per un quadro generale: </w:t>
      </w:r>
      <w:r w:rsidRPr="00982E2D">
        <w:rPr>
          <w:rFonts w:ascii="Arial" w:hAnsi="Arial" w:cs="Arial"/>
          <w:sz w:val="16"/>
          <w:szCs w:val="16"/>
        </w:rPr>
        <w:t xml:space="preserve">Governo italiano (30 aprile 2021), </w:t>
      </w:r>
      <w:r>
        <w:rPr>
          <w:rFonts w:ascii="Arial" w:hAnsi="Arial" w:cs="Arial"/>
          <w:sz w:val="16"/>
          <w:szCs w:val="16"/>
        </w:rPr>
        <w:t xml:space="preserve">pp. 15-24; </w:t>
      </w:r>
      <w:r w:rsidRPr="004C2C6B">
        <w:rPr>
          <w:rFonts w:ascii="Arial" w:hAnsi="Arial" w:cs="Arial"/>
          <w:sz w:val="16"/>
          <w:szCs w:val="16"/>
        </w:rPr>
        <w:t xml:space="preserve">Servizio Studi Camera e Senato </w:t>
      </w:r>
      <w:r>
        <w:rPr>
          <w:rFonts w:ascii="Arial" w:hAnsi="Arial" w:cs="Arial"/>
          <w:sz w:val="16"/>
          <w:szCs w:val="16"/>
        </w:rPr>
        <w:t xml:space="preserve">(luglio </w:t>
      </w:r>
      <w:r w:rsidRPr="004C2C6B">
        <w:rPr>
          <w:rFonts w:ascii="Arial" w:hAnsi="Arial" w:cs="Arial"/>
          <w:sz w:val="16"/>
          <w:szCs w:val="16"/>
        </w:rPr>
        <w:t>2021</w:t>
      </w:r>
      <w:r>
        <w:rPr>
          <w:rFonts w:ascii="Arial" w:hAnsi="Arial" w:cs="Arial"/>
          <w:sz w:val="16"/>
          <w:szCs w:val="16"/>
        </w:rPr>
        <w:t>), pp. 17-19</w:t>
      </w:r>
    </w:p>
  </w:footnote>
  <w:footnote w:id="5">
    <w:p w14:paraId="11FAF183" w14:textId="77777777" w:rsidR="00BD3BF9" w:rsidRPr="00BD3BF9" w:rsidRDefault="00BD3BF9" w:rsidP="008A05B0">
      <w:pPr>
        <w:pStyle w:val="Testonotaapidipagina"/>
        <w:jc w:val="both"/>
        <w:rPr>
          <w:rFonts w:ascii="Arial" w:hAnsi="Arial" w:cs="Arial"/>
          <w:sz w:val="16"/>
          <w:szCs w:val="16"/>
        </w:rPr>
      </w:pPr>
      <w:r>
        <w:rPr>
          <w:rStyle w:val="Rimandonotaapidipagina"/>
        </w:rPr>
        <w:footnoteRef/>
      </w:r>
      <w:r>
        <w:t xml:space="preserve"> </w:t>
      </w:r>
      <w:r w:rsidR="009F2321" w:rsidRPr="004C2C6B">
        <w:rPr>
          <w:rFonts w:ascii="Arial" w:hAnsi="Arial" w:cs="Arial"/>
          <w:sz w:val="16"/>
          <w:szCs w:val="16"/>
        </w:rPr>
        <w:t xml:space="preserve">Servizio Studi Camera e Senato </w:t>
      </w:r>
      <w:r w:rsidR="009F2321">
        <w:rPr>
          <w:rFonts w:ascii="Arial" w:hAnsi="Arial" w:cs="Arial"/>
          <w:sz w:val="16"/>
          <w:szCs w:val="16"/>
        </w:rPr>
        <w:t xml:space="preserve">(luglio </w:t>
      </w:r>
      <w:r w:rsidR="009F2321" w:rsidRPr="004C2C6B">
        <w:rPr>
          <w:rFonts w:ascii="Arial" w:hAnsi="Arial" w:cs="Arial"/>
          <w:sz w:val="16"/>
          <w:szCs w:val="16"/>
        </w:rPr>
        <w:t>2021</w:t>
      </w:r>
      <w:r w:rsidR="009F2321">
        <w:rPr>
          <w:rFonts w:ascii="Arial" w:hAnsi="Arial" w:cs="Arial"/>
          <w:sz w:val="16"/>
          <w:szCs w:val="16"/>
        </w:rPr>
        <w:t>), p. 75</w:t>
      </w:r>
    </w:p>
  </w:footnote>
  <w:footnote w:id="6">
    <w:p w14:paraId="630FEAFB" w14:textId="77777777" w:rsidR="00BD3BF9" w:rsidRPr="00BD3BF9" w:rsidRDefault="00BD3BF9" w:rsidP="008A05B0">
      <w:pPr>
        <w:pStyle w:val="Testonotaapidipagina"/>
        <w:rPr>
          <w:rFonts w:ascii="Arial" w:hAnsi="Arial" w:cs="Arial"/>
          <w:sz w:val="16"/>
          <w:szCs w:val="16"/>
        </w:rPr>
      </w:pPr>
      <w:r>
        <w:rPr>
          <w:rStyle w:val="Rimandonotaapidipagina"/>
        </w:rPr>
        <w:footnoteRef/>
      </w:r>
      <w:r>
        <w:t xml:space="preserve"> </w:t>
      </w:r>
      <w:r w:rsidR="009F2321">
        <w:rPr>
          <w:rFonts w:ascii="Arial" w:hAnsi="Arial" w:cs="Arial"/>
          <w:sz w:val="16"/>
          <w:szCs w:val="16"/>
        </w:rPr>
        <w:t>Ibidem, p. 75</w:t>
      </w:r>
    </w:p>
  </w:footnote>
  <w:footnote w:id="7">
    <w:p w14:paraId="74B68874" w14:textId="77777777" w:rsidR="00BD3BF9" w:rsidRPr="009A36CD" w:rsidRDefault="00BD3BF9" w:rsidP="008A05B0">
      <w:pPr>
        <w:pStyle w:val="Testonotaapidipagina"/>
        <w:rPr>
          <w:rFonts w:ascii="Arial" w:hAnsi="Arial" w:cs="Arial"/>
          <w:sz w:val="16"/>
          <w:szCs w:val="16"/>
        </w:rPr>
      </w:pPr>
      <w:r>
        <w:rPr>
          <w:rStyle w:val="Rimandonotaapidipagina"/>
        </w:rPr>
        <w:footnoteRef/>
      </w:r>
      <w:r>
        <w:t xml:space="preserve"> </w:t>
      </w:r>
      <w:r w:rsidR="009F2321">
        <w:rPr>
          <w:rFonts w:ascii="Arial" w:hAnsi="Arial" w:cs="Arial"/>
          <w:sz w:val="16"/>
          <w:szCs w:val="16"/>
        </w:rPr>
        <w:t>ibidem</w:t>
      </w:r>
      <w:r w:rsidRPr="009A36CD">
        <w:rPr>
          <w:rFonts w:ascii="Arial" w:hAnsi="Arial" w:cs="Arial"/>
          <w:sz w:val="16"/>
          <w:szCs w:val="16"/>
        </w:rPr>
        <w:t>, pp. 75-76</w:t>
      </w:r>
    </w:p>
  </w:footnote>
  <w:footnote w:id="8">
    <w:p w14:paraId="199DD237" w14:textId="77777777" w:rsidR="00705F14" w:rsidRPr="00705F14" w:rsidRDefault="00705F14" w:rsidP="00705F14">
      <w:pPr>
        <w:pStyle w:val="Testonotaapidipagina"/>
        <w:jc w:val="both"/>
        <w:rPr>
          <w:rFonts w:ascii="Arial" w:hAnsi="Arial" w:cs="Arial"/>
          <w:sz w:val="16"/>
          <w:szCs w:val="16"/>
        </w:rPr>
      </w:pPr>
      <w:r>
        <w:rPr>
          <w:rStyle w:val="Rimandonotaapidipagina"/>
        </w:rPr>
        <w:footnoteRef/>
      </w:r>
      <w:r>
        <w:t xml:space="preserve"> </w:t>
      </w:r>
      <w:r w:rsidRPr="00705F14">
        <w:rPr>
          <w:rFonts w:ascii="Arial" w:hAnsi="Arial" w:cs="Arial"/>
          <w:sz w:val="16"/>
          <w:szCs w:val="16"/>
        </w:rPr>
        <w:t xml:space="preserve">Questo </w:t>
      </w:r>
      <w:r>
        <w:rPr>
          <w:rFonts w:ascii="Arial" w:hAnsi="Arial" w:cs="Arial"/>
          <w:sz w:val="16"/>
          <w:szCs w:val="16"/>
        </w:rPr>
        <w:t>aspetto</w:t>
      </w:r>
      <w:r w:rsidRPr="00705F14">
        <w:rPr>
          <w:rFonts w:ascii="Arial" w:hAnsi="Arial" w:cs="Arial"/>
          <w:sz w:val="16"/>
          <w:szCs w:val="16"/>
        </w:rPr>
        <w:t xml:space="preserve"> viene ripreso nella Missione 5, e posto in relazione all’occupabilità delle donne con figli. E’ la ragione per cui il tema è stato sviluppato con riferimento alla Missione 5</w:t>
      </w:r>
    </w:p>
  </w:footnote>
  <w:footnote w:id="9">
    <w:p w14:paraId="5696360F" w14:textId="77777777" w:rsidR="00BD3BF9" w:rsidRPr="009A36CD" w:rsidRDefault="00BD3BF9" w:rsidP="00C34ECF">
      <w:pPr>
        <w:pStyle w:val="Testonotaapidipagina"/>
        <w:rPr>
          <w:rFonts w:ascii="Arial" w:hAnsi="Arial" w:cs="Arial"/>
          <w:sz w:val="16"/>
          <w:szCs w:val="16"/>
        </w:rPr>
      </w:pPr>
      <w:r>
        <w:rPr>
          <w:rStyle w:val="Rimandonotaapidipagina"/>
        </w:rPr>
        <w:footnoteRef/>
      </w:r>
      <w:r>
        <w:t xml:space="preserve"> </w:t>
      </w:r>
      <w:r w:rsidR="009F2321">
        <w:t xml:space="preserve">Ibidem, </w:t>
      </w:r>
      <w:r w:rsidRPr="009A36CD">
        <w:rPr>
          <w:rFonts w:ascii="Arial" w:hAnsi="Arial" w:cs="Arial"/>
          <w:sz w:val="16"/>
          <w:szCs w:val="16"/>
        </w:rPr>
        <w:t>p. 76</w:t>
      </w:r>
    </w:p>
  </w:footnote>
  <w:footnote w:id="10">
    <w:p w14:paraId="5BA4D27C" w14:textId="77777777" w:rsidR="00BD3BF9" w:rsidRPr="00851CFB" w:rsidRDefault="00BD3BF9" w:rsidP="008A05B0">
      <w:pPr>
        <w:pStyle w:val="Testonotaapidipagina"/>
        <w:jc w:val="both"/>
        <w:rPr>
          <w:i/>
        </w:rPr>
      </w:pPr>
      <w:r>
        <w:rPr>
          <w:rStyle w:val="Rimandonotaapidipagina"/>
        </w:rPr>
        <w:footnoteRef/>
      </w:r>
      <w:r>
        <w:t xml:space="preserve"> </w:t>
      </w:r>
      <w:r w:rsidR="009F2321">
        <w:rPr>
          <w:rFonts w:ascii="Arial" w:hAnsi="Arial" w:cs="Arial"/>
          <w:sz w:val="16"/>
          <w:szCs w:val="16"/>
        </w:rPr>
        <w:t>Ibidem</w:t>
      </w:r>
      <w:r w:rsidRPr="00C34ECF">
        <w:rPr>
          <w:rFonts w:ascii="Arial" w:hAnsi="Arial" w:cs="Arial"/>
          <w:sz w:val="16"/>
          <w:szCs w:val="16"/>
        </w:rPr>
        <w:t>, pp. 73-74. La rilevanza assegnata alla Missione 5 in relazione alla priorità trasversale n. 3 si evidenzia anche nel fatto che questa è l’unica delle 6 missioni in cui il PNRR elenca un insieme di 10 indicatori su cui si persegue un impatto specifico sulle tre dimensioni trasversali del Piano: 1) dotazione di servizi pubblici essenziali nelle aree marginalizzate, 2) investimenti in ricerca e sviluppo nel Mezzogiorno, 3) divari territoriali dei tassi di occupazione e di disoccupazione, 4) tasso di occupazione femminile, 5) gap nel tasso di occupazione fra donne di 25-49 anni con figli in età prescolare e donne senza figli, 6) tasso di disoccupazione giovanile, 7) incidenza dei Neet fra i giovani, 8) tasso di occupazione al Sud, 9) saldo migratorio netto dal Sud, 10) quota di 18-24enni che possiede al più un titolo secondario inferiore ed è già fuori dal sistema di istruzione e formazione (13,5%, valore più elevato del benchmark europeo fissato al 10%). Cfr. Governo Italiano, “PNRR”, cit., box di approfondimento a p. 222.</w:t>
      </w:r>
      <w:r>
        <w:rPr>
          <w:rFonts w:ascii="Times New Roman" w:hAnsi="Times New Roman" w:cs="Times New Roman"/>
        </w:rPr>
        <w:t xml:space="preserve"> </w:t>
      </w:r>
    </w:p>
  </w:footnote>
  <w:footnote w:id="11">
    <w:p w14:paraId="5D2BD49C" w14:textId="77777777" w:rsidR="008E5EA5" w:rsidRPr="00C34ECF" w:rsidRDefault="008E5EA5" w:rsidP="008E5EA5">
      <w:pPr>
        <w:pStyle w:val="Testonotaapidipagina"/>
        <w:jc w:val="both"/>
        <w:rPr>
          <w:rFonts w:ascii="Arial" w:hAnsi="Arial" w:cs="Arial"/>
          <w:sz w:val="16"/>
          <w:szCs w:val="16"/>
        </w:rPr>
      </w:pPr>
      <w:r>
        <w:rPr>
          <w:rStyle w:val="Rimandonotaapidipagina"/>
        </w:rPr>
        <w:footnoteRef/>
      </w:r>
      <w:r>
        <w:t xml:space="preserve"> </w:t>
      </w:r>
      <w:r w:rsidRPr="00C34ECF">
        <w:rPr>
          <w:rFonts w:ascii="Arial" w:hAnsi="Arial" w:cs="Arial"/>
          <w:sz w:val="16"/>
          <w:szCs w:val="16"/>
        </w:rPr>
        <w:t xml:space="preserve">Cfr. Servizio Studi Camera e Senato, </w:t>
      </w:r>
      <w:r w:rsidR="006D2E9D">
        <w:rPr>
          <w:rFonts w:ascii="Arial" w:hAnsi="Arial" w:cs="Arial"/>
          <w:sz w:val="16"/>
          <w:szCs w:val="16"/>
        </w:rPr>
        <w:t xml:space="preserve">luglio </w:t>
      </w:r>
      <w:r w:rsidR="006D2E9D" w:rsidRPr="004C2C6B">
        <w:rPr>
          <w:rFonts w:ascii="Arial" w:hAnsi="Arial" w:cs="Arial"/>
          <w:sz w:val="16"/>
          <w:szCs w:val="16"/>
        </w:rPr>
        <w:t>2021</w:t>
      </w:r>
      <w:r w:rsidRPr="00C34ECF">
        <w:rPr>
          <w:rFonts w:ascii="Arial" w:hAnsi="Arial" w:cs="Arial"/>
          <w:sz w:val="16"/>
          <w:szCs w:val="16"/>
        </w:rPr>
        <w:t>, pp. 29</w:t>
      </w:r>
      <w:r w:rsidR="006D2E9D">
        <w:rPr>
          <w:rFonts w:ascii="Arial" w:hAnsi="Arial" w:cs="Arial"/>
          <w:sz w:val="16"/>
          <w:szCs w:val="16"/>
        </w:rPr>
        <w:t>1</w:t>
      </w:r>
      <w:r w:rsidRPr="00C34ECF">
        <w:rPr>
          <w:rFonts w:ascii="Arial" w:hAnsi="Arial" w:cs="Arial"/>
          <w:sz w:val="16"/>
          <w:szCs w:val="16"/>
        </w:rPr>
        <w:t>-29</w:t>
      </w:r>
      <w:r w:rsidR="006D2E9D">
        <w:rPr>
          <w:rFonts w:ascii="Arial" w:hAnsi="Arial" w:cs="Arial"/>
          <w:sz w:val="16"/>
          <w:szCs w:val="16"/>
        </w:rPr>
        <w:t>2</w:t>
      </w:r>
      <w:r w:rsidRPr="00C34ECF">
        <w:rPr>
          <w:rFonts w:ascii="Arial" w:hAnsi="Arial" w:cs="Arial"/>
          <w:sz w:val="16"/>
          <w:szCs w:val="16"/>
        </w:rPr>
        <w:t xml:space="preserve">. Si precisa che “nell’Allegato alla decisione UE viene specificato che gli interventi socioeducativi volti a combattere la povertà educativa e sostenere il terzo settore devono riguardare i seguenti ambiti: </w:t>
      </w:r>
      <w:r w:rsidRPr="00EA71FF">
        <w:rPr>
          <w:rFonts w:ascii="Arial" w:hAnsi="Arial" w:cs="Arial"/>
          <w:i/>
          <w:sz w:val="16"/>
          <w:szCs w:val="16"/>
        </w:rPr>
        <w:t>interventi a favore di minori nella fascia 0-6 anni volti a migliorare le condizioni di accesso ai servizi di asili nido e di scuola materna</w:t>
      </w:r>
      <w:r w:rsidRPr="00C34ECF">
        <w:rPr>
          <w:rFonts w:ascii="Arial" w:hAnsi="Arial" w:cs="Arial"/>
          <w:sz w:val="16"/>
          <w:szCs w:val="16"/>
        </w:rPr>
        <w:t xml:space="preserve"> e a sostenere la genitorialità</w:t>
      </w:r>
      <w:r w:rsidR="006D2E9D">
        <w:rPr>
          <w:rFonts w:ascii="Arial" w:hAnsi="Arial" w:cs="Arial"/>
          <w:sz w:val="16"/>
          <w:szCs w:val="16"/>
        </w:rPr>
        <w:t>”</w:t>
      </w:r>
      <w:r w:rsidRPr="00C34ECF">
        <w:rPr>
          <w:rFonts w:ascii="Arial" w:hAnsi="Arial" w:cs="Arial"/>
          <w:sz w:val="16"/>
          <w:szCs w:val="16"/>
        </w:rPr>
        <w:t xml:space="preserve"> (ibidem) </w:t>
      </w:r>
    </w:p>
  </w:footnote>
  <w:footnote w:id="12">
    <w:p w14:paraId="75883E48" w14:textId="77777777" w:rsidR="0006709D" w:rsidRDefault="0006709D">
      <w:pPr>
        <w:pStyle w:val="Testonotaapidipagina"/>
      </w:pPr>
      <w:r>
        <w:rPr>
          <w:rStyle w:val="Rimandonotaapidipagina"/>
        </w:rPr>
        <w:footnoteRef/>
      </w:r>
      <w:r>
        <w:t xml:space="preserve"> </w:t>
      </w:r>
      <w:r w:rsidRPr="0006709D">
        <w:rPr>
          <w:rFonts w:ascii="Arial" w:hAnsi="Arial" w:cs="Arial"/>
          <w:sz w:val="16"/>
          <w:szCs w:val="16"/>
        </w:rPr>
        <w:t>Ibidem, p. 76</w:t>
      </w:r>
    </w:p>
  </w:footnote>
  <w:footnote w:id="13">
    <w:p w14:paraId="06CA59A7" w14:textId="77777777" w:rsidR="007911F9" w:rsidRDefault="007911F9">
      <w:pPr>
        <w:pStyle w:val="Testonotaapidipagina"/>
      </w:pPr>
      <w:r>
        <w:rPr>
          <w:rStyle w:val="Rimandonotaapidipagina"/>
        </w:rPr>
        <w:footnoteRef/>
      </w:r>
      <w:r>
        <w:t xml:space="preserve"> </w:t>
      </w:r>
      <w:r w:rsidRPr="004C2C6B">
        <w:rPr>
          <w:rFonts w:ascii="Arial" w:hAnsi="Arial" w:cs="Arial"/>
          <w:sz w:val="16"/>
          <w:szCs w:val="16"/>
        </w:rPr>
        <w:t>Governo italiano</w:t>
      </w:r>
      <w:r>
        <w:rPr>
          <w:rFonts w:ascii="Arial" w:hAnsi="Arial" w:cs="Arial"/>
          <w:sz w:val="16"/>
          <w:szCs w:val="16"/>
        </w:rPr>
        <w:t xml:space="preserve"> (30</w:t>
      </w:r>
      <w:r w:rsidRPr="004C2C6B">
        <w:rPr>
          <w:rFonts w:ascii="Arial" w:hAnsi="Arial" w:cs="Arial"/>
          <w:sz w:val="16"/>
          <w:szCs w:val="16"/>
        </w:rPr>
        <w:t xml:space="preserve"> </w:t>
      </w:r>
      <w:r>
        <w:rPr>
          <w:rFonts w:ascii="Arial" w:hAnsi="Arial" w:cs="Arial"/>
          <w:sz w:val="16"/>
          <w:szCs w:val="16"/>
        </w:rPr>
        <w:t>aprile 2011), p. 237</w:t>
      </w:r>
    </w:p>
  </w:footnote>
  <w:footnote w:id="14">
    <w:p w14:paraId="1BDE1B23" w14:textId="77777777" w:rsidR="00BD3BF9" w:rsidRPr="0076418B" w:rsidRDefault="00BD3BF9" w:rsidP="008A05B0">
      <w:pPr>
        <w:pStyle w:val="Testonotaapidipagina"/>
        <w:jc w:val="both"/>
        <w:rPr>
          <w:rFonts w:ascii="Arial" w:hAnsi="Arial" w:cs="Arial"/>
          <w:sz w:val="16"/>
          <w:szCs w:val="16"/>
        </w:rPr>
      </w:pPr>
      <w:r w:rsidRPr="00C6222E">
        <w:rPr>
          <w:rStyle w:val="Rimandonotaapidipagina"/>
        </w:rPr>
        <w:footnoteRef/>
      </w:r>
      <w:r w:rsidRPr="00C6222E">
        <w:rPr>
          <w:rStyle w:val="Rimandonotaapidipagina"/>
        </w:rPr>
        <w:t xml:space="preserve"> </w:t>
      </w:r>
      <w:r>
        <w:rPr>
          <w:rFonts w:ascii="Arial" w:hAnsi="Arial" w:cs="Arial"/>
          <w:sz w:val="16"/>
          <w:szCs w:val="16"/>
        </w:rPr>
        <w:t xml:space="preserve">Tutti i </w:t>
      </w:r>
      <w:r w:rsidRPr="0076418B">
        <w:rPr>
          <w:rFonts w:ascii="Arial" w:hAnsi="Arial" w:cs="Arial"/>
          <w:sz w:val="16"/>
          <w:szCs w:val="16"/>
        </w:rPr>
        <w:t>virgolettati</w:t>
      </w:r>
      <w:r>
        <w:rPr>
          <w:rFonts w:ascii="Arial" w:hAnsi="Arial" w:cs="Arial"/>
          <w:sz w:val="16"/>
          <w:szCs w:val="16"/>
        </w:rPr>
        <w:t xml:space="preserve"> </w:t>
      </w:r>
      <w:r w:rsidRPr="0076418B">
        <w:rPr>
          <w:rFonts w:ascii="Arial" w:hAnsi="Arial" w:cs="Arial"/>
          <w:sz w:val="16"/>
          <w:szCs w:val="16"/>
        </w:rPr>
        <w:t xml:space="preserve">sono ripresi </w:t>
      </w:r>
      <w:r>
        <w:rPr>
          <w:rFonts w:ascii="Arial" w:hAnsi="Arial" w:cs="Arial"/>
          <w:sz w:val="16"/>
          <w:szCs w:val="16"/>
        </w:rPr>
        <w:t xml:space="preserve">fedelmente </w:t>
      </w:r>
      <w:r w:rsidRPr="0076418B">
        <w:rPr>
          <w:rFonts w:ascii="Arial" w:hAnsi="Arial" w:cs="Arial"/>
          <w:sz w:val="16"/>
          <w:szCs w:val="16"/>
        </w:rPr>
        <w:t xml:space="preserve">dal PNRR </w:t>
      </w:r>
      <w:r>
        <w:rPr>
          <w:rFonts w:ascii="Arial" w:hAnsi="Arial" w:cs="Arial"/>
          <w:sz w:val="16"/>
          <w:szCs w:val="16"/>
        </w:rPr>
        <w:t>(</w:t>
      </w:r>
      <w:r w:rsidRPr="0076418B">
        <w:rPr>
          <w:rFonts w:ascii="Arial" w:hAnsi="Arial" w:cs="Arial"/>
          <w:sz w:val="16"/>
          <w:szCs w:val="16"/>
        </w:rPr>
        <w:t xml:space="preserve">Governo italiano, </w:t>
      </w:r>
      <w:r>
        <w:rPr>
          <w:rFonts w:ascii="Arial" w:hAnsi="Arial" w:cs="Arial"/>
          <w:sz w:val="16"/>
          <w:szCs w:val="16"/>
        </w:rPr>
        <w:t xml:space="preserve">aprile 2021, </w:t>
      </w:r>
      <w:r w:rsidRPr="0076418B">
        <w:rPr>
          <w:rFonts w:ascii="Arial" w:hAnsi="Arial" w:cs="Arial"/>
          <w:sz w:val="16"/>
          <w:szCs w:val="16"/>
        </w:rPr>
        <w:t>pp. 40 e segg.</w:t>
      </w:r>
      <w:r>
        <w:rPr>
          <w:rFonts w:ascii="Arial" w:hAnsi="Arial" w:cs="Arial"/>
          <w:sz w:val="16"/>
          <w:szCs w:val="16"/>
        </w:rPr>
        <w:t>)</w:t>
      </w:r>
      <w:r w:rsidR="00C6222E">
        <w:rPr>
          <w:rFonts w:ascii="Arial" w:hAnsi="Arial" w:cs="Arial"/>
          <w:sz w:val="16"/>
          <w:szCs w:val="16"/>
        </w:rPr>
        <w:t>. Si veda anche sopra</w:t>
      </w:r>
      <w:r w:rsidRPr="0076418B">
        <w:rPr>
          <w:rFonts w:ascii="Arial" w:hAnsi="Arial" w:cs="Arial"/>
          <w:sz w:val="16"/>
          <w:szCs w:val="16"/>
        </w:rPr>
        <w:t xml:space="preserve"> </w:t>
      </w:r>
    </w:p>
  </w:footnote>
  <w:footnote w:id="15">
    <w:p w14:paraId="32C3BB6C" w14:textId="77777777" w:rsidR="00BD3BF9" w:rsidRPr="0076418B" w:rsidRDefault="00BD3BF9" w:rsidP="008A05B0">
      <w:pPr>
        <w:pStyle w:val="Testonotaapidipagina"/>
        <w:jc w:val="both"/>
        <w:rPr>
          <w:rFonts w:ascii="Arial" w:hAnsi="Arial" w:cs="Arial"/>
          <w:sz w:val="16"/>
          <w:szCs w:val="16"/>
        </w:rPr>
      </w:pPr>
      <w:r w:rsidRPr="00C6222E">
        <w:rPr>
          <w:rStyle w:val="Rimandonotaapidipagina"/>
        </w:rPr>
        <w:footnoteRef/>
      </w:r>
      <w:r w:rsidRPr="00C6222E">
        <w:rPr>
          <w:rStyle w:val="Rimandonotaapidipagina"/>
        </w:rPr>
        <w:t xml:space="preserve"> </w:t>
      </w:r>
      <w:r w:rsidRPr="0076418B">
        <w:rPr>
          <w:rFonts w:ascii="Arial" w:hAnsi="Arial" w:cs="Arial"/>
          <w:sz w:val="16"/>
          <w:szCs w:val="16"/>
        </w:rPr>
        <w:t>L’identificazione de</w:t>
      </w:r>
      <w:r>
        <w:rPr>
          <w:rFonts w:ascii="Arial" w:hAnsi="Arial" w:cs="Arial"/>
          <w:sz w:val="16"/>
          <w:szCs w:val="16"/>
        </w:rPr>
        <w:t xml:space="preserve">gli indicatori </w:t>
      </w:r>
      <w:r w:rsidRPr="0076418B">
        <w:rPr>
          <w:rFonts w:ascii="Arial" w:hAnsi="Arial" w:cs="Arial"/>
          <w:sz w:val="16"/>
          <w:szCs w:val="16"/>
        </w:rPr>
        <w:t xml:space="preserve">è stata </w:t>
      </w:r>
      <w:r>
        <w:rPr>
          <w:rFonts w:ascii="Arial" w:hAnsi="Arial" w:cs="Arial"/>
          <w:sz w:val="16"/>
          <w:szCs w:val="16"/>
        </w:rPr>
        <w:t xml:space="preserve">talvolta </w:t>
      </w:r>
      <w:r w:rsidRPr="0076418B">
        <w:rPr>
          <w:rFonts w:ascii="Arial" w:hAnsi="Arial" w:cs="Arial"/>
          <w:sz w:val="16"/>
          <w:szCs w:val="16"/>
        </w:rPr>
        <w:t xml:space="preserve">immediata </w:t>
      </w:r>
      <w:r>
        <w:rPr>
          <w:rFonts w:ascii="Arial" w:hAnsi="Arial" w:cs="Arial"/>
          <w:sz w:val="16"/>
          <w:szCs w:val="16"/>
        </w:rPr>
        <w:t>(</w:t>
      </w:r>
      <w:r w:rsidRPr="0076418B">
        <w:rPr>
          <w:rFonts w:ascii="Arial" w:hAnsi="Arial" w:cs="Arial"/>
          <w:sz w:val="16"/>
          <w:szCs w:val="16"/>
        </w:rPr>
        <w:t xml:space="preserve">nel caso del PIL, </w:t>
      </w:r>
      <w:r>
        <w:rPr>
          <w:rFonts w:ascii="Arial" w:hAnsi="Arial" w:cs="Arial"/>
          <w:sz w:val="16"/>
          <w:szCs w:val="16"/>
        </w:rPr>
        <w:t xml:space="preserve">dell’occupazione, </w:t>
      </w:r>
      <w:r w:rsidRPr="0076418B">
        <w:rPr>
          <w:rFonts w:ascii="Arial" w:hAnsi="Arial" w:cs="Arial"/>
          <w:sz w:val="16"/>
          <w:szCs w:val="16"/>
        </w:rPr>
        <w:t>dei fenomeni migratori</w:t>
      </w:r>
      <w:r>
        <w:rPr>
          <w:rFonts w:ascii="Arial" w:hAnsi="Arial" w:cs="Arial"/>
          <w:sz w:val="16"/>
          <w:szCs w:val="16"/>
        </w:rPr>
        <w:t>)</w:t>
      </w:r>
      <w:r w:rsidRPr="0076418B">
        <w:rPr>
          <w:rFonts w:ascii="Arial" w:hAnsi="Arial" w:cs="Arial"/>
          <w:sz w:val="16"/>
          <w:szCs w:val="16"/>
        </w:rPr>
        <w:t xml:space="preserve">, </w:t>
      </w:r>
      <w:r>
        <w:rPr>
          <w:rFonts w:ascii="Arial" w:hAnsi="Arial" w:cs="Arial"/>
          <w:sz w:val="16"/>
          <w:szCs w:val="16"/>
        </w:rPr>
        <w:t xml:space="preserve">altre meno, come nel caso </w:t>
      </w:r>
      <w:r w:rsidRPr="0076418B">
        <w:rPr>
          <w:rFonts w:ascii="Arial" w:hAnsi="Arial" w:cs="Arial"/>
          <w:sz w:val="16"/>
          <w:szCs w:val="16"/>
        </w:rPr>
        <w:t>del “capitale umano”</w:t>
      </w:r>
      <w:r>
        <w:rPr>
          <w:rFonts w:ascii="Arial" w:hAnsi="Arial" w:cs="Arial"/>
          <w:sz w:val="16"/>
          <w:szCs w:val="16"/>
        </w:rPr>
        <w:t>. Si tratta di un tema</w:t>
      </w:r>
      <w:r w:rsidRPr="0076418B">
        <w:rPr>
          <w:rFonts w:ascii="Arial" w:hAnsi="Arial" w:cs="Arial"/>
          <w:sz w:val="16"/>
          <w:szCs w:val="16"/>
        </w:rPr>
        <w:t xml:space="preserve"> particolarmente complesso</w:t>
      </w:r>
      <w:r>
        <w:rPr>
          <w:rFonts w:ascii="Arial" w:hAnsi="Arial" w:cs="Arial"/>
          <w:sz w:val="16"/>
          <w:szCs w:val="16"/>
        </w:rPr>
        <w:t xml:space="preserve">, che </w:t>
      </w:r>
      <w:r w:rsidRPr="0076418B">
        <w:rPr>
          <w:rFonts w:ascii="Arial" w:hAnsi="Arial" w:cs="Arial"/>
          <w:sz w:val="16"/>
          <w:szCs w:val="16"/>
        </w:rPr>
        <w:t>richiama varie dimensioni e abilità sottese al cosiddetto “LifeLong Learning”</w:t>
      </w:r>
      <w:r>
        <w:rPr>
          <w:rFonts w:ascii="Arial" w:hAnsi="Arial" w:cs="Arial"/>
          <w:sz w:val="16"/>
          <w:szCs w:val="16"/>
        </w:rPr>
        <w:t xml:space="preserve">, di cui è una </w:t>
      </w:r>
      <w:r w:rsidRPr="00EE55E8">
        <w:rPr>
          <w:rFonts w:ascii="Arial" w:hAnsi="Arial" w:cs="Arial"/>
          <w:i/>
          <w:sz w:val="16"/>
          <w:szCs w:val="16"/>
        </w:rPr>
        <w:t>proxi</w:t>
      </w:r>
      <w:r>
        <w:rPr>
          <w:rFonts w:ascii="Arial" w:hAnsi="Arial" w:cs="Arial"/>
          <w:sz w:val="16"/>
          <w:szCs w:val="16"/>
        </w:rPr>
        <w:t xml:space="preserve"> il </w:t>
      </w:r>
      <w:r w:rsidRPr="0076418B">
        <w:rPr>
          <w:rFonts w:ascii="Arial" w:hAnsi="Arial" w:cs="Arial"/>
          <w:sz w:val="16"/>
          <w:szCs w:val="16"/>
        </w:rPr>
        <w:t>livello d’istruzione</w:t>
      </w:r>
      <w:r>
        <w:rPr>
          <w:rFonts w:ascii="Arial" w:hAnsi="Arial" w:cs="Arial"/>
          <w:sz w:val="16"/>
          <w:szCs w:val="16"/>
        </w:rPr>
        <w:t>, fenomeno notoriamente problematico nel Mezzogiorno</w:t>
      </w:r>
    </w:p>
  </w:footnote>
  <w:footnote w:id="16">
    <w:p w14:paraId="19F9F06F" w14:textId="77777777" w:rsidR="00BD3BF9" w:rsidRPr="0076418B" w:rsidRDefault="00BD3BF9" w:rsidP="008A05B0">
      <w:pPr>
        <w:pStyle w:val="Testonotaapidipagina"/>
        <w:jc w:val="both"/>
        <w:rPr>
          <w:rFonts w:ascii="Arial" w:hAnsi="Arial" w:cs="Arial"/>
          <w:sz w:val="16"/>
          <w:szCs w:val="16"/>
        </w:rPr>
      </w:pPr>
      <w:r w:rsidRPr="0076418B">
        <w:rPr>
          <w:rStyle w:val="Rimandonotaapidipagina"/>
          <w:rFonts w:ascii="Arial" w:hAnsi="Arial" w:cs="Arial"/>
          <w:sz w:val="16"/>
          <w:szCs w:val="16"/>
        </w:rPr>
        <w:footnoteRef/>
      </w:r>
      <w:r w:rsidRPr="0076418B">
        <w:rPr>
          <w:rFonts w:ascii="Arial" w:hAnsi="Arial" w:cs="Arial"/>
          <w:sz w:val="16"/>
          <w:szCs w:val="16"/>
        </w:rPr>
        <w:t xml:space="preserve"> Per un quadro d’insieme</w:t>
      </w:r>
      <w:r>
        <w:rPr>
          <w:rFonts w:ascii="Arial" w:hAnsi="Arial" w:cs="Arial"/>
          <w:sz w:val="16"/>
          <w:szCs w:val="16"/>
        </w:rPr>
        <w:t xml:space="preserve">: </w:t>
      </w:r>
      <w:r w:rsidRPr="0076418B">
        <w:rPr>
          <w:rFonts w:ascii="Arial" w:hAnsi="Arial" w:cs="Arial"/>
          <w:sz w:val="16"/>
          <w:szCs w:val="16"/>
        </w:rPr>
        <w:t>https://www.governo.it/it/approfondimento/le-missioni-e-le-componenti-del-pnrr/16700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F83"/>
    <w:multiLevelType w:val="hybridMultilevel"/>
    <w:tmpl w:val="68A4D5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C1F18"/>
    <w:multiLevelType w:val="hybridMultilevel"/>
    <w:tmpl w:val="6DAA94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012E2E"/>
    <w:multiLevelType w:val="hybridMultilevel"/>
    <w:tmpl w:val="A908407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CC3AA0"/>
    <w:multiLevelType w:val="hybridMultilevel"/>
    <w:tmpl w:val="794CD3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8F631C"/>
    <w:multiLevelType w:val="hybridMultilevel"/>
    <w:tmpl w:val="D8E08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5F0667"/>
    <w:multiLevelType w:val="hybridMultilevel"/>
    <w:tmpl w:val="A19C6784"/>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65137B"/>
    <w:multiLevelType w:val="hybridMultilevel"/>
    <w:tmpl w:val="69B832FA"/>
    <w:lvl w:ilvl="0" w:tplc="24F4E8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D777C9"/>
    <w:multiLevelType w:val="hybridMultilevel"/>
    <w:tmpl w:val="D8E08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E77A93"/>
    <w:multiLevelType w:val="hybridMultilevel"/>
    <w:tmpl w:val="26641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616502"/>
    <w:multiLevelType w:val="hybridMultilevel"/>
    <w:tmpl w:val="189806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C95034"/>
    <w:multiLevelType w:val="hybridMultilevel"/>
    <w:tmpl w:val="535A07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E533BD"/>
    <w:multiLevelType w:val="hybridMultilevel"/>
    <w:tmpl w:val="5062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2B7F55"/>
    <w:multiLevelType w:val="hybridMultilevel"/>
    <w:tmpl w:val="1730D8DC"/>
    <w:lvl w:ilvl="0" w:tplc="625E29C0">
      <w:start w:val="1"/>
      <w:numFmt w:val="upperLetter"/>
      <w:lvlText w:val="(%1)"/>
      <w:lvlJc w:val="left"/>
      <w:pPr>
        <w:ind w:left="44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3" w15:restartNumberingAfterBreak="0">
    <w:nsid w:val="6CC04581"/>
    <w:multiLevelType w:val="hybridMultilevel"/>
    <w:tmpl w:val="DD14C862"/>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DA1FD9"/>
    <w:multiLevelType w:val="hybridMultilevel"/>
    <w:tmpl w:val="764234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8361C2"/>
    <w:multiLevelType w:val="hybridMultilevel"/>
    <w:tmpl w:val="FC2CB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6A390D"/>
    <w:multiLevelType w:val="hybridMultilevel"/>
    <w:tmpl w:val="DD14C862"/>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207616">
    <w:abstractNumId w:val="7"/>
  </w:num>
  <w:num w:numId="2" w16cid:durableId="2109230617">
    <w:abstractNumId w:val="4"/>
  </w:num>
  <w:num w:numId="3" w16cid:durableId="772432185">
    <w:abstractNumId w:val="16"/>
  </w:num>
  <w:num w:numId="4" w16cid:durableId="1500729920">
    <w:abstractNumId w:val="13"/>
  </w:num>
  <w:num w:numId="5" w16cid:durableId="2038308331">
    <w:abstractNumId w:val="9"/>
  </w:num>
  <w:num w:numId="6" w16cid:durableId="151026515">
    <w:abstractNumId w:val="1"/>
  </w:num>
  <w:num w:numId="7" w16cid:durableId="727144345">
    <w:abstractNumId w:val="0"/>
  </w:num>
  <w:num w:numId="8" w16cid:durableId="918909171">
    <w:abstractNumId w:val="8"/>
  </w:num>
  <w:num w:numId="9" w16cid:durableId="1086418162">
    <w:abstractNumId w:val="14"/>
  </w:num>
  <w:num w:numId="10" w16cid:durableId="1830247613">
    <w:abstractNumId w:val="3"/>
  </w:num>
  <w:num w:numId="11" w16cid:durableId="1122915426">
    <w:abstractNumId w:val="11"/>
  </w:num>
  <w:num w:numId="12" w16cid:durableId="35937775">
    <w:abstractNumId w:val="15"/>
  </w:num>
  <w:num w:numId="13" w16cid:durableId="264656864">
    <w:abstractNumId w:val="10"/>
  </w:num>
  <w:num w:numId="14" w16cid:durableId="80565577">
    <w:abstractNumId w:val="5"/>
  </w:num>
  <w:num w:numId="15" w16cid:durableId="1075123461">
    <w:abstractNumId w:val="2"/>
  </w:num>
  <w:num w:numId="16" w16cid:durableId="945843770">
    <w:abstractNumId w:val="12"/>
  </w:num>
  <w:num w:numId="17" w16cid:durableId="939607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B0"/>
    <w:rsid w:val="0006709D"/>
    <w:rsid w:val="000A1E4A"/>
    <w:rsid w:val="000A3425"/>
    <w:rsid w:val="000E07FD"/>
    <w:rsid w:val="001201B0"/>
    <w:rsid w:val="001204A4"/>
    <w:rsid w:val="001C0518"/>
    <w:rsid w:val="001F12B2"/>
    <w:rsid w:val="00217CF9"/>
    <w:rsid w:val="00217FED"/>
    <w:rsid w:val="002743A3"/>
    <w:rsid w:val="00290774"/>
    <w:rsid w:val="002C45A6"/>
    <w:rsid w:val="002D5C04"/>
    <w:rsid w:val="002E2496"/>
    <w:rsid w:val="00305C03"/>
    <w:rsid w:val="00353A79"/>
    <w:rsid w:val="00384966"/>
    <w:rsid w:val="003F10FE"/>
    <w:rsid w:val="003F1EB0"/>
    <w:rsid w:val="003F39FF"/>
    <w:rsid w:val="00407D6D"/>
    <w:rsid w:val="00421C93"/>
    <w:rsid w:val="00422ED6"/>
    <w:rsid w:val="0042791B"/>
    <w:rsid w:val="00427DAD"/>
    <w:rsid w:val="00457BE9"/>
    <w:rsid w:val="004842A9"/>
    <w:rsid w:val="004B1494"/>
    <w:rsid w:val="004C2C6B"/>
    <w:rsid w:val="0052657E"/>
    <w:rsid w:val="0054185E"/>
    <w:rsid w:val="00573A96"/>
    <w:rsid w:val="00591A5A"/>
    <w:rsid w:val="005C409D"/>
    <w:rsid w:val="00640F90"/>
    <w:rsid w:val="006C2120"/>
    <w:rsid w:val="006D2E9D"/>
    <w:rsid w:val="006F03F5"/>
    <w:rsid w:val="00704BB0"/>
    <w:rsid w:val="00705F14"/>
    <w:rsid w:val="007067E5"/>
    <w:rsid w:val="0075007B"/>
    <w:rsid w:val="00775307"/>
    <w:rsid w:val="00787EB8"/>
    <w:rsid w:val="007911F9"/>
    <w:rsid w:val="007B2225"/>
    <w:rsid w:val="007F334D"/>
    <w:rsid w:val="00800C2F"/>
    <w:rsid w:val="00800C40"/>
    <w:rsid w:val="00800EB7"/>
    <w:rsid w:val="008012A8"/>
    <w:rsid w:val="0086221E"/>
    <w:rsid w:val="00886143"/>
    <w:rsid w:val="008A05B0"/>
    <w:rsid w:val="008D0723"/>
    <w:rsid w:val="008E27C4"/>
    <w:rsid w:val="008E5EA5"/>
    <w:rsid w:val="00924D22"/>
    <w:rsid w:val="009307D3"/>
    <w:rsid w:val="009802F6"/>
    <w:rsid w:val="00982E2D"/>
    <w:rsid w:val="009A1643"/>
    <w:rsid w:val="009A36CD"/>
    <w:rsid w:val="009C41CE"/>
    <w:rsid w:val="009F2321"/>
    <w:rsid w:val="009F5B1B"/>
    <w:rsid w:val="00AA693E"/>
    <w:rsid w:val="00AE1038"/>
    <w:rsid w:val="00B43385"/>
    <w:rsid w:val="00B526FD"/>
    <w:rsid w:val="00B62206"/>
    <w:rsid w:val="00BB6B26"/>
    <w:rsid w:val="00BC11A7"/>
    <w:rsid w:val="00BD3BF9"/>
    <w:rsid w:val="00C115BE"/>
    <w:rsid w:val="00C137CC"/>
    <w:rsid w:val="00C34ECF"/>
    <w:rsid w:val="00C3711A"/>
    <w:rsid w:val="00C6222E"/>
    <w:rsid w:val="00CA4C3A"/>
    <w:rsid w:val="00D41455"/>
    <w:rsid w:val="00DA3776"/>
    <w:rsid w:val="00E35422"/>
    <w:rsid w:val="00E37316"/>
    <w:rsid w:val="00E872E7"/>
    <w:rsid w:val="00EA71FF"/>
    <w:rsid w:val="00ED00AF"/>
    <w:rsid w:val="00EE26DA"/>
    <w:rsid w:val="00F41194"/>
    <w:rsid w:val="00F54648"/>
    <w:rsid w:val="00F83342"/>
    <w:rsid w:val="00F86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150E"/>
  <w15:chartTrackingRefBased/>
  <w15:docId w15:val="{7C8237BB-B2B1-4BD9-BF3A-E4CA3207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5B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8A05B0"/>
  </w:style>
  <w:style w:type="paragraph" w:styleId="Testonormale">
    <w:name w:val="Plain Text"/>
    <w:link w:val="TestonormaleCarattere"/>
    <w:rsid w:val="008A05B0"/>
    <w:pPr>
      <w:pBdr>
        <w:top w:val="nil"/>
        <w:left w:val="nil"/>
        <w:bottom w:val="nil"/>
        <w:right w:val="nil"/>
        <w:between w:val="nil"/>
        <w:bar w:val="nil"/>
      </w:pBdr>
      <w:tabs>
        <w:tab w:val="right" w:leader="dot" w:pos="7371"/>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TestonormaleCarattere">
    <w:name w:val="Testo normale Carattere"/>
    <w:basedOn w:val="Carpredefinitoparagrafo"/>
    <w:link w:val="Testonormale"/>
    <w:rsid w:val="008A05B0"/>
    <w:rPr>
      <w:rFonts w:ascii="Courier New" w:eastAsia="Courier New" w:hAnsi="Courier New" w:cs="Courier New"/>
      <w:color w:val="000000"/>
      <w:sz w:val="20"/>
      <w:szCs w:val="20"/>
      <w:u w:color="000000"/>
      <w:bdr w:val="nil"/>
      <w:lang w:eastAsia="it-IT"/>
    </w:rPr>
  </w:style>
  <w:style w:type="paragraph" w:styleId="Paragrafoelenco">
    <w:name w:val="List Paragraph"/>
    <w:basedOn w:val="Normale"/>
    <w:uiPriority w:val="34"/>
    <w:qFormat/>
    <w:rsid w:val="008A05B0"/>
    <w:pPr>
      <w:ind w:left="720"/>
      <w:contextualSpacing/>
    </w:pPr>
  </w:style>
  <w:style w:type="paragraph" w:styleId="Testonotaapidipagina">
    <w:name w:val="footnote text"/>
    <w:basedOn w:val="Normale"/>
    <w:link w:val="TestonotaapidipaginaCarattere"/>
    <w:uiPriority w:val="99"/>
    <w:unhideWhenUsed/>
    <w:rsid w:val="008A05B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A05B0"/>
    <w:rPr>
      <w:sz w:val="20"/>
      <w:szCs w:val="20"/>
    </w:rPr>
  </w:style>
  <w:style w:type="character" w:styleId="Rimandonotaapidipagina">
    <w:name w:val="footnote reference"/>
    <w:basedOn w:val="Carpredefinitoparagrafo"/>
    <w:uiPriority w:val="99"/>
    <w:semiHidden/>
    <w:unhideWhenUsed/>
    <w:rsid w:val="008A05B0"/>
    <w:rPr>
      <w:vertAlign w:val="superscript"/>
    </w:rPr>
  </w:style>
  <w:style w:type="paragraph" w:styleId="Corpotesto">
    <w:name w:val="Body Text"/>
    <w:basedOn w:val="Normale"/>
    <w:link w:val="CorpotestoCarattere"/>
    <w:uiPriority w:val="1"/>
    <w:qFormat/>
    <w:rsid w:val="008A05B0"/>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8A05B0"/>
    <w:rPr>
      <w:rFonts w:ascii="Arial MT" w:eastAsia="Arial MT" w:hAnsi="Arial MT" w:cs="Arial MT"/>
      <w:sz w:val="20"/>
      <w:szCs w:val="20"/>
    </w:rPr>
  </w:style>
  <w:style w:type="character" w:customStyle="1" w:styleId="Nessuno">
    <w:name w:val="Nessuno"/>
    <w:rsid w:val="008A05B0"/>
  </w:style>
  <w:style w:type="paragraph" w:styleId="Didascalia">
    <w:name w:val="caption"/>
    <w:next w:val="Normale"/>
    <w:rsid w:val="008A05B0"/>
    <w:pPr>
      <w:pBdr>
        <w:top w:val="nil"/>
        <w:left w:val="nil"/>
        <w:bottom w:val="nil"/>
        <w:right w:val="nil"/>
        <w:between w:val="nil"/>
        <w:bar w:val="nil"/>
      </w:pBdr>
      <w:spacing w:after="0" w:line="240" w:lineRule="auto"/>
    </w:pPr>
    <w:rPr>
      <w:rFonts w:ascii="Times New Roman" w:eastAsia="Times New Roman" w:hAnsi="Times New Roman" w:cs="Times New Roman"/>
      <w:b/>
      <w:bCs/>
      <w:color w:val="000000"/>
      <w:sz w:val="20"/>
      <w:szCs w:val="20"/>
      <w:u w:color="000000"/>
      <w:bdr w:val="nil"/>
      <w:lang w:eastAsia="it-IT"/>
      <w14:textOutline w14:w="0" w14:cap="flat" w14:cmpd="sng" w14:algn="ctr">
        <w14:noFill/>
        <w14:prstDash w14:val="solid"/>
        <w14:bevel/>
      </w14:textOutline>
    </w:rPr>
  </w:style>
  <w:style w:type="table" w:styleId="Grigliatabella">
    <w:name w:val="Table Grid"/>
    <w:basedOn w:val="Tabellanormale"/>
    <w:uiPriority w:val="39"/>
    <w:rsid w:val="008A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A05B0"/>
    <w:rPr>
      <w:color w:val="0563C1" w:themeColor="hyperlink"/>
      <w:u w:val="single"/>
    </w:rPr>
  </w:style>
  <w:style w:type="table" w:styleId="Tabellagriglia2-colore1">
    <w:name w:val="Grid Table 2 Accent 1"/>
    <w:basedOn w:val="Tabellanormale"/>
    <w:uiPriority w:val="47"/>
    <w:rsid w:val="00217CF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
    <w:name w:val="Grid Table 2"/>
    <w:basedOn w:val="Tabellanormale"/>
    <w:uiPriority w:val="47"/>
    <w:rsid w:val="00BD3B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2">
    <w:name w:val="Grid Table 2 Accent 2"/>
    <w:basedOn w:val="Tabellanormale"/>
    <w:uiPriority w:val="47"/>
    <w:rsid w:val="00BD3BF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Intestazione">
    <w:name w:val="header"/>
    <w:basedOn w:val="Normale"/>
    <w:link w:val="IntestazioneCarattere"/>
    <w:uiPriority w:val="99"/>
    <w:unhideWhenUsed/>
    <w:rsid w:val="008012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2A8"/>
  </w:style>
  <w:style w:type="paragraph" w:styleId="Pidipagina">
    <w:name w:val="footer"/>
    <w:basedOn w:val="Normale"/>
    <w:link w:val="PidipaginaCarattere"/>
    <w:uiPriority w:val="99"/>
    <w:unhideWhenUsed/>
    <w:rsid w:val="008012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2A8"/>
  </w:style>
  <w:style w:type="table" w:styleId="Tabellasemplice-2">
    <w:name w:val="Plain Table 2"/>
    <w:basedOn w:val="Tabellanormale"/>
    <w:uiPriority w:val="42"/>
    <w:rsid w:val="00217F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4">
    <w:name w:val="Plain Table 4"/>
    <w:basedOn w:val="Tabellanormale"/>
    <w:uiPriority w:val="44"/>
    <w:rsid w:val="00217F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italiadomani.gov.it/content/dam/sogei-ng/documenti/PNRR%20Aggiornat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umenti.camera.it/leg18/dossier/pdf/DFP28a.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019C99-185B-468C-9249-9A372B6E5F70}" type="doc">
      <dgm:prSet loTypeId="urn:microsoft.com/office/officeart/2005/8/layout/hierarchy6" loCatId="hierarchy" qsTypeId="urn:microsoft.com/office/officeart/2005/8/quickstyle/3d4" qsCatId="3D" csTypeId="urn:microsoft.com/office/officeart/2005/8/colors/accent0_2" csCatId="mainScheme" phldr="1"/>
      <dgm:spPr/>
      <dgm:t>
        <a:bodyPr/>
        <a:lstStyle/>
        <a:p>
          <a:endParaRPr lang="it-IT"/>
        </a:p>
      </dgm:t>
    </dgm:pt>
    <dgm:pt modelId="{21EF835D-FD9A-469B-9F6E-31253646C7B5}">
      <dgm:prSet phldrT="[Testo]" custT="1"/>
      <dgm:spPr/>
      <dgm:t>
        <a:bodyPr/>
        <a:lstStyle/>
        <a:p>
          <a:r>
            <a:rPr lang="it-IT" sz="1000" b="1"/>
            <a:t>PNRR  (priorità 3)</a:t>
          </a:r>
        </a:p>
        <a:p>
          <a:r>
            <a:rPr lang="it-IT" sz="1000" b="1"/>
            <a:t>"Divari di Cittadinanza"</a:t>
          </a:r>
        </a:p>
      </dgm:t>
    </dgm:pt>
    <dgm:pt modelId="{3268BD7E-3C13-431B-BE70-AEA756AD7594}" type="parTrans" cxnId="{C6A6CDFB-23C3-4DEE-99D8-215AD26D9178}">
      <dgm:prSet/>
      <dgm:spPr/>
      <dgm:t>
        <a:bodyPr/>
        <a:lstStyle/>
        <a:p>
          <a:endParaRPr lang="it-IT" sz="1000" b="1"/>
        </a:p>
      </dgm:t>
    </dgm:pt>
    <dgm:pt modelId="{B65E9768-675B-4CC0-A984-F2B6346FA489}" type="sibTrans" cxnId="{C6A6CDFB-23C3-4DEE-99D8-215AD26D9178}">
      <dgm:prSet/>
      <dgm:spPr/>
      <dgm:t>
        <a:bodyPr/>
        <a:lstStyle/>
        <a:p>
          <a:endParaRPr lang="it-IT" sz="1000" b="1"/>
        </a:p>
      </dgm:t>
    </dgm:pt>
    <dgm:pt modelId="{949DCF5A-D550-4CA9-B0A7-0BB849417B2E}">
      <dgm:prSet phldrT="[Testo]" custT="1"/>
      <dgm:spPr/>
      <dgm:t>
        <a:bodyPr lIns="36000" tIns="36000" rIns="36000" bIns="36000"/>
        <a:lstStyle/>
        <a:p>
          <a:r>
            <a:rPr lang="it-IT" sz="800" b="1" u="sng"/>
            <a:t>OBIETTIVO GENERALE</a:t>
          </a:r>
        </a:p>
        <a:p>
          <a:r>
            <a:rPr lang="it-IT" sz="800" b="0"/>
            <a:t>CONVERGENZA </a:t>
          </a:r>
        </a:p>
      </dgm:t>
    </dgm:pt>
    <dgm:pt modelId="{99A81055-A4F8-4E91-A335-A7D4166908E1}" type="parTrans" cxnId="{E7F432FA-37CB-4925-B6E4-D51A1C093338}">
      <dgm:prSet custT="1"/>
      <dgm:spPr/>
      <dgm:t>
        <a:bodyPr/>
        <a:lstStyle/>
        <a:p>
          <a:endParaRPr lang="it-IT" sz="100" b="1"/>
        </a:p>
      </dgm:t>
    </dgm:pt>
    <dgm:pt modelId="{52951179-E62C-4BD7-9319-8AC7FAC88C8A}" type="sibTrans" cxnId="{E7F432FA-37CB-4925-B6E4-D51A1C093338}">
      <dgm:prSet/>
      <dgm:spPr/>
      <dgm:t>
        <a:bodyPr/>
        <a:lstStyle/>
        <a:p>
          <a:endParaRPr lang="it-IT" sz="1000" b="1"/>
        </a:p>
      </dgm:t>
    </dgm:pt>
    <dgm:pt modelId="{EB568C1D-A8DD-496A-82D6-71EDB5BBE1CD}">
      <dgm:prSet phldrT="[Testo]" custT="1"/>
      <dgm:spPr/>
      <dgm:t>
        <a:bodyPr/>
        <a:lstStyle/>
        <a:p>
          <a:pPr algn="l"/>
          <a:r>
            <a:rPr lang="it-IT" sz="700" b="0" i="1"/>
            <a:t>1) </a:t>
          </a:r>
          <a:r>
            <a:rPr lang="it-IT" sz="700" b="0"/>
            <a:t>PIL pro capite</a:t>
          </a:r>
        </a:p>
        <a:p>
          <a:pPr algn="l"/>
          <a:r>
            <a:rPr lang="it-IT" sz="700" b="0" i="1"/>
            <a:t>2) </a:t>
          </a:r>
          <a:r>
            <a:rPr lang="it-IT" sz="700" b="0"/>
            <a:t>Istruzione</a:t>
          </a:r>
        </a:p>
        <a:p>
          <a:pPr algn="l"/>
          <a:r>
            <a:rPr lang="it-IT" sz="700" b="0" i="1"/>
            <a:t>3) </a:t>
          </a:r>
          <a:r>
            <a:rPr lang="it-IT" sz="700" b="0"/>
            <a:t>Occupazione</a:t>
          </a:r>
        </a:p>
        <a:p>
          <a:pPr algn="l"/>
          <a:r>
            <a:rPr lang="it-IT" sz="700" b="0" i="1"/>
            <a:t>4)</a:t>
          </a:r>
          <a:r>
            <a:rPr lang="it-IT" sz="700" b="0"/>
            <a:t> Emigrazione</a:t>
          </a:r>
        </a:p>
      </dgm:t>
    </dgm:pt>
    <dgm:pt modelId="{8718C530-404A-4055-A9ED-AEAD7D4323B3}" type="parTrans" cxnId="{38000BC6-0472-48B4-A75D-3524CA6BCE74}">
      <dgm:prSet custT="1"/>
      <dgm:spPr/>
      <dgm:t>
        <a:bodyPr/>
        <a:lstStyle/>
        <a:p>
          <a:endParaRPr lang="it-IT" sz="100" b="1"/>
        </a:p>
      </dgm:t>
    </dgm:pt>
    <dgm:pt modelId="{9C5FE207-67C3-47D3-8759-9BD00360438F}" type="sibTrans" cxnId="{38000BC6-0472-48B4-A75D-3524CA6BCE74}">
      <dgm:prSet/>
      <dgm:spPr/>
      <dgm:t>
        <a:bodyPr/>
        <a:lstStyle/>
        <a:p>
          <a:endParaRPr lang="it-IT" sz="1000" b="1"/>
        </a:p>
      </dgm:t>
    </dgm:pt>
    <dgm:pt modelId="{2F43723A-A408-4509-9440-FDBB17107603}">
      <dgm:prSet phldrT="[Testo]" custT="1"/>
      <dgm:spPr/>
      <dgm:t>
        <a:bodyPr/>
        <a:lstStyle/>
        <a:p>
          <a:r>
            <a:rPr lang="it-IT" sz="800" b="1" u="sng"/>
            <a:t>OBIETTIVI SPECIFICI</a:t>
          </a:r>
        </a:p>
        <a:p>
          <a:r>
            <a:rPr lang="it-IT" sz="800" b="0" u="none"/>
            <a:t>LIVELLO - QUALITA'</a:t>
          </a:r>
        </a:p>
      </dgm:t>
    </dgm:pt>
    <dgm:pt modelId="{1443439F-0394-4984-8CAA-F999B9265DDD}" type="parTrans" cxnId="{737469C1-FBF7-4DB7-A5FE-585E63790504}">
      <dgm:prSet custT="1"/>
      <dgm:spPr/>
      <dgm:t>
        <a:bodyPr/>
        <a:lstStyle/>
        <a:p>
          <a:endParaRPr lang="it-IT" sz="100" b="1"/>
        </a:p>
      </dgm:t>
    </dgm:pt>
    <dgm:pt modelId="{33D68FFD-B3E6-4950-A426-60FC230E05C5}" type="sibTrans" cxnId="{737469C1-FBF7-4DB7-A5FE-585E63790504}">
      <dgm:prSet/>
      <dgm:spPr/>
      <dgm:t>
        <a:bodyPr/>
        <a:lstStyle/>
        <a:p>
          <a:endParaRPr lang="it-IT" sz="1000" b="1"/>
        </a:p>
      </dgm:t>
    </dgm:pt>
    <dgm:pt modelId="{E9BEC845-261E-4C66-A896-F47A8C91B65C}">
      <dgm:prSet phldrT="[Testo]" custT="1"/>
      <dgm:spPr/>
      <dgm:t>
        <a:bodyPr/>
        <a:lstStyle/>
        <a:p>
          <a:pPr algn="ctr"/>
          <a:r>
            <a:rPr lang="it-IT" sz="700" b="0" i="1"/>
            <a:t>(Missioni 1 - 3)</a:t>
          </a:r>
        </a:p>
        <a:p>
          <a:pPr algn="ctr"/>
          <a:r>
            <a:rPr lang="it-IT" sz="700" b="0" i="1"/>
            <a:t>INFRASTRUTTURE</a:t>
          </a:r>
          <a:endParaRPr lang="it-IT" sz="700" b="0" i="0"/>
        </a:p>
      </dgm:t>
    </dgm:pt>
    <dgm:pt modelId="{9884B850-7F22-483C-837C-6D5AC171C7BD}" type="parTrans" cxnId="{2DD14F85-33DF-4EA5-BAB3-11EA362D749F}">
      <dgm:prSet custT="1"/>
      <dgm:spPr/>
      <dgm:t>
        <a:bodyPr/>
        <a:lstStyle/>
        <a:p>
          <a:endParaRPr lang="it-IT" sz="100" b="1"/>
        </a:p>
      </dgm:t>
    </dgm:pt>
    <dgm:pt modelId="{A0C1E81B-AF28-4B27-BCC5-818FBF407DEC}" type="sibTrans" cxnId="{2DD14F85-33DF-4EA5-BAB3-11EA362D749F}">
      <dgm:prSet/>
      <dgm:spPr/>
      <dgm:t>
        <a:bodyPr/>
        <a:lstStyle/>
        <a:p>
          <a:endParaRPr lang="it-IT" sz="1000" b="1"/>
        </a:p>
      </dgm:t>
    </dgm:pt>
    <dgm:pt modelId="{BEC993A9-44C7-4C75-89CD-EF80E02168D3}">
      <dgm:prSet custT="1"/>
      <dgm:spPr/>
      <dgm:t>
        <a:bodyPr/>
        <a:lstStyle/>
        <a:p>
          <a:pPr algn="ctr"/>
          <a:r>
            <a:rPr lang="it-IT" sz="700" b="0" i="1"/>
            <a:t>(Missioni 4 - 6)</a:t>
          </a:r>
        </a:p>
        <a:p>
          <a:pPr algn="ctr"/>
          <a:r>
            <a:rPr lang="it-IT" sz="700" b="0" i="1"/>
            <a:t>SERVIZI ALLE PERSONE</a:t>
          </a:r>
          <a:endParaRPr lang="it-IT" sz="700" b="0" i="0"/>
        </a:p>
      </dgm:t>
    </dgm:pt>
    <dgm:pt modelId="{092D6421-17E2-453E-9474-550412F5A4E2}" type="parTrans" cxnId="{6E0CE984-CD39-448A-A1A6-7D4CCD8B4ACF}">
      <dgm:prSet custT="1"/>
      <dgm:spPr/>
      <dgm:t>
        <a:bodyPr/>
        <a:lstStyle/>
        <a:p>
          <a:endParaRPr lang="it-IT" sz="100" b="1"/>
        </a:p>
      </dgm:t>
    </dgm:pt>
    <dgm:pt modelId="{A509F8F3-520C-4300-A0A0-30D44EAE1EFC}" type="sibTrans" cxnId="{6E0CE984-CD39-448A-A1A6-7D4CCD8B4ACF}">
      <dgm:prSet/>
      <dgm:spPr/>
      <dgm:t>
        <a:bodyPr/>
        <a:lstStyle/>
        <a:p>
          <a:endParaRPr lang="it-IT" sz="1000" b="1"/>
        </a:p>
      </dgm:t>
    </dgm:pt>
    <dgm:pt modelId="{706A5FF2-D5F6-4B7B-B482-A6903005ED16}">
      <dgm:prSet custT="1"/>
      <dgm:spPr/>
      <dgm:t>
        <a:bodyPr/>
        <a:lstStyle/>
        <a:p>
          <a:r>
            <a:rPr lang="it-IT" sz="700" b="0" i="1"/>
            <a:t>5) </a:t>
          </a:r>
          <a:r>
            <a:rPr lang="it-IT" sz="700" b="0" i="0"/>
            <a:t>reti digitali</a:t>
          </a:r>
          <a:endParaRPr lang="it-IT" sz="700"/>
        </a:p>
      </dgm:t>
    </dgm:pt>
    <dgm:pt modelId="{96482E9E-C683-4AEC-90B3-18766C25E0CC}" type="parTrans" cxnId="{6775CE2C-5E53-4A6D-B67A-51DCB7D81EA2}">
      <dgm:prSet/>
      <dgm:spPr/>
      <dgm:t>
        <a:bodyPr/>
        <a:lstStyle/>
        <a:p>
          <a:endParaRPr lang="it-IT"/>
        </a:p>
      </dgm:t>
    </dgm:pt>
    <dgm:pt modelId="{0F1E13DE-0CC6-4455-B16D-6EC0DA6E3420}" type="sibTrans" cxnId="{6775CE2C-5E53-4A6D-B67A-51DCB7D81EA2}">
      <dgm:prSet/>
      <dgm:spPr/>
      <dgm:t>
        <a:bodyPr/>
        <a:lstStyle/>
        <a:p>
          <a:endParaRPr lang="it-IT"/>
        </a:p>
      </dgm:t>
    </dgm:pt>
    <dgm:pt modelId="{7178B0B2-B509-4BC3-9FC5-CF30D1003070}">
      <dgm:prSet custT="1"/>
      <dgm:spPr/>
      <dgm:t>
        <a:bodyPr/>
        <a:lstStyle/>
        <a:p>
          <a:r>
            <a:rPr lang="it-IT" sz="700" b="0" i="1"/>
            <a:t>6) </a:t>
          </a:r>
          <a:r>
            <a:rPr lang="it-IT" sz="700" b="0" i="0"/>
            <a:t>reti idriche</a:t>
          </a:r>
          <a:endParaRPr lang="it-IT" sz="700"/>
        </a:p>
      </dgm:t>
    </dgm:pt>
    <dgm:pt modelId="{FE0B9BCA-E1AF-4DE5-A1C2-857B271CD9F6}" type="parTrans" cxnId="{E3842959-AD1E-4A19-910F-DE592D300E31}">
      <dgm:prSet/>
      <dgm:spPr/>
      <dgm:t>
        <a:bodyPr/>
        <a:lstStyle/>
        <a:p>
          <a:endParaRPr lang="it-IT"/>
        </a:p>
      </dgm:t>
    </dgm:pt>
    <dgm:pt modelId="{A29ADDD5-2D7B-4F0C-8349-79C5A440D779}" type="sibTrans" cxnId="{E3842959-AD1E-4A19-910F-DE592D300E31}">
      <dgm:prSet/>
      <dgm:spPr/>
      <dgm:t>
        <a:bodyPr/>
        <a:lstStyle/>
        <a:p>
          <a:endParaRPr lang="it-IT"/>
        </a:p>
      </dgm:t>
    </dgm:pt>
    <dgm:pt modelId="{E440BD4A-5868-4028-90E0-2496ED9E4DEE}">
      <dgm:prSet custT="1"/>
      <dgm:spPr/>
      <dgm:t>
        <a:bodyPr/>
        <a:lstStyle/>
        <a:p>
          <a:r>
            <a:rPr lang="it-IT" sz="700" b="0" i="1"/>
            <a:t>7)</a:t>
          </a:r>
          <a:r>
            <a:rPr lang="it-IT" sz="700" b="0" i="0"/>
            <a:t> rete ferroviaria</a:t>
          </a:r>
          <a:endParaRPr lang="it-IT" sz="700"/>
        </a:p>
      </dgm:t>
    </dgm:pt>
    <dgm:pt modelId="{AFFCA036-CFE4-4457-A2FA-F4641D229564}" type="parTrans" cxnId="{CB6E8824-CA70-4809-94C6-0E12A7FD7A59}">
      <dgm:prSet/>
      <dgm:spPr/>
      <dgm:t>
        <a:bodyPr/>
        <a:lstStyle/>
        <a:p>
          <a:endParaRPr lang="it-IT"/>
        </a:p>
      </dgm:t>
    </dgm:pt>
    <dgm:pt modelId="{F0E761AF-3C92-4856-A076-A5080946D826}" type="sibTrans" cxnId="{CB6E8824-CA70-4809-94C6-0E12A7FD7A59}">
      <dgm:prSet/>
      <dgm:spPr/>
      <dgm:t>
        <a:bodyPr/>
        <a:lstStyle/>
        <a:p>
          <a:endParaRPr lang="it-IT"/>
        </a:p>
      </dgm:t>
    </dgm:pt>
    <dgm:pt modelId="{2424AF3F-8B4F-4E57-8CB5-A55682E7809E}">
      <dgm:prSet custT="1"/>
      <dgm:spPr/>
      <dgm:t>
        <a:bodyPr/>
        <a:lstStyle/>
        <a:p>
          <a:r>
            <a:rPr lang="it-IT" sz="700" b="0" i="0"/>
            <a:t>8) Competenze degli studenti</a:t>
          </a:r>
          <a:endParaRPr lang="it-IT" sz="700"/>
        </a:p>
      </dgm:t>
    </dgm:pt>
    <dgm:pt modelId="{9D590251-20E9-4B96-9A92-BF7559A394D6}" type="parTrans" cxnId="{E80AC591-D131-4E5E-9AEF-083BFD7BFC30}">
      <dgm:prSet/>
      <dgm:spPr/>
      <dgm:t>
        <a:bodyPr/>
        <a:lstStyle/>
        <a:p>
          <a:endParaRPr lang="it-IT"/>
        </a:p>
      </dgm:t>
    </dgm:pt>
    <dgm:pt modelId="{27E2BBDF-9E45-400E-8562-4960F8EB71D1}" type="sibTrans" cxnId="{E80AC591-D131-4E5E-9AEF-083BFD7BFC30}">
      <dgm:prSet/>
      <dgm:spPr/>
      <dgm:t>
        <a:bodyPr/>
        <a:lstStyle/>
        <a:p>
          <a:endParaRPr lang="it-IT"/>
        </a:p>
      </dgm:t>
    </dgm:pt>
    <dgm:pt modelId="{2C873A3B-B1BF-440A-A861-EC84FB6DA54C}">
      <dgm:prSet custT="1"/>
      <dgm:spPr/>
      <dgm:t>
        <a:bodyPr/>
        <a:lstStyle/>
        <a:p>
          <a:r>
            <a:rPr lang="it-IT" sz="700" b="0" i="0"/>
            <a:t>9) Servizi socio-educativi</a:t>
          </a:r>
          <a:endParaRPr lang="it-IT" sz="700"/>
        </a:p>
      </dgm:t>
    </dgm:pt>
    <dgm:pt modelId="{F7120E53-2C90-4A49-895B-D7B44383558D}" type="parTrans" cxnId="{D7CB8E22-38F1-4229-A62E-CE5A83C6D921}">
      <dgm:prSet/>
      <dgm:spPr/>
      <dgm:t>
        <a:bodyPr/>
        <a:lstStyle/>
        <a:p>
          <a:endParaRPr lang="it-IT"/>
        </a:p>
      </dgm:t>
    </dgm:pt>
    <dgm:pt modelId="{CA9DDB77-656F-4A77-90BC-CE61AA441C44}" type="sibTrans" cxnId="{D7CB8E22-38F1-4229-A62E-CE5A83C6D921}">
      <dgm:prSet/>
      <dgm:spPr/>
      <dgm:t>
        <a:bodyPr/>
        <a:lstStyle/>
        <a:p>
          <a:endParaRPr lang="it-IT"/>
        </a:p>
      </dgm:t>
    </dgm:pt>
    <dgm:pt modelId="{0041D301-19DC-4CE0-A32D-2F027DB8FB44}">
      <dgm:prSet/>
      <dgm:spPr/>
      <dgm:t>
        <a:bodyPr/>
        <a:lstStyle/>
        <a:p>
          <a:r>
            <a:rPr lang="it-IT" b="0" i="0"/>
            <a:t>10) Emigrazione  Ospedaliera</a:t>
          </a:r>
          <a:endParaRPr lang="it-IT"/>
        </a:p>
      </dgm:t>
    </dgm:pt>
    <dgm:pt modelId="{1BAA82CC-F6AE-490F-ADB0-85506F95D44A}" type="parTrans" cxnId="{70AE45B1-15DF-4FB6-8801-40DE322B36A9}">
      <dgm:prSet/>
      <dgm:spPr/>
      <dgm:t>
        <a:bodyPr/>
        <a:lstStyle/>
        <a:p>
          <a:endParaRPr lang="it-IT"/>
        </a:p>
      </dgm:t>
    </dgm:pt>
    <dgm:pt modelId="{7D39048E-3CBD-4317-81E4-A473F940F422}" type="sibTrans" cxnId="{70AE45B1-15DF-4FB6-8801-40DE322B36A9}">
      <dgm:prSet/>
      <dgm:spPr/>
      <dgm:t>
        <a:bodyPr/>
        <a:lstStyle/>
        <a:p>
          <a:endParaRPr lang="it-IT"/>
        </a:p>
      </dgm:t>
    </dgm:pt>
    <dgm:pt modelId="{4CF9D6D6-8B2F-45ED-8CAF-28E0E6D39DCC}" type="pres">
      <dgm:prSet presAssocID="{54019C99-185B-468C-9249-9A372B6E5F70}" presName="mainComposite" presStyleCnt="0">
        <dgm:presLayoutVars>
          <dgm:chPref val="1"/>
          <dgm:dir/>
          <dgm:animOne val="branch"/>
          <dgm:animLvl val="lvl"/>
          <dgm:resizeHandles val="exact"/>
        </dgm:presLayoutVars>
      </dgm:prSet>
      <dgm:spPr/>
    </dgm:pt>
    <dgm:pt modelId="{E1F89296-FC22-4D25-A2E8-F3B482CF3981}" type="pres">
      <dgm:prSet presAssocID="{54019C99-185B-468C-9249-9A372B6E5F70}" presName="hierFlow" presStyleCnt="0"/>
      <dgm:spPr/>
    </dgm:pt>
    <dgm:pt modelId="{D008BC5F-6622-4D13-A718-FA7D6C61E68B}" type="pres">
      <dgm:prSet presAssocID="{54019C99-185B-468C-9249-9A372B6E5F70}" presName="hierChild1" presStyleCnt="0">
        <dgm:presLayoutVars>
          <dgm:chPref val="1"/>
          <dgm:animOne val="branch"/>
          <dgm:animLvl val="lvl"/>
        </dgm:presLayoutVars>
      </dgm:prSet>
      <dgm:spPr/>
    </dgm:pt>
    <dgm:pt modelId="{CAFEDF20-86E1-4023-BC3E-270FA977EF8B}" type="pres">
      <dgm:prSet presAssocID="{21EF835D-FD9A-469B-9F6E-31253646C7B5}" presName="Name14" presStyleCnt="0"/>
      <dgm:spPr/>
    </dgm:pt>
    <dgm:pt modelId="{82FDCA34-0F65-4D14-8C17-7503646DA678}" type="pres">
      <dgm:prSet presAssocID="{21EF835D-FD9A-469B-9F6E-31253646C7B5}" presName="level1Shape" presStyleLbl="node0" presStyleIdx="0" presStyleCnt="1" custScaleX="354723" custScaleY="174171">
        <dgm:presLayoutVars>
          <dgm:chPref val="3"/>
        </dgm:presLayoutVars>
      </dgm:prSet>
      <dgm:spPr/>
    </dgm:pt>
    <dgm:pt modelId="{D321C2DF-1CDD-4DFD-98C2-9E00E91DD426}" type="pres">
      <dgm:prSet presAssocID="{21EF835D-FD9A-469B-9F6E-31253646C7B5}" presName="hierChild2" presStyleCnt="0"/>
      <dgm:spPr/>
    </dgm:pt>
    <dgm:pt modelId="{8EA9CB0C-8743-41D6-8BE1-949BB29FAB00}" type="pres">
      <dgm:prSet presAssocID="{99A81055-A4F8-4E91-A335-A7D4166908E1}" presName="Name19" presStyleLbl="parChTrans1D2" presStyleIdx="0" presStyleCnt="2"/>
      <dgm:spPr/>
    </dgm:pt>
    <dgm:pt modelId="{958640FE-3D3D-4308-8042-A7ED6D46670F}" type="pres">
      <dgm:prSet presAssocID="{949DCF5A-D550-4CA9-B0A7-0BB849417B2E}" presName="Name21" presStyleCnt="0"/>
      <dgm:spPr/>
    </dgm:pt>
    <dgm:pt modelId="{E2A29AD2-5503-400A-B710-EA423EB27951}" type="pres">
      <dgm:prSet presAssocID="{949DCF5A-D550-4CA9-B0A7-0BB849417B2E}" presName="level2Shape" presStyleLbl="node2" presStyleIdx="0" presStyleCnt="2" custScaleX="283016" custScaleY="167059" custLinFactNeighborX="-430" custLinFactNeighborY="-1579"/>
      <dgm:spPr/>
    </dgm:pt>
    <dgm:pt modelId="{446CD6B1-4D04-48FD-BC34-5AF5F51948C2}" type="pres">
      <dgm:prSet presAssocID="{949DCF5A-D550-4CA9-B0A7-0BB849417B2E}" presName="hierChild3" presStyleCnt="0"/>
      <dgm:spPr/>
    </dgm:pt>
    <dgm:pt modelId="{EDB00926-2671-48F1-BD76-935B3E47EFFD}" type="pres">
      <dgm:prSet presAssocID="{8718C530-404A-4055-A9ED-AEAD7D4323B3}" presName="Name19" presStyleLbl="parChTrans1D3" presStyleIdx="0" presStyleCnt="3"/>
      <dgm:spPr/>
    </dgm:pt>
    <dgm:pt modelId="{850C2597-2BCD-4C62-B496-5EAEBBADD2C2}" type="pres">
      <dgm:prSet presAssocID="{EB568C1D-A8DD-496A-82D6-71EDB5BBE1CD}" presName="Name21" presStyleCnt="0"/>
      <dgm:spPr/>
    </dgm:pt>
    <dgm:pt modelId="{FCCC37EA-5599-4245-AF58-BFADC44E9B3A}" type="pres">
      <dgm:prSet presAssocID="{EB568C1D-A8DD-496A-82D6-71EDB5BBE1CD}" presName="level2Shape" presStyleLbl="node3" presStyleIdx="0" presStyleCnt="3" custScaleX="205983" custScaleY="253299"/>
      <dgm:spPr/>
    </dgm:pt>
    <dgm:pt modelId="{87064CA9-7DF5-4D7F-833B-A15379B247F3}" type="pres">
      <dgm:prSet presAssocID="{EB568C1D-A8DD-496A-82D6-71EDB5BBE1CD}" presName="hierChild3" presStyleCnt="0"/>
      <dgm:spPr/>
    </dgm:pt>
    <dgm:pt modelId="{661BDBC2-F808-4DFC-9F18-C0B5956B463F}" type="pres">
      <dgm:prSet presAssocID="{1443439F-0394-4984-8CAA-F999B9265DDD}" presName="Name19" presStyleLbl="parChTrans1D2" presStyleIdx="1" presStyleCnt="2"/>
      <dgm:spPr/>
    </dgm:pt>
    <dgm:pt modelId="{1AD33AEB-AABC-4A56-BF29-4344889918A8}" type="pres">
      <dgm:prSet presAssocID="{2F43723A-A408-4509-9440-FDBB17107603}" presName="Name21" presStyleCnt="0"/>
      <dgm:spPr/>
    </dgm:pt>
    <dgm:pt modelId="{B87F0A41-EA76-4FE3-93E9-D04EAF909CAF}" type="pres">
      <dgm:prSet presAssocID="{2F43723A-A408-4509-9440-FDBB17107603}" presName="level2Shape" presStyleLbl="node2" presStyleIdx="1" presStyleCnt="2" custScaleX="283016" custScaleY="167575"/>
      <dgm:spPr/>
    </dgm:pt>
    <dgm:pt modelId="{4A4537D9-4024-4387-B0EC-3A719E264B03}" type="pres">
      <dgm:prSet presAssocID="{2F43723A-A408-4509-9440-FDBB17107603}" presName="hierChild3" presStyleCnt="0"/>
      <dgm:spPr/>
    </dgm:pt>
    <dgm:pt modelId="{9E33D71A-7CE0-4D90-83F1-6DF89B853397}" type="pres">
      <dgm:prSet presAssocID="{9884B850-7F22-483C-837C-6D5AC171C7BD}" presName="Name19" presStyleLbl="parChTrans1D3" presStyleIdx="1" presStyleCnt="3"/>
      <dgm:spPr/>
    </dgm:pt>
    <dgm:pt modelId="{8B041356-F546-4CBF-9002-923B6DA179E1}" type="pres">
      <dgm:prSet presAssocID="{E9BEC845-261E-4C66-A896-F47A8C91B65C}" presName="Name21" presStyleCnt="0"/>
      <dgm:spPr/>
    </dgm:pt>
    <dgm:pt modelId="{27D0148D-637C-42AE-9493-0F3320AD4A9B}" type="pres">
      <dgm:prSet presAssocID="{E9BEC845-261E-4C66-A896-F47A8C91B65C}" presName="level2Shape" presStyleLbl="node3" presStyleIdx="1" presStyleCnt="3" custScaleX="211083" custScaleY="116813"/>
      <dgm:spPr/>
    </dgm:pt>
    <dgm:pt modelId="{6FC0C3F5-33F9-4D5F-84A3-BD03021DE3B8}" type="pres">
      <dgm:prSet presAssocID="{E9BEC845-261E-4C66-A896-F47A8C91B65C}" presName="hierChild3" presStyleCnt="0"/>
      <dgm:spPr/>
    </dgm:pt>
    <dgm:pt modelId="{F777393E-8D06-4909-A334-06916DD1A2B9}" type="pres">
      <dgm:prSet presAssocID="{96482E9E-C683-4AEC-90B3-18766C25E0CC}" presName="Name19" presStyleLbl="parChTrans1D4" presStyleIdx="0" presStyleCnt="6"/>
      <dgm:spPr/>
    </dgm:pt>
    <dgm:pt modelId="{A5F9E9DE-213D-4E14-BBF5-5A7162DDBD8F}" type="pres">
      <dgm:prSet presAssocID="{706A5FF2-D5F6-4B7B-B482-A6903005ED16}" presName="Name21" presStyleCnt="0"/>
      <dgm:spPr/>
    </dgm:pt>
    <dgm:pt modelId="{C5A8DE17-9DFC-4DB2-BDB8-8DA35B6E1C73}" type="pres">
      <dgm:prSet presAssocID="{706A5FF2-D5F6-4B7B-B482-A6903005ED16}" presName="level2Shape" presStyleLbl="node4" presStyleIdx="0" presStyleCnt="6" custScaleX="139673" custScaleY="104151"/>
      <dgm:spPr/>
    </dgm:pt>
    <dgm:pt modelId="{E76F2BAA-9AA4-4CEB-9BDA-714F1F888BDD}" type="pres">
      <dgm:prSet presAssocID="{706A5FF2-D5F6-4B7B-B482-A6903005ED16}" presName="hierChild3" presStyleCnt="0"/>
      <dgm:spPr/>
    </dgm:pt>
    <dgm:pt modelId="{21EEB169-55C6-4734-88A0-C2EC81CD656B}" type="pres">
      <dgm:prSet presAssocID="{FE0B9BCA-E1AF-4DE5-A1C2-857B271CD9F6}" presName="Name19" presStyleLbl="parChTrans1D4" presStyleIdx="1" presStyleCnt="6"/>
      <dgm:spPr/>
    </dgm:pt>
    <dgm:pt modelId="{3F622D3A-344E-4C1E-9F04-1CE1FA0FBEA1}" type="pres">
      <dgm:prSet presAssocID="{7178B0B2-B509-4BC3-9FC5-CF30D1003070}" presName="Name21" presStyleCnt="0"/>
      <dgm:spPr/>
    </dgm:pt>
    <dgm:pt modelId="{2250B2CC-00CD-4807-8250-B61123C4A0A6}" type="pres">
      <dgm:prSet presAssocID="{7178B0B2-B509-4BC3-9FC5-CF30D1003070}" presName="level2Shape" presStyleLbl="node4" presStyleIdx="1" presStyleCnt="6" custScaleX="138068" custScaleY="102500"/>
      <dgm:spPr/>
    </dgm:pt>
    <dgm:pt modelId="{D4A1F2D2-6DDC-4D06-846B-90C735D8531E}" type="pres">
      <dgm:prSet presAssocID="{7178B0B2-B509-4BC3-9FC5-CF30D1003070}" presName="hierChild3" presStyleCnt="0"/>
      <dgm:spPr/>
    </dgm:pt>
    <dgm:pt modelId="{3B20BB5F-E621-4978-9E8C-ABB1E795D4BE}" type="pres">
      <dgm:prSet presAssocID="{AFFCA036-CFE4-4457-A2FA-F4641D229564}" presName="Name19" presStyleLbl="parChTrans1D4" presStyleIdx="2" presStyleCnt="6"/>
      <dgm:spPr/>
    </dgm:pt>
    <dgm:pt modelId="{4A12CE0E-F9BA-40C1-BE1C-C1B6FF6BAF1A}" type="pres">
      <dgm:prSet presAssocID="{E440BD4A-5868-4028-90E0-2496ED9E4DEE}" presName="Name21" presStyleCnt="0"/>
      <dgm:spPr/>
    </dgm:pt>
    <dgm:pt modelId="{434F414C-8BC0-4117-86A8-61F0F25FD116}" type="pres">
      <dgm:prSet presAssocID="{E440BD4A-5868-4028-90E0-2496ED9E4DEE}" presName="level2Shape" presStyleLbl="node4" presStyleIdx="2" presStyleCnt="6" custScaleX="139291" custScaleY="103551"/>
      <dgm:spPr/>
    </dgm:pt>
    <dgm:pt modelId="{5DD799E6-AF41-4FEA-AEAE-E553EBE390B1}" type="pres">
      <dgm:prSet presAssocID="{E440BD4A-5868-4028-90E0-2496ED9E4DEE}" presName="hierChild3" presStyleCnt="0"/>
      <dgm:spPr/>
    </dgm:pt>
    <dgm:pt modelId="{46D1C49E-C9F7-4F70-AED9-5BAD55CD11BA}" type="pres">
      <dgm:prSet presAssocID="{092D6421-17E2-453E-9474-550412F5A4E2}" presName="Name19" presStyleLbl="parChTrans1D3" presStyleIdx="2" presStyleCnt="3"/>
      <dgm:spPr/>
    </dgm:pt>
    <dgm:pt modelId="{3F2A0EBC-FF29-4658-8145-07A0B495BA12}" type="pres">
      <dgm:prSet presAssocID="{BEC993A9-44C7-4C75-89CD-EF80E02168D3}" presName="Name21" presStyleCnt="0"/>
      <dgm:spPr/>
    </dgm:pt>
    <dgm:pt modelId="{ACCFF950-8FFE-494A-9BED-4896E066A3AC}" type="pres">
      <dgm:prSet presAssocID="{BEC993A9-44C7-4C75-89CD-EF80E02168D3}" presName="level2Shape" presStyleLbl="node3" presStyleIdx="2" presStyleCnt="3" custScaleX="211083" custScaleY="116813" custLinFactNeighborX="451" custLinFactNeighborY="-7961"/>
      <dgm:spPr/>
    </dgm:pt>
    <dgm:pt modelId="{258163BE-D875-491A-BC95-68B32A3B128E}" type="pres">
      <dgm:prSet presAssocID="{BEC993A9-44C7-4C75-89CD-EF80E02168D3}" presName="hierChild3" presStyleCnt="0"/>
      <dgm:spPr/>
    </dgm:pt>
    <dgm:pt modelId="{286996C6-D970-437B-83C0-BC6E160ED4A6}" type="pres">
      <dgm:prSet presAssocID="{9D590251-20E9-4B96-9A92-BF7559A394D6}" presName="Name19" presStyleLbl="parChTrans1D4" presStyleIdx="3" presStyleCnt="6"/>
      <dgm:spPr/>
    </dgm:pt>
    <dgm:pt modelId="{BE6949CE-0377-4C59-8140-06066802D719}" type="pres">
      <dgm:prSet presAssocID="{2424AF3F-8B4F-4E57-8CB5-A55682E7809E}" presName="Name21" presStyleCnt="0"/>
      <dgm:spPr/>
    </dgm:pt>
    <dgm:pt modelId="{372D2D83-C554-4F29-BD81-314FE3BC2326}" type="pres">
      <dgm:prSet presAssocID="{2424AF3F-8B4F-4E57-8CB5-A55682E7809E}" presName="level2Shape" presStyleLbl="node4" presStyleIdx="3" presStyleCnt="6" custScaleX="140537" custScaleY="104468"/>
      <dgm:spPr/>
    </dgm:pt>
    <dgm:pt modelId="{1D71CA0B-A70D-4330-942C-4373BB353810}" type="pres">
      <dgm:prSet presAssocID="{2424AF3F-8B4F-4E57-8CB5-A55682E7809E}" presName="hierChild3" presStyleCnt="0"/>
      <dgm:spPr/>
    </dgm:pt>
    <dgm:pt modelId="{E524F38F-B23E-4195-A0CE-6EC483DE4D12}" type="pres">
      <dgm:prSet presAssocID="{F7120E53-2C90-4A49-895B-D7B44383558D}" presName="Name19" presStyleLbl="parChTrans1D4" presStyleIdx="4" presStyleCnt="6"/>
      <dgm:spPr/>
    </dgm:pt>
    <dgm:pt modelId="{4EC2E39E-59C0-4DEB-830B-DE56B58C899E}" type="pres">
      <dgm:prSet presAssocID="{2C873A3B-B1BF-440A-A861-EC84FB6DA54C}" presName="Name21" presStyleCnt="0"/>
      <dgm:spPr/>
    </dgm:pt>
    <dgm:pt modelId="{1ECA888C-9E72-44B0-8C64-FF425D5C20B4}" type="pres">
      <dgm:prSet presAssocID="{2C873A3B-B1BF-440A-A861-EC84FB6DA54C}" presName="level2Shape" presStyleLbl="node4" presStyleIdx="4" presStyleCnt="6" custScaleX="141380" custScaleY="105403"/>
      <dgm:spPr/>
    </dgm:pt>
    <dgm:pt modelId="{32B715E6-0222-4CFB-9302-57B45EFC822E}" type="pres">
      <dgm:prSet presAssocID="{2C873A3B-B1BF-440A-A861-EC84FB6DA54C}" presName="hierChild3" presStyleCnt="0"/>
      <dgm:spPr/>
    </dgm:pt>
    <dgm:pt modelId="{F77B2802-20CD-451B-A499-08D4D256E8EB}" type="pres">
      <dgm:prSet presAssocID="{1BAA82CC-F6AE-490F-ADB0-85506F95D44A}" presName="Name19" presStyleLbl="parChTrans1D4" presStyleIdx="5" presStyleCnt="6"/>
      <dgm:spPr/>
    </dgm:pt>
    <dgm:pt modelId="{DC6AACDC-AE69-47C2-945D-32C8A9D74282}" type="pres">
      <dgm:prSet presAssocID="{0041D301-19DC-4CE0-A32D-2F027DB8FB44}" presName="Name21" presStyleCnt="0"/>
      <dgm:spPr/>
    </dgm:pt>
    <dgm:pt modelId="{6485669E-2842-4D0D-B203-413F20C80677}" type="pres">
      <dgm:prSet presAssocID="{0041D301-19DC-4CE0-A32D-2F027DB8FB44}" presName="level2Shape" presStyleLbl="node4" presStyleIdx="5" presStyleCnt="6" custScaleX="141592" custScaleY="106194"/>
      <dgm:spPr/>
    </dgm:pt>
    <dgm:pt modelId="{B385989E-A28E-4442-9921-6FE82FDA863A}" type="pres">
      <dgm:prSet presAssocID="{0041D301-19DC-4CE0-A32D-2F027DB8FB44}" presName="hierChild3" presStyleCnt="0"/>
      <dgm:spPr/>
    </dgm:pt>
    <dgm:pt modelId="{8F8EB30D-50DD-496C-8370-5FF21AE8EB2D}" type="pres">
      <dgm:prSet presAssocID="{54019C99-185B-468C-9249-9A372B6E5F70}" presName="bgShapesFlow" presStyleCnt="0"/>
      <dgm:spPr/>
    </dgm:pt>
  </dgm:ptLst>
  <dgm:cxnLst>
    <dgm:cxn modelId="{78CFDD0E-9E91-4160-A2C6-87C1839CDDC0}" type="presOf" srcId="{2C873A3B-B1BF-440A-A861-EC84FB6DA54C}" destId="{1ECA888C-9E72-44B0-8C64-FF425D5C20B4}" srcOrd="0" destOrd="0" presId="urn:microsoft.com/office/officeart/2005/8/layout/hierarchy6"/>
    <dgm:cxn modelId="{17A6C410-C99D-4961-999A-9E29B5AB237E}" type="presOf" srcId="{0041D301-19DC-4CE0-A32D-2F027DB8FB44}" destId="{6485669E-2842-4D0D-B203-413F20C80677}" srcOrd="0" destOrd="0" presId="urn:microsoft.com/office/officeart/2005/8/layout/hierarchy6"/>
    <dgm:cxn modelId="{D7CB8E22-38F1-4229-A62E-CE5A83C6D921}" srcId="{BEC993A9-44C7-4C75-89CD-EF80E02168D3}" destId="{2C873A3B-B1BF-440A-A861-EC84FB6DA54C}" srcOrd="1" destOrd="0" parTransId="{F7120E53-2C90-4A49-895B-D7B44383558D}" sibTransId="{CA9DDB77-656F-4A77-90BC-CE61AA441C44}"/>
    <dgm:cxn modelId="{B256F222-D32F-4D80-94E3-86374F56F85F}" type="presOf" srcId="{706A5FF2-D5F6-4B7B-B482-A6903005ED16}" destId="{C5A8DE17-9DFC-4DB2-BDB8-8DA35B6E1C73}" srcOrd="0" destOrd="0" presId="urn:microsoft.com/office/officeart/2005/8/layout/hierarchy6"/>
    <dgm:cxn modelId="{00E38523-90DB-4113-8F37-D76D96144361}" type="presOf" srcId="{E9BEC845-261E-4C66-A896-F47A8C91B65C}" destId="{27D0148D-637C-42AE-9493-0F3320AD4A9B}" srcOrd="0" destOrd="0" presId="urn:microsoft.com/office/officeart/2005/8/layout/hierarchy6"/>
    <dgm:cxn modelId="{CB6E8824-CA70-4809-94C6-0E12A7FD7A59}" srcId="{E9BEC845-261E-4C66-A896-F47A8C91B65C}" destId="{E440BD4A-5868-4028-90E0-2496ED9E4DEE}" srcOrd="2" destOrd="0" parTransId="{AFFCA036-CFE4-4457-A2FA-F4641D229564}" sibTransId="{F0E761AF-3C92-4856-A076-A5080946D826}"/>
    <dgm:cxn modelId="{336A2E29-28FA-4294-894C-E26AEB23B834}" type="presOf" srcId="{8718C530-404A-4055-A9ED-AEAD7D4323B3}" destId="{EDB00926-2671-48F1-BD76-935B3E47EFFD}" srcOrd="0" destOrd="0" presId="urn:microsoft.com/office/officeart/2005/8/layout/hierarchy6"/>
    <dgm:cxn modelId="{37A1472A-66F9-424F-BD25-B7D68CF7CCA3}" type="presOf" srcId="{F7120E53-2C90-4A49-895B-D7B44383558D}" destId="{E524F38F-B23E-4195-A0CE-6EC483DE4D12}" srcOrd="0" destOrd="0" presId="urn:microsoft.com/office/officeart/2005/8/layout/hierarchy6"/>
    <dgm:cxn modelId="{6775CE2C-5E53-4A6D-B67A-51DCB7D81EA2}" srcId="{E9BEC845-261E-4C66-A896-F47A8C91B65C}" destId="{706A5FF2-D5F6-4B7B-B482-A6903005ED16}" srcOrd="0" destOrd="0" parTransId="{96482E9E-C683-4AEC-90B3-18766C25E0CC}" sibTransId="{0F1E13DE-0CC6-4455-B16D-6EC0DA6E3420}"/>
    <dgm:cxn modelId="{23A98C2D-2A87-4033-9CAC-CCE9C42D24B7}" type="presOf" srcId="{7178B0B2-B509-4BC3-9FC5-CF30D1003070}" destId="{2250B2CC-00CD-4807-8250-B61123C4A0A6}" srcOrd="0" destOrd="0" presId="urn:microsoft.com/office/officeart/2005/8/layout/hierarchy6"/>
    <dgm:cxn modelId="{03C24B39-F853-40AC-930D-1766497021C6}" type="presOf" srcId="{949DCF5A-D550-4CA9-B0A7-0BB849417B2E}" destId="{E2A29AD2-5503-400A-B710-EA423EB27951}" srcOrd="0" destOrd="0" presId="urn:microsoft.com/office/officeart/2005/8/layout/hierarchy6"/>
    <dgm:cxn modelId="{76A84C60-9AFB-4A52-9FA8-55E8D7E94688}" type="presOf" srcId="{2F43723A-A408-4509-9440-FDBB17107603}" destId="{B87F0A41-EA76-4FE3-93E9-D04EAF909CAF}" srcOrd="0" destOrd="0" presId="urn:microsoft.com/office/officeart/2005/8/layout/hierarchy6"/>
    <dgm:cxn modelId="{03F63D43-9556-45D4-BDF2-82F875952666}" type="presOf" srcId="{21EF835D-FD9A-469B-9F6E-31253646C7B5}" destId="{82FDCA34-0F65-4D14-8C17-7503646DA678}" srcOrd="0" destOrd="0" presId="urn:microsoft.com/office/officeart/2005/8/layout/hierarchy6"/>
    <dgm:cxn modelId="{1D775345-9AA2-455B-B308-8AD8A42845A2}" type="presOf" srcId="{96482E9E-C683-4AEC-90B3-18766C25E0CC}" destId="{F777393E-8D06-4909-A334-06916DD1A2B9}" srcOrd="0" destOrd="0" presId="urn:microsoft.com/office/officeart/2005/8/layout/hierarchy6"/>
    <dgm:cxn modelId="{E376BD4C-ED51-4B8F-9DB1-4B515BDE1747}" type="presOf" srcId="{2424AF3F-8B4F-4E57-8CB5-A55682E7809E}" destId="{372D2D83-C554-4F29-BD81-314FE3BC2326}" srcOrd="0" destOrd="0" presId="urn:microsoft.com/office/officeart/2005/8/layout/hierarchy6"/>
    <dgm:cxn modelId="{6BB2946F-001B-4E28-A4E1-AEE779B9424A}" type="presOf" srcId="{EB568C1D-A8DD-496A-82D6-71EDB5BBE1CD}" destId="{FCCC37EA-5599-4245-AF58-BFADC44E9B3A}" srcOrd="0" destOrd="0" presId="urn:microsoft.com/office/officeart/2005/8/layout/hierarchy6"/>
    <dgm:cxn modelId="{8588AD55-887A-4BCF-BD2F-0A257F16EB44}" type="presOf" srcId="{BEC993A9-44C7-4C75-89CD-EF80E02168D3}" destId="{ACCFF950-8FFE-494A-9BED-4896E066A3AC}" srcOrd="0" destOrd="0" presId="urn:microsoft.com/office/officeart/2005/8/layout/hierarchy6"/>
    <dgm:cxn modelId="{D04C0A78-88E5-44D7-AACA-D8450691CA27}" type="presOf" srcId="{9884B850-7F22-483C-837C-6D5AC171C7BD}" destId="{9E33D71A-7CE0-4D90-83F1-6DF89B853397}" srcOrd="0" destOrd="0" presId="urn:microsoft.com/office/officeart/2005/8/layout/hierarchy6"/>
    <dgm:cxn modelId="{E3842959-AD1E-4A19-910F-DE592D300E31}" srcId="{E9BEC845-261E-4C66-A896-F47A8C91B65C}" destId="{7178B0B2-B509-4BC3-9FC5-CF30D1003070}" srcOrd="1" destOrd="0" parTransId="{FE0B9BCA-E1AF-4DE5-A1C2-857B271CD9F6}" sibTransId="{A29ADDD5-2D7B-4F0C-8349-79C5A440D779}"/>
    <dgm:cxn modelId="{21A66F7F-B97F-4A89-99C7-21CCA2346442}" type="presOf" srcId="{092D6421-17E2-453E-9474-550412F5A4E2}" destId="{46D1C49E-C9F7-4F70-AED9-5BAD55CD11BA}" srcOrd="0" destOrd="0" presId="urn:microsoft.com/office/officeart/2005/8/layout/hierarchy6"/>
    <dgm:cxn modelId="{DAA06F80-5289-45EA-8E72-39C5C80E61E3}" type="presOf" srcId="{1BAA82CC-F6AE-490F-ADB0-85506F95D44A}" destId="{F77B2802-20CD-451B-A499-08D4D256E8EB}" srcOrd="0" destOrd="0" presId="urn:microsoft.com/office/officeart/2005/8/layout/hierarchy6"/>
    <dgm:cxn modelId="{5A4F3282-578E-4B94-89A8-70AE1B76BFA7}" type="presOf" srcId="{9D590251-20E9-4B96-9A92-BF7559A394D6}" destId="{286996C6-D970-437B-83C0-BC6E160ED4A6}" srcOrd="0" destOrd="0" presId="urn:microsoft.com/office/officeart/2005/8/layout/hierarchy6"/>
    <dgm:cxn modelId="{6E0CE984-CD39-448A-A1A6-7D4CCD8B4ACF}" srcId="{2F43723A-A408-4509-9440-FDBB17107603}" destId="{BEC993A9-44C7-4C75-89CD-EF80E02168D3}" srcOrd="1" destOrd="0" parTransId="{092D6421-17E2-453E-9474-550412F5A4E2}" sibTransId="{A509F8F3-520C-4300-A0A0-30D44EAE1EFC}"/>
    <dgm:cxn modelId="{2DD14F85-33DF-4EA5-BAB3-11EA362D749F}" srcId="{2F43723A-A408-4509-9440-FDBB17107603}" destId="{E9BEC845-261E-4C66-A896-F47A8C91B65C}" srcOrd="0" destOrd="0" parTransId="{9884B850-7F22-483C-837C-6D5AC171C7BD}" sibTransId="{A0C1E81B-AF28-4B27-BCC5-818FBF407DEC}"/>
    <dgm:cxn modelId="{70EC0D91-9675-4850-8DB9-6AC994ECD420}" type="presOf" srcId="{54019C99-185B-468C-9249-9A372B6E5F70}" destId="{4CF9D6D6-8B2F-45ED-8CAF-28E0E6D39DCC}" srcOrd="0" destOrd="0" presId="urn:microsoft.com/office/officeart/2005/8/layout/hierarchy6"/>
    <dgm:cxn modelId="{E80AC591-D131-4E5E-9AEF-083BFD7BFC30}" srcId="{BEC993A9-44C7-4C75-89CD-EF80E02168D3}" destId="{2424AF3F-8B4F-4E57-8CB5-A55682E7809E}" srcOrd="0" destOrd="0" parTransId="{9D590251-20E9-4B96-9A92-BF7559A394D6}" sibTransId="{27E2BBDF-9E45-400E-8562-4960F8EB71D1}"/>
    <dgm:cxn modelId="{70AE45B1-15DF-4FB6-8801-40DE322B36A9}" srcId="{BEC993A9-44C7-4C75-89CD-EF80E02168D3}" destId="{0041D301-19DC-4CE0-A32D-2F027DB8FB44}" srcOrd="2" destOrd="0" parTransId="{1BAA82CC-F6AE-490F-ADB0-85506F95D44A}" sibTransId="{7D39048E-3CBD-4317-81E4-A473F940F422}"/>
    <dgm:cxn modelId="{FBC1E9B1-A0D2-4F4A-8ABA-8DB465D94985}" type="presOf" srcId="{1443439F-0394-4984-8CAA-F999B9265DDD}" destId="{661BDBC2-F808-4DFC-9F18-C0B5956B463F}" srcOrd="0" destOrd="0" presId="urn:microsoft.com/office/officeart/2005/8/layout/hierarchy6"/>
    <dgm:cxn modelId="{737469C1-FBF7-4DB7-A5FE-585E63790504}" srcId="{21EF835D-FD9A-469B-9F6E-31253646C7B5}" destId="{2F43723A-A408-4509-9440-FDBB17107603}" srcOrd="1" destOrd="0" parTransId="{1443439F-0394-4984-8CAA-F999B9265DDD}" sibTransId="{33D68FFD-B3E6-4950-A426-60FC230E05C5}"/>
    <dgm:cxn modelId="{DFB6E7C4-7750-4145-8773-0248612AB300}" type="presOf" srcId="{E440BD4A-5868-4028-90E0-2496ED9E4DEE}" destId="{434F414C-8BC0-4117-86A8-61F0F25FD116}" srcOrd="0" destOrd="0" presId="urn:microsoft.com/office/officeart/2005/8/layout/hierarchy6"/>
    <dgm:cxn modelId="{38000BC6-0472-48B4-A75D-3524CA6BCE74}" srcId="{949DCF5A-D550-4CA9-B0A7-0BB849417B2E}" destId="{EB568C1D-A8DD-496A-82D6-71EDB5BBE1CD}" srcOrd="0" destOrd="0" parTransId="{8718C530-404A-4055-A9ED-AEAD7D4323B3}" sibTransId="{9C5FE207-67C3-47D3-8759-9BD00360438F}"/>
    <dgm:cxn modelId="{BCB2D9CD-ED6F-48DE-B7E8-7DEEF8D2AC97}" type="presOf" srcId="{AFFCA036-CFE4-4457-A2FA-F4641D229564}" destId="{3B20BB5F-E621-4978-9E8C-ABB1E795D4BE}" srcOrd="0" destOrd="0" presId="urn:microsoft.com/office/officeart/2005/8/layout/hierarchy6"/>
    <dgm:cxn modelId="{FF4BA5D3-F552-47FB-BDEC-BAAFB4308377}" type="presOf" srcId="{99A81055-A4F8-4E91-A335-A7D4166908E1}" destId="{8EA9CB0C-8743-41D6-8BE1-949BB29FAB00}" srcOrd="0" destOrd="0" presId="urn:microsoft.com/office/officeart/2005/8/layout/hierarchy6"/>
    <dgm:cxn modelId="{B7E5C3F0-21C0-448E-B1C7-6B481763F5C3}" type="presOf" srcId="{FE0B9BCA-E1AF-4DE5-A1C2-857B271CD9F6}" destId="{21EEB169-55C6-4734-88A0-C2EC81CD656B}" srcOrd="0" destOrd="0" presId="urn:microsoft.com/office/officeart/2005/8/layout/hierarchy6"/>
    <dgm:cxn modelId="{E7F432FA-37CB-4925-B6E4-D51A1C093338}" srcId="{21EF835D-FD9A-469B-9F6E-31253646C7B5}" destId="{949DCF5A-D550-4CA9-B0A7-0BB849417B2E}" srcOrd="0" destOrd="0" parTransId="{99A81055-A4F8-4E91-A335-A7D4166908E1}" sibTransId="{52951179-E62C-4BD7-9319-8AC7FAC88C8A}"/>
    <dgm:cxn modelId="{C6A6CDFB-23C3-4DEE-99D8-215AD26D9178}" srcId="{54019C99-185B-468C-9249-9A372B6E5F70}" destId="{21EF835D-FD9A-469B-9F6E-31253646C7B5}" srcOrd="0" destOrd="0" parTransId="{3268BD7E-3C13-431B-BE70-AEA756AD7594}" sibTransId="{B65E9768-675B-4CC0-A984-F2B6346FA489}"/>
    <dgm:cxn modelId="{71C5592D-65AD-4B25-A578-73375A714694}" type="presParOf" srcId="{4CF9D6D6-8B2F-45ED-8CAF-28E0E6D39DCC}" destId="{E1F89296-FC22-4D25-A2E8-F3B482CF3981}" srcOrd="0" destOrd="0" presId="urn:microsoft.com/office/officeart/2005/8/layout/hierarchy6"/>
    <dgm:cxn modelId="{195DBB18-EF67-4F72-A481-29F516AB2581}" type="presParOf" srcId="{E1F89296-FC22-4D25-A2E8-F3B482CF3981}" destId="{D008BC5F-6622-4D13-A718-FA7D6C61E68B}" srcOrd="0" destOrd="0" presId="urn:microsoft.com/office/officeart/2005/8/layout/hierarchy6"/>
    <dgm:cxn modelId="{5AB52E6B-8DBA-4D71-8EC5-B7ACDF493AA3}" type="presParOf" srcId="{D008BC5F-6622-4D13-A718-FA7D6C61E68B}" destId="{CAFEDF20-86E1-4023-BC3E-270FA977EF8B}" srcOrd="0" destOrd="0" presId="urn:microsoft.com/office/officeart/2005/8/layout/hierarchy6"/>
    <dgm:cxn modelId="{BBD3609F-AA0E-4D9E-8238-99EBDB0FFCAF}" type="presParOf" srcId="{CAFEDF20-86E1-4023-BC3E-270FA977EF8B}" destId="{82FDCA34-0F65-4D14-8C17-7503646DA678}" srcOrd="0" destOrd="0" presId="urn:microsoft.com/office/officeart/2005/8/layout/hierarchy6"/>
    <dgm:cxn modelId="{6BF33E28-5124-4365-B890-0F6F41538C59}" type="presParOf" srcId="{CAFEDF20-86E1-4023-BC3E-270FA977EF8B}" destId="{D321C2DF-1CDD-4DFD-98C2-9E00E91DD426}" srcOrd="1" destOrd="0" presId="urn:microsoft.com/office/officeart/2005/8/layout/hierarchy6"/>
    <dgm:cxn modelId="{585CACC1-A692-495D-9C86-B0253CD2CB56}" type="presParOf" srcId="{D321C2DF-1CDD-4DFD-98C2-9E00E91DD426}" destId="{8EA9CB0C-8743-41D6-8BE1-949BB29FAB00}" srcOrd="0" destOrd="0" presId="urn:microsoft.com/office/officeart/2005/8/layout/hierarchy6"/>
    <dgm:cxn modelId="{CC8113A1-ECA1-4553-B07F-35D63D8D77FE}" type="presParOf" srcId="{D321C2DF-1CDD-4DFD-98C2-9E00E91DD426}" destId="{958640FE-3D3D-4308-8042-A7ED6D46670F}" srcOrd="1" destOrd="0" presId="urn:microsoft.com/office/officeart/2005/8/layout/hierarchy6"/>
    <dgm:cxn modelId="{44860B30-69F8-48BC-AFD3-8C121E1A2534}" type="presParOf" srcId="{958640FE-3D3D-4308-8042-A7ED6D46670F}" destId="{E2A29AD2-5503-400A-B710-EA423EB27951}" srcOrd="0" destOrd="0" presId="urn:microsoft.com/office/officeart/2005/8/layout/hierarchy6"/>
    <dgm:cxn modelId="{AA60386D-0C95-4A19-AF5E-02AB127160A8}" type="presParOf" srcId="{958640FE-3D3D-4308-8042-A7ED6D46670F}" destId="{446CD6B1-4D04-48FD-BC34-5AF5F51948C2}" srcOrd="1" destOrd="0" presId="urn:microsoft.com/office/officeart/2005/8/layout/hierarchy6"/>
    <dgm:cxn modelId="{2314FC9D-D96B-46BB-B047-0C691EBF187B}" type="presParOf" srcId="{446CD6B1-4D04-48FD-BC34-5AF5F51948C2}" destId="{EDB00926-2671-48F1-BD76-935B3E47EFFD}" srcOrd="0" destOrd="0" presId="urn:microsoft.com/office/officeart/2005/8/layout/hierarchy6"/>
    <dgm:cxn modelId="{9C3C87C6-2F83-4087-AB7B-1BA34350450C}" type="presParOf" srcId="{446CD6B1-4D04-48FD-BC34-5AF5F51948C2}" destId="{850C2597-2BCD-4C62-B496-5EAEBBADD2C2}" srcOrd="1" destOrd="0" presId="urn:microsoft.com/office/officeart/2005/8/layout/hierarchy6"/>
    <dgm:cxn modelId="{1068338B-2909-4491-99FF-79657F0BA47E}" type="presParOf" srcId="{850C2597-2BCD-4C62-B496-5EAEBBADD2C2}" destId="{FCCC37EA-5599-4245-AF58-BFADC44E9B3A}" srcOrd="0" destOrd="0" presId="urn:microsoft.com/office/officeart/2005/8/layout/hierarchy6"/>
    <dgm:cxn modelId="{088640DD-AF70-473E-B8B0-E47282D8DF30}" type="presParOf" srcId="{850C2597-2BCD-4C62-B496-5EAEBBADD2C2}" destId="{87064CA9-7DF5-4D7F-833B-A15379B247F3}" srcOrd="1" destOrd="0" presId="urn:microsoft.com/office/officeart/2005/8/layout/hierarchy6"/>
    <dgm:cxn modelId="{9870A853-D0FE-421B-8698-935A3C8FFE2B}" type="presParOf" srcId="{D321C2DF-1CDD-4DFD-98C2-9E00E91DD426}" destId="{661BDBC2-F808-4DFC-9F18-C0B5956B463F}" srcOrd="2" destOrd="0" presId="urn:microsoft.com/office/officeart/2005/8/layout/hierarchy6"/>
    <dgm:cxn modelId="{25B0FC7E-BF7D-4E46-BB0E-96FFCC6EFE42}" type="presParOf" srcId="{D321C2DF-1CDD-4DFD-98C2-9E00E91DD426}" destId="{1AD33AEB-AABC-4A56-BF29-4344889918A8}" srcOrd="3" destOrd="0" presId="urn:microsoft.com/office/officeart/2005/8/layout/hierarchy6"/>
    <dgm:cxn modelId="{DED63073-AD8C-47BE-9359-138560044B4D}" type="presParOf" srcId="{1AD33AEB-AABC-4A56-BF29-4344889918A8}" destId="{B87F0A41-EA76-4FE3-93E9-D04EAF909CAF}" srcOrd="0" destOrd="0" presId="urn:microsoft.com/office/officeart/2005/8/layout/hierarchy6"/>
    <dgm:cxn modelId="{52027D7F-2F02-420C-BFA0-222152A75E37}" type="presParOf" srcId="{1AD33AEB-AABC-4A56-BF29-4344889918A8}" destId="{4A4537D9-4024-4387-B0EC-3A719E264B03}" srcOrd="1" destOrd="0" presId="urn:microsoft.com/office/officeart/2005/8/layout/hierarchy6"/>
    <dgm:cxn modelId="{0DA67E09-CF05-440C-8EE0-487BA3344331}" type="presParOf" srcId="{4A4537D9-4024-4387-B0EC-3A719E264B03}" destId="{9E33D71A-7CE0-4D90-83F1-6DF89B853397}" srcOrd="0" destOrd="0" presId="urn:microsoft.com/office/officeart/2005/8/layout/hierarchy6"/>
    <dgm:cxn modelId="{2ACCF366-5012-4409-AE44-EB3F7C8409EA}" type="presParOf" srcId="{4A4537D9-4024-4387-B0EC-3A719E264B03}" destId="{8B041356-F546-4CBF-9002-923B6DA179E1}" srcOrd="1" destOrd="0" presId="urn:microsoft.com/office/officeart/2005/8/layout/hierarchy6"/>
    <dgm:cxn modelId="{64F71AE1-44E5-4208-BDD1-8D1A801C8603}" type="presParOf" srcId="{8B041356-F546-4CBF-9002-923B6DA179E1}" destId="{27D0148D-637C-42AE-9493-0F3320AD4A9B}" srcOrd="0" destOrd="0" presId="urn:microsoft.com/office/officeart/2005/8/layout/hierarchy6"/>
    <dgm:cxn modelId="{0BDF4E6F-0CB1-4251-92DD-0A85CB7BDBB1}" type="presParOf" srcId="{8B041356-F546-4CBF-9002-923B6DA179E1}" destId="{6FC0C3F5-33F9-4D5F-84A3-BD03021DE3B8}" srcOrd="1" destOrd="0" presId="urn:microsoft.com/office/officeart/2005/8/layout/hierarchy6"/>
    <dgm:cxn modelId="{D61662EA-D379-41CE-8F74-D2DA25462C28}" type="presParOf" srcId="{6FC0C3F5-33F9-4D5F-84A3-BD03021DE3B8}" destId="{F777393E-8D06-4909-A334-06916DD1A2B9}" srcOrd="0" destOrd="0" presId="urn:microsoft.com/office/officeart/2005/8/layout/hierarchy6"/>
    <dgm:cxn modelId="{68F02CFF-DFD0-4D9D-9ED3-589C391DCE8C}" type="presParOf" srcId="{6FC0C3F5-33F9-4D5F-84A3-BD03021DE3B8}" destId="{A5F9E9DE-213D-4E14-BBF5-5A7162DDBD8F}" srcOrd="1" destOrd="0" presId="urn:microsoft.com/office/officeart/2005/8/layout/hierarchy6"/>
    <dgm:cxn modelId="{2E0345EB-CBA4-4EDF-9343-95BF61942046}" type="presParOf" srcId="{A5F9E9DE-213D-4E14-BBF5-5A7162DDBD8F}" destId="{C5A8DE17-9DFC-4DB2-BDB8-8DA35B6E1C73}" srcOrd="0" destOrd="0" presId="urn:microsoft.com/office/officeart/2005/8/layout/hierarchy6"/>
    <dgm:cxn modelId="{67F81D52-3A9F-4AEF-82D9-ABCE51A9D3AE}" type="presParOf" srcId="{A5F9E9DE-213D-4E14-BBF5-5A7162DDBD8F}" destId="{E76F2BAA-9AA4-4CEB-9BDA-714F1F888BDD}" srcOrd="1" destOrd="0" presId="urn:microsoft.com/office/officeart/2005/8/layout/hierarchy6"/>
    <dgm:cxn modelId="{A1AE50E0-6C52-46B4-95E9-4DEFF8027208}" type="presParOf" srcId="{6FC0C3F5-33F9-4D5F-84A3-BD03021DE3B8}" destId="{21EEB169-55C6-4734-88A0-C2EC81CD656B}" srcOrd="2" destOrd="0" presId="urn:microsoft.com/office/officeart/2005/8/layout/hierarchy6"/>
    <dgm:cxn modelId="{AA542250-C151-4F5F-B9DE-75C66E692315}" type="presParOf" srcId="{6FC0C3F5-33F9-4D5F-84A3-BD03021DE3B8}" destId="{3F622D3A-344E-4C1E-9F04-1CE1FA0FBEA1}" srcOrd="3" destOrd="0" presId="urn:microsoft.com/office/officeart/2005/8/layout/hierarchy6"/>
    <dgm:cxn modelId="{D120B41D-C0F7-4888-8555-14600D8F8DD8}" type="presParOf" srcId="{3F622D3A-344E-4C1E-9F04-1CE1FA0FBEA1}" destId="{2250B2CC-00CD-4807-8250-B61123C4A0A6}" srcOrd="0" destOrd="0" presId="urn:microsoft.com/office/officeart/2005/8/layout/hierarchy6"/>
    <dgm:cxn modelId="{FB092516-BE7A-41E8-B4F0-4EEF8F07F25E}" type="presParOf" srcId="{3F622D3A-344E-4C1E-9F04-1CE1FA0FBEA1}" destId="{D4A1F2D2-6DDC-4D06-846B-90C735D8531E}" srcOrd="1" destOrd="0" presId="urn:microsoft.com/office/officeart/2005/8/layout/hierarchy6"/>
    <dgm:cxn modelId="{A2F45B48-5300-4B21-ACDF-120011F293F2}" type="presParOf" srcId="{6FC0C3F5-33F9-4D5F-84A3-BD03021DE3B8}" destId="{3B20BB5F-E621-4978-9E8C-ABB1E795D4BE}" srcOrd="4" destOrd="0" presId="urn:microsoft.com/office/officeart/2005/8/layout/hierarchy6"/>
    <dgm:cxn modelId="{6DB7E004-5713-405F-9BE9-B5D163C2FD48}" type="presParOf" srcId="{6FC0C3F5-33F9-4D5F-84A3-BD03021DE3B8}" destId="{4A12CE0E-F9BA-40C1-BE1C-C1B6FF6BAF1A}" srcOrd="5" destOrd="0" presId="urn:microsoft.com/office/officeart/2005/8/layout/hierarchy6"/>
    <dgm:cxn modelId="{F512D0E6-FE75-4D56-B524-F2ED2C91C896}" type="presParOf" srcId="{4A12CE0E-F9BA-40C1-BE1C-C1B6FF6BAF1A}" destId="{434F414C-8BC0-4117-86A8-61F0F25FD116}" srcOrd="0" destOrd="0" presId="urn:microsoft.com/office/officeart/2005/8/layout/hierarchy6"/>
    <dgm:cxn modelId="{F80CC2AC-8171-4C5F-956E-0D536FEC4F6B}" type="presParOf" srcId="{4A12CE0E-F9BA-40C1-BE1C-C1B6FF6BAF1A}" destId="{5DD799E6-AF41-4FEA-AEAE-E553EBE390B1}" srcOrd="1" destOrd="0" presId="urn:microsoft.com/office/officeart/2005/8/layout/hierarchy6"/>
    <dgm:cxn modelId="{34E71940-E29E-4A26-9745-65DC7463F05F}" type="presParOf" srcId="{4A4537D9-4024-4387-B0EC-3A719E264B03}" destId="{46D1C49E-C9F7-4F70-AED9-5BAD55CD11BA}" srcOrd="2" destOrd="0" presId="urn:microsoft.com/office/officeart/2005/8/layout/hierarchy6"/>
    <dgm:cxn modelId="{7AC58DD0-A125-48A9-832F-16EAB1AA8896}" type="presParOf" srcId="{4A4537D9-4024-4387-B0EC-3A719E264B03}" destId="{3F2A0EBC-FF29-4658-8145-07A0B495BA12}" srcOrd="3" destOrd="0" presId="urn:microsoft.com/office/officeart/2005/8/layout/hierarchy6"/>
    <dgm:cxn modelId="{9C610B78-7BA3-447C-8737-65135B4B6B7C}" type="presParOf" srcId="{3F2A0EBC-FF29-4658-8145-07A0B495BA12}" destId="{ACCFF950-8FFE-494A-9BED-4896E066A3AC}" srcOrd="0" destOrd="0" presId="urn:microsoft.com/office/officeart/2005/8/layout/hierarchy6"/>
    <dgm:cxn modelId="{CB5DD5AB-9C85-41A6-B23E-B81DDAC73B3C}" type="presParOf" srcId="{3F2A0EBC-FF29-4658-8145-07A0B495BA12}" destId="{258163BE-D875-491A-BC95-68B32A3B128E}" srcOrd="1" destOrd="0" presId="urn:microsoft.com/office/officeart/2005/8/layout/hierarchy6"/>
    <dgm:cxn modelId="{E7A498B5-A0FF-432D-B4F6-D8F0397F8F2A}" type="presParOf" srcId="{258163BE-D875-491A-BC95-68B32A3B128E}" destId="{286996C6-D970-437B-83C0-BC6E160ED4A6}" srcOrd="0" destOrd="0" presId="urn:microsoft.com/office/officeart/2005/8/layout/hierarchy6"/>
    <dgm:cxn modelId="{07FFAE68-272E-4470-8428-E74F3727871D}" type="presParOf" srcId="{258163BE-D875-491A-BC95-68B32A3B128E}" destId="{BE6949CE-0377-4C59-8140-06066802D719}" srcOrd="1" destOrd="0" presId="urn:microsoft.com/office/officeart/2005/8/layout/hierarchy6"/>
    <dgm:cxn modelId="{4FC892FB-8F6F-40F9-B687-A418F9AC80D2}" type="presParOf" srcId="{BE6949CE-0377-4C59-8140-06066802D719}" destId="{372D2D83-C554-4F29-BD81-314FE3BC2326}" srcOrd="0" destOrd="0" presId="urn:microsoft.com/office/officeart/2005/8/layout/hierarchy6"/>
    <dgm:cxn modelId="{40D06197-E1F7-4AFE-B65F-171FA5907757}" type="presParOf" srcId="{BE6949CE-0377-4C59-8140-06066802D719}" destId="{1D71CA0B-A70D-4330-942C-4373BB353810}" srcOrd="1" destOrd="0" presId="urn:microsoft.com/office/officeart/2005/8/layout/hierarchy6"/>
    <dgm:cxn modelId="{9066E5FE-5542-4B18-8F53-8648AA437956}" type="presParOf" srcId="{258163BE-D875-491A-BC95-68B32A3B128E}" destId="{E524F38F-B23E-4195-A0CE-6EC483DE4D12}" srcOrd="2" destOrd="0" presId="urn:microsoft.com/office/officeart/2005/8/layout/hierarchy6"/>
    <dgm:cxn modelId="{7349A94E-AE52-4526-B663-E63F281B65D5}" type="presParOf" srcId="{258163BE-D875-491A-BC95-68B32A3B128E}" destId="{4EC2E39E-59C0-4DEB-830B-DE56B58C899E}" srcOrd="3" destOrd="0" presId="urn:microsoft.com/office/officeart/2005/8/layout/hierarchy6"/>
    <dgm:cxn modelId="{15E80C78-A368-4FAB-9FD3-CFA1B2AE4CED}" type="presParOf" srcId="{4EC2E39E-59C0-4DEB-830B-DE56B58C899E}" destId="{1ECA888C-9E72-44B0-8C64-FF425D5C20B4}" srcOrd="0" destOrd="0" presId="urn:microsoft.com/office/officeart/2005/8/layout/hierarchy6"/>
    <dgm:cxn modelId="{53291E7B-79EC-45A0-B14A-B57E6DF1B230}" type="presParOf" srcId="{4EC2E39E-59C0-4DEB-830B-DE56B58C899E}" destId="{32B715E6-0222-4CFB-9302-57B45EFC822E}" srcOrd="1" destOrd="0" presId="urn:microsoft.com/office/officeart/2005/8/layout/hierarchy6"/>
    <dgm:cxn modelId="{7FBB8E01-A467-4F60-B423-2C06716825BD}" type="presParOf" srcId="{258163BE-D875-491A-BC95-68B32A3B128E}" destId="{F77B2802-20CD-451B-A499-08D4D256E8EB}" srcOrd="4" destOrd="0" presId="urn:microsoft.com/office/officeart/2005/8/layout/hierarchy6"/>
    <dgm:cxn modelId="{F0CAE52F-1C2F-4F57-8C8A-8BA48103D8D0}" type="presParOf" srcId="{258163BE-D875-491A-BC95-68B32A3B128E}" destId="{DC6AACDC-AE69-47C2-945D-32C8A9D74282}" srcOrd="5" destOrd="0" presId="urn:microsoft.com/office/officeart/2005/8/layout/hierarchy6"/>
    <dgm:cxn modelId="{89E17346-7C25-4DD7-BA74-F4E3F5C56935}" type="presParOf" srcId="{DC6AACDC-AE69-47C2-945D-32C8A9D74282}" destId="{6485669E-2842-4D0D-B203-413F20C80677}" srcOrd="0" destOrd="0" presId="urn:microsoft.com/office/officeart/2005/8/layout/hierarchy6"/>
    <dgm:cxn modelId="{62A15020-AFFD-4C16-8B0D-FE44BDA86195}" type="presParOf" srcId="{DC6AACDC-AE69-47C2-945D-32C8A9D74282}" destId="{B385989E-A28E-4442-9921-6FE82FDA863A}" srcOrd="1" destOrd="0" presId="urn:microsoft.com/office/officeart/2005/8/layout/hierarchy6"/>
    <dgm:cxn modelId="{C28EB569-BCCE-470A-8D88-2BD9E36AD328}" type="presParOf" srcId="{4CF9D6D6-8B2F-45ED-8CAF-28E0E6D39DCC}" destId="{8F8EB30D-50DD-496C-8370-5FF21AE8EB2D}" srcOrd="1" destOrd="0" presId="urn:microsoft.com/office/officeart/2005/8/layout/hierarchy6"/>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FDCA34-0F65-4D14-8C17-7503646DA678}">
      <dsp:nvSpPr>
        <dsp:cNvPr id="0" name=""/>
        <dsp:cNvSpPr/>
      </dsp:nvSpPr>
      <dsp:spPr>
        <a:xfrm>
          <a:off x="1312596" y="92387"/>
          <a:ext cx="1674708" cy="548194"/>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b="1" kern="1200"/>
            <a:t>PNRR  (priorità 3)</a:t>
          </a:r>
        </a:p>
        <a:p>
          <a:pPr marL="0" lvl="0" indent="0" algn="ctr" defTabSz="444500">
            <a:lnSpc>
              <a:spcPct val="90000"/>
            </a:lnSpc>
            <a:spcBef>
              <a:spcPct val="0"/>
            </a:spcBef>
            <a:spcAft>
              <a:spcPct val="35000"/>
            </a:spcAft>
            <a:buNone/>
          </a:pPr>
          <a:r>
            <a:rPr lang="it-IT" sz="1000" b="1" kern="1200"/>
            <a:t>"Divari di Cittadinanza"</a:t>
          </a:r>
        </a:p>
      </dsp:txBody>
      <dsp:txXfrm>
        <a:off x="1328652" y="108443"/>
        <a:ext cx="1642596" cy="516082"/>
      </dsp:txXfrm>
    </dsp:sp>
    <dsp:sp modelId="{8EA9CB0C-8743-41D6-8BE1-949BB29FAB00}">
      <dsp:nvSpPr>
        <dsp:cNvPr id="0" name=""/>
        <dsp:cNvSpPr/>
      </dsp:nvSpPr>
      <dsp:spPr>
        <a:xfrm>
          <a:off x="668676" y="640581"/>
          <a:ext cx="1481274" cy="120928"/>
        </a:xfrm>
        <a:custGeom>
          <a:avLst/>
          <a:gdLst/>
          <a:ahLst/>
          <a:cxnLst/>
          <a:rect l="0" t="0" r="0" b="0"/>
          <a:pathLst>
            <a:path>
              <a:moveTo>
                <a:pt x="1481274" y="0"/>
              </a:moveTo>
              <a:lnTo>
                <a:pt x="1481274" y="60464"/>
              </a:lnTo>
              <a:lnTo>
                <a:pt x="0" y="60464"/>
              </a:lnTo>
              <a:lnTo>
                <a:pt x="0" y="120928"/>
              </a:lnTo>
            </a:path>
          </a:pathLst>
        </a:custGeom>
        <a:noFill/>
        <a:ln w="12700" cap="flat" cmpd="sng" algn="ctr">
          <a:solidFill>
            <a:schemeClr val="dk2">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2A29AD2-5503-400A-B710-EA423EB27951}">
      <dsp:nvSpPr>
        <dsp:cNvPr id="0" name=""/>
        <dsp:cNvSpPr/>
      </dsp:nvSpPr>
      <dsp:spPr>
        <a:xfrm>
          <a:off x="592" y="761510"/>
          <a:ext cx="1336167" cy="525809"/>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355600">
            <a:lnSpc>
              <a:spcPct val="90000"/>
            </a:lnSpc>
            <a:spcBef>
              <a:spcPct val="0"/>
            </a:spcBef>
            <a:spcAft>
              <a:spcPct val="35000"/>
            </a:spcAft>
            <a:buNone/>
          </a:pPr>
          <a:r>
            <a:rPr lang="it-IT" sz="800" b="1" u="sng" kern="1200"/>
            <a:t>OBIETTIVO GENERALE</a:t>
          </a:r>
        </a:p>
        <a:p>
          <a:pPr marL="0" lvl="0" indent="0" algn="ctr" defTabSz="355600">
            <a:lnSpc>
              <a:spcPct val="90000"/>
            </a:lnSpc>
            <a:spcBef>
              <a:spcPct val="0"/>
            </a:spcBef>
            <a:spcAft>
              <a:spcPct val="35000"/>
            </a:spcAft>
            <a:buNone/>
          </a:pPr>
          <a:r>
            <a:rPr lang="it-IT" sz="800" b="0" kern="1200"/>
            <a:t>CONVERGENZA </a:t>
          </a:r>
        </a:p>
      </dsp:txBody>
      <dsp:txXfrm>
        <a:off x="15992" y="776910"/>
        <a:ext cx="1305367" cy="495009"/>
      </dsp:txXfrm>
    </dsp:sp>
    <dsp:sp modelId="{EDB00926-2671-48F1-BD76-935B3E47EFFD}">
      <dsp:nvSpPr>
        <dsp:cNvPr id="0" name=""/>
        <dsp:cNvSpPr/>
      </dsp:nvSpPr>
      <dsp:spPr>
        <a:xfrm>
          <a:off x="622956" y="1287319"/>
          <a:ext cx="91440" cy="130867"/>
        </a:xfrm>
        <a:custGeom>
          <a:avLst/>
          <a:gdLst/>
          <a:ahLst/>
          <a:cxnLst/>
          <a:rect l="0" t="0" r="0" b="0"/>
          <a:pathLst>
            <a:path>
              <a:moveTo>
                <a:pt x="45720" y="0"/>
              </a:moveTo>
              <a:lnTo>
                <a:pt x="45720" y="65433"/>
              </a:lnTo>
              <a:lnTo>
                <a:pt x="47750" y="65433"/>
              </a:lnTo>
              <a:lnTo>
                <a:pt x="47750" y="13086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CCC37EA-5599-4245-AF58-BFADC44E9B3A}">
      <dsp:nvSpPr>
        <dsp:cNvPr id="0" name=""/>
        <dsp:cNvSpPr/>
      </dsp:nvSpPr>
      <dsp:spPr>
        <a:xfrm>
          <a:off x="184465" y="1418187"/>
          <a:ext cx="972481" cy="79724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it-IT" sz="700" b="0" i="1" kern="1200"/>
            <a:t>1) </a:t>
          </a:r>
          <a:r>
            <a:rPr lang="it-IT" sz="700" b="0" kern="1200"/>
            <a:t>PIL pro capite</a:t>
          </a:r>
        </a:p>
        <a:p>
          <a:pPr marL="0" lvl="0" indent="0" algn="l" defTabSz="311150">
            <a:lnSpc>
              <a:spcPct val="90000"/>
            </a:lnSpc>
            <a:spcBef>
              <a:spcPct val="0"/>
            </a:spcBef>
            <a:spcAft>
              <a:spcPct val="35000"/>
            </a:spcAft>
            <a:buNone/>
          </a:pPr>
          <a:r>
            <a:rPr lang="it-IT" sz="700" b="0" i="1" kern="1200"/>
            <a:t>2) </a:t>
          </a:r>
          <a:r>
            <a:rPr lang="it-IT" sz="700" b="0" kern="1200"/>
            <a:t>Istruzione</a:t>
          </a:r>
        </a:p>
        <a:p>
          <a:pPr marL="0" lvl="0" indent="0" algn="l" defTabSz="311150">
            <a:lnSpc>
              <a:spcPct val="90000"/>
            </a:lnSpc>
            <a:spcBef>
              <a:spcPct val="0"/>
            </a:spcBef>
            <a:spcAft>
              <a:spcPct val="35000"/>
            </a:spcAft>
            <a:buNone/>
          </a:pPr>
          <a:r>
            <a:rPr lang="it-IT" sz="700" b="0" i="1" kern="1200"/>
            <a:t>3) </a:t>
          </a:r>
          <a:r>
            <a:rPr lang="it-IT" sz="700" b="0" kern="1200"/>
            <a:t>Occupazione</a:t>
          </a:r>
        </a:p>
        <a:p>
          <a:pPr marL="0" lvl="0" indent="0" algn="l" defTabSz="311150">
            <a:lnSpc>
              <a:spcPct val="90000"/>
            </a:lnSpc>
            <a:spcBef>
              <a:spcPct val="0"/>
            </a:spcBef>
            <a:spcAft>
              <a:spcPct val="35000"/>
            </a:spcAft>
            <a:buNone/>
          </a:pPr>
          <a:r>
            <a:rPr lang="it-IT" sz="700" b="0" i="1" kern="1200"/>
            <a:t>4)</a:t>
          </a:r>
          <a:r>
            <a:rPr lang="it-IT" sz="700" b="0" kern="1200"/>
            <a:t> Emigrazione</a:t>
          </a:r>
        </a:p>
      </dsp:txBody>
      <dsp:txXfrm>
        <a:off x="207816" y="1441538"/>
        <a:ext cx="925779" cy="750543"/>
      </dsp:txXfrm>
    </dsp:sp>
    <dsp:sp modelId="{661BDBC2-F808-4DFC-9F18-C0B5956B463F}">
      <dsp:nvSpPr>
        <dsp:cNvPr id="0" name=""/>
        <dsp:cNvSpPr/>
      </dsp:nvSpPr>
      <dsp:spPr>
        <a:xfrm>
          <a:off x="2149950" y="640581"/>
          <a:ext cx="1479244" cy="125897"/>
        </a:xfrm>
        <a:custGeom>
          <a:avLst/>
          <a:gdLst/>
          <a:ahLst/>
          <a:cxnLst/>
          <a:rect l="0" t="0" r="0" b="0"/>
          <a:pathLst>
            <a:path>
              <a:moveTo>
                <a:pt x="0" y="0"/>
              </a:moveTo>
              <a:lnTo>
                <a:pt x="0" y="62948"/>
              </a:lnTo>
              <a:lnTo>
                <a:pt x="1479244" y="62948"/>
              </a:lnTo>
              <a:lnTo>
                <a:pt x="1479244" y="125897"/>
              </a:lnTo>
            </a:path>
          </a:pathLst>
        </a:custGeom>
        <a:noFill/>
        <a:ln w="12700" cap="flat" cmpd="sng" algn="ctr">
          <a:solidFill>
            <a:schemeClr val="dk2">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87F0A41-EA76-4FE3-93E9-D04EAF909CAF}">
      <dsp:nvSpPr>
        <dsp:cNvPr id="0" name=""/>
        <dsp:cNvSpPr/>
      </dsp:nvSpPr>
      <dsp:spPr>
        <a:xfrm>
          <a:off x="2961110" y="766479"/>
          <a:ext cx="1336167" cy="52743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t-IT" sz="800" b="1" u="sng" kern="1200"/>
            <a:t>OBIETTIVI SPECIFICI</a:t>
          </a:r>
        </a:p>
        <a:p>
          <a:pPr marL="0" lvl="0" indent="0" algn="ctr" defTabSz="355600">
            <a:lnSpc>
              <a:spcPct val="90000"/>
            </a:lnSpc>
            <a:spcBef>
              <a:spcPct val="0"/>
            </a:spcBef>
            <a:spcAft>
              <a:spcPct val="35000"/>
            </a:spcAft>
            <a:buNone/>
          </a:pPr>
          <a:r>
            <a:rPr lang="it-IT" sz="800" b="0" u="none" kern="1200"/>
            <a:t>LIVELLO - QUALITA'</a:t>
          </a:r>
        </a:p>
      </dsp:txBody>
      <dsp:txXfrm>
        <a:off x="2976558" y="781927"/>
        <a:ext cx="1305271" cy="496537"/>
      </dsp:txXfrm>
    </dsp:sp>
    <dsp:sp modelId="{9E33D71A-7CE0-4D90-83F1-6DF89B853397}">
      <dsp:nvSpPr>
        <dsp:cNvPr id="0" name=""/>
        <dsp:cNvSpPr/>
      </dsp:nvSpPr>
      <dsp:spPr>
        <a:xfrm>
          <a:off x="2424657" y="1293913"/>
          <a:ext cx="1204537" cy="125897"/>
        </a:xfrm>
        <a:custGeom>
          <a:avLst/>
          <a:gdLst/>
          <a:ahLst/>
          <a:cxnLst/>
          <a:rect l="0" t="0" r="0" b="0"/>
          <a:pathLst>
            <a:path>
              <a:moveTo>
                <a:pt x="1204537" y="0"/>
              </a:moveTo>
              <a:lnTo>
                <a:pt x="1204537" y="62948"/>
              </a:lnTo>
              <a:lnTo>
                <a:pt x="0" y="62948"/>
              </a:lnTo>
              <a:lnTo>
                <a:pt x="0" y="12589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7D0148D-637C-42AE-9493-0F3320AD4A9B}">
      <dsp:nvSpPr>
        <dsp:cNvPr id="0" name=""/>
        <dsp:cNvSpPr/>
      </dsp:nvSpPr>
      <dsp:spPr>
        <a:xfrm>
          <a:off x="1926377" y="1419811"/>
          <a:ext cx="996559" cy="367662"/>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1" kern="1200"/>
            <a:t>(Missioni 1 - 3)</a:t>
          </a:r>
        </a:p>
        <a:p>
          <a:pPr marL="0" lvl="0" indent="0" algn="ctr" defTabSz="311150">
            <a:lnSpc>
              <a:spcPct val="90000"/>
            </a:lnSpc>
            <a:spcBef>
              <a:spcPct val="0"/>
            </a:spcBef>
            <a:spcAft>
              <a:spcPct val="35000"/>
            </a:spcAft>
            <a:buNone/>
          </a:pPr>
          <a:r>
            <a:rPr lang="it-IT" sz="700" b="0" i="1" kern="1200"/>
            <a:t>INFRASTRUTTURE</a:t>
          </a:r>
          <a:endParaRPr lang="it-IT" sz="700" b="0" i="0" kern="1200"/>
        </a:p>
      </dsp:txBody>
      <dsp:txXfrm>
        <a:off x="1937145" y="1430579"/>
        <a:ext cx="975023" cy="346126"/>
      </dsp:txXfrm>
    </dsp:sp>
    <dsp:sp modelId="{F777393E-8D06-4909-A334-06916DD1A2B9}">
      <dsp:nvSpPr>
        <dsp:cNvPr id="0" name=""/>
        <dsp:cNvSpPr/>
      </dsp:nvSpPr>
      <dsp:spPr>
        <a:xfrm>
          <a:off x="1628292" y="1787474"/>
          <a:ext cx="796364" cy="125897"/>
        </a:xfrm>
        <a:custGeom>
          <a:avLst/>
          <a:gdLst/>
          <a:ahLst/>
          <a:cxnLst/>
          <a:rect l="0" t="0" r="0" b="0"/>
          <a:pathLst>
            <a:path>
              <a:moveTo>
                <a:pt x="796364" y="0"/>
              </a:moveTo>
              <a:lnTo>
                <a:pt x="796364" y="62948"/>
              </a:lnTo>
              <a:lnTo>
                <a:pt x="0" y="62948"/>
              </a:lnTo>
              <a:lnTo>
                <a:pt x="0" y="12589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5A8DE17-9DFC-4DB2-BDB8-8DA35B6E1C73}">
      <dsp:nvSpPr>
        <dsp:cNvPr id="0" name=""/>
        <dsp:cNvSpPr/>
      </dsp:nvSpPr>
      <dsp:spPr>
        <a:xfrm>
          <a:off x="1298581" y="1913372"/>
          <a:ext cx="659420" cy="327809"/>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1" kern="1200"/>
            <a:t>5) </a:t>
          </a:r>
          <a:r>
            <a:rPr lang="it-IT" sz="700" b="0" i="0" kern="1200"/>
            <a:t>reti digitali</a:t>
          </a:r>
          <a:endParaRPr lang="it-IT" sz="700" kern="1200"/>
        </a:p>
      </dsp:txBody>
      <dsp:txXfrm>
        <a:off x="1308182" y="1922973"/>
        <a:ext cx="640218" cy="308607"/>
      </dsp:txXfrm>
    </dsp:sp>
    <dsp:sp modelId="{21EEB169-55C6-4734-88A0-C2EC81CD656B}">
      <dsp:nvSpPr>
        <dsp:cNvPr id="0" name=""/>
        <dsp:cNvSpPr/>
      </dsp:nvSpPr>
      <dsp:spPr>
        <a:xfrm>
          <a:off x="2378937" y="1787474"/>
          <a:ext cx="91440" cy="125897"/>
        </a:xfrm>
        <a:custGeom>
          <a:avLst/>
          <a:gdLst/>
          <a:ahLst/>
          <a:cxnLst/>
          <a:rect l="0" t="0" r="0" b="0"/>
          <a:pathLst>
            <a:path>
              <a:moveTo>
                <a:pt x="45720" y="0"/>
              </a:moveTo>
              <a:lnTo>
                <a:pt x="45720" y="62948"/>
              </a:lnTo>
              <a:lnTo>
                <a:pt x="46621" y="62948"/>
              </a:lnTo>
              <a:lnTo>
                <a:pt x="46621" y="12589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250B2CC-00CD-4807-8250-B61123C4A0A6}">
      <dsp:nvSpPr>
        <dsp:cNvPr id="0" name=""/>
        <dsp:cNvSpPr/>
      </dsp:nvSpPr>
      <dsp:spPr>
        <a:xfrm>
          <a:off x="2099637" y="1913372"/>
          <a:ext cx="651842" cy="32261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1" kern="1200"/>
            <a:t>6) </a:t>
          </a:r>
          <a:r>
            <a:rPr lang="it-IT" sz="700" b="0" i="0" kern="1200"/>
            <a:t>reti idriche</a:t>
          </a:r>
          <a:endParaRPr lang="it-IT" sz="700" kern="1200"/>
        </a:p>
      </dsp:txBody>
      <dsp:txXfrm>
        <a:off x="2109086" y="1922821"/>
        <a:ext cx="632944" cy="303715"/>
      </dsp:txXfrm>
    </dsp:sp>
    <dsp:sp modelId="{3B20BB5F-E621-4978-9E8C-ABB1E795D4BE}">
      <dsp:nvSpPr>
        <dsp:cNvPr id="0" name=""/>
        <dsp:cNvSpPr/>
      </dsp:nvSpPr>
      <dsp:spPr>
        <a:xfrm>
          <a:off x="2424657" y="1787474"/>
          <a:ext cx="797266" cy="125897"/>
        </a:xfrm>
        <a:custGeom>
          <a:avLst/>
          <a:gdLst/>
          <a:ahLst/>
          <a:cxnLst/>
          <a:rect l="0" t="0" r="0" b="0"/>
          <a:pathLst>
            <a:path>
              <a:moveTo>
                <a:pt x="0" y="0"/>
              </a:moveTo>
              <a:lnTo>
                <a:pt x="0" y="62948"/>
              </a:lnTo>
              <a:lnTo>
                <a:pt x="797266" y="62948"/>
              </a:lnTo>
              <a:lnTo>
                <a:pt x="797266" y="12589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34F414C-8BC0-4117-86A8-61F0F25FD116}">
      <dsp:nvSpPr>
        <dsp:cNvPr id="0" name=""/>
        <dsp:cNvSpPr/>
      </dsp:nvSpPr>
      <dsp:spPr>
        <a:xfrm>
          <a:off x="2893115" y="1913372"/>
          <a:ext cx="657616" cy="32592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1" kern="1200"/>
            <a:t>7)</a:t>
          </a:r>
          <a:r>
            <a:rPr lang="it-IT" sz="700" b="0" i="0" kern="1200"/>
            <a:t> rete ferroviaria</a:t>
          </a:r>
          <a:endParaRPr lang="it-IT" sz="700" kern="1200"/>
        </a:p>
      </dsp:txBody>
      <dsp:txXfrm>
        <a:off x="2902661" y="1922918"/>
        <a:ext cx="638524" cy="306829"/>
      </dsp:txXfrm>
    </dsp:sp>
    <dsp:sp modelId="{46D1C49E-C9F7-4F70-AED9-5BAD55CD11BA}">
      <dsp:nvSpPr>
        <dsp:cNvPr id="0" name=""/>
        <dsp:cNvSpPr/>
      </dsp:nvSpPr>
      <dsp:spPr>
        <a:xfrm>
          <a:off x="3629194" y="1293913"/>
          <a:ext cx="1206666" cy="100841"/>
        </a:xfrm>
        <a:custGeom>
          <a:avLst/>
          <a:gdLst/>
          <a:ahLst/>
          <a:cxnLst/>
          <a:rect l="0" t="0" r="0" b="0"/>
          <a:pathLst>
            <a:path>
              <a:moveTo>
                <a:pt x="0" y="0"/>
              </a:moveTo>
              <a:lnTo>
                <a:pt x="0" y="50420"/>
              </a:lnTo>
              <a:lnTo>
                <a:pt x="1206666" y="50420"/>
              </a:lnTo>
              <a:lnTo>
                <a:pt x="1206666" y="100841"/>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CCFF950-8FFE-494A-9BED-4896E066A3AC}">
      <dsp:nvSpPr>
        <dsp:cNvPr id="0" name=""/>
        <dsp:cNvSpPr/>
      </dsp:nvSpPr>
      <dsp:spPr>
        <a:xfrm>
          <a:off x="4337581" y="1394754"/>
          <a:ext cx="996559" cy="367662"/>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1" kern="1200"/>
            <a:t>(Missioni 4 - 6)</a:t>
          </a:r>
        </a:p>
        <a:p>
          <a:pPr marL="0" lvl="0" indent="0" algn="ctr" defTabSz="311150">
            <a:lnSpc>
              <a:spcPct val="90000"/>
            </a:lnSpc>
            <a:spcBef>
              <a:spcPct val="0"/>
            </a:spcBef>
            <a:spcAft>
              <a:spcPct val="35000"/>
            </a:spcAft>
            <a:buNone/>
          </a:pPr>
          <a:r>
            <a:rPr lang="it-IT" sz="700" b="0" i="1" kern="1200"/>
            <a:t>SERVIZI ALLE PERSONE</a:t>
          </a:r>
          <a:endParaRPr lang="it-IT" sz="700" b="0" i="0" kern="1200"/>
        </a:p>
      </dsp:txBody>
      <dsp:txXfrm>
        <a:off x="4348349" y="1405522"/>
        <a:ext cx="975023" cy="346126"/>
      </dsp:txXfrm>
    </dsp:sp>
    <dsp:sp modelId="{286996C6-D970-437B-83C0-BC6E160ED4A6}">
      <dsp:nvSpPr>
        <dsp:cNvPr id="0" name=""/>
        <dsp:cNvSpPr/>
      </dsp:nvSpPr>
      <dsp:spPr>
        <a:xfrm>
          <a:off x="4024116" y="1762417"/>
          <a:ext cx="811744" cy="150954"/>
        </a:xfrm>
        <a:custGeom>
          <a:avLst/>
          <a:gdLst/>
          <a:ahLst/>
          <a:cxnLst/>
          <a:rect l="0" t="0" r="0" b="0"/>
          <a:pathLst>
            <a:path>
              <a:moveTo>
                <a:pt x="811744" y="0"/>
              </a:moveTo>
              <a:lnTo>
                <a:pt x="811744" y="75477"/>
              </a:lnTo>
              <a:lnTo>
                <a:pt x="0" y="75477"/>
              </a:lnTo>
              <a:lnTo>
                <a:pt x="0" y="150954"/>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72D2D83-C554-4F29-BD81-314FE3BC2326}">
      <dsp:nvSpPr>
        <dsp:cNvPr id="0" name=""/>
        <dsp:cNvSpPr/>
      </dsp:nvSpPr>
      <dsp:spPr>
        <a:xfrm>
          <a:off x="3692367" y="1913372"/>
          <a:ext cx="663499" cy="32880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0" kern="1200"/>
            <a:t>8) Competenze degli studenti</a:t>
          </a:r>
          <a:endParaRPr lang="it-IT" sz="700" kern="1200"/>
        </a:p>
      </dsp:txBody>
      <dsp:txXfrm>
        <a:off x="3701997" y="1923002"/>
        <a:ext cx="644239" cy="309547"/>
      </dsp:txXfrm>
    </dsp:sp>
    <dsp:sp modelId="{E524F38F-B23E-4195-A0CE-6EC483DE4D12}">
      <dsp:nvSpPr>
        <dsp:cNvPr id="0" name=""/>
        <dsp:cNvSpPr/>
      </dsp:nvSpPr>
      <dsp:spPr>
        <a:xfrm>
          <a:off x="4785521" y="1762417"/>
          <a:ext cx="91440" cy="150954"/>
        </a:xfrm>
        <a:custGeom>
          <a:avLst/>
          <a:gdLst/>
          <a:ahLst/>
          <a:cxnLst/>
          <a:rect l="0" t="0" r="0" b="0"/>
          <a:pathLst>
            <a:path>
              <a:moveTo>
                <a:pt x="50339" y="0"/>
              </a:moveTo>
              <a:lnTo>
                <a:pt x="50339" y="75477"/>
              </a:lnTo>
              <a:lnTo>
                <a:pt x="45720" y="75477"/>
              </a:lnTo>
              <a:lnTo>
                <a:pt x="45720" y="150954"/>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CA888C-9E72-44B0-8C64-FF425D5C20B4}">
      <dsp:nvSpPr>
        <dsp:cNvPr id="0" name=""/>
        <dsp:cNvSpPr/>
      </dsp:nvSpPr>
      <dsp:spPr>
        <a:xfrm>
          <a:off x="4497501" y="1913372"/>
          <a:ext cx="667479" cy="331750"/>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0" kern="1200"/>
            <a:t>9) Servizi socio-educativi</a:t>
          </a:r>
          <a:endParaRPr lang="it-IT" sz="700" kern="1200"/>
        </a:p>
      </dsp:txBody>
      <dsp:txXfrm>
        <a:off x="4507218" y="1923089"/>
        <a:ext cx="648045" cy="312316"/>
      </dsp:txXfrm>
    </dsp:sp>
    <dsp:sp modelId="{F77B2802-20CD-451B-A499-08D4D256E8EB}">
      <dsp:nvSpPr>
        <dsp:cNvPr id="0" name=""/>
        <dsp:cNvSpPr/>
      </dsp:nvSpPr>
      <dsp:spPr>
        <a:xfrm>
          <a:off x="4835861" y="1762417"/>
          <a:ext cx="804995" cy="150954"/>
        </a:xfrm>
        <a:custGeom>
          <a:avLst/>
          <a:gdLst/>
          <a:ahLst/>
          <a:cxnLst/>
          <a:rect l="0" t="0" r="0" b="0"/>
          <a:pathLst>
            <a:path>
              <a:moveTo>
                <a:pt x="0" y="0"/>
              </a:moveTo>
              <a:lnTo>
                <a:pt x="0" y="75477"/>
              </a:lnTo>
              <a:lnTo>
                <a:pt x="804995" y="75477"/>
              </a:lnTo>
              <a:lnTo>
                <a:pt x="804995" y="150954"/>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485669E-2842-4D0D-B203-413F20C80677}">
      <dsp:nvSpPr>
        <dsp:cNvPr id="0" name=""/>
        <dsp:cNvSpPr/>
      </dsp:nvSpPr>
      <dsp:spPr>
        <a:xfrm>
          <a:off x="5306616" y="1913372"/>
          <a:ext cx="668480" cy="334240"/>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t-IT" sz="700" b="0" i="0" kern="1200"/>
            <a:t>10) Emigrazione  Ospedaliera</a:t>
          </a:r>
          <a:endParaRPr lang="it-IT" sz="700" kern="1200"/>
        </a:p>
      </dsp:txBody>
      <dsp:txXfrm>
        <a:off x="5316406" y="1923162"/>
        <a:ext cx="648900" cy="3146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D819-C24C-49B9-9DD3-F0D79740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4573</Words>
  <Characters>26071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pasquale.defilippo091@gmail.com</cp:lastModifiedBy>
  <cp:revision>8</cp:revision>
  <dcterms:created xsi:type="dcterms:W3CDTF">2022-12-23T14:51:00Z</dcterms:created>
  <dcterms:modified xsi:type="dcterms:W3CDTF">2023-01-25T07:49:00Z</dcterms:modified>
</cp:coreProperties>
</file>