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B2FF7" w14:textId="7B9F0DF3" w:rsidR="00E22CF6" w:rsidRDefault="00E22CF6">
      <w:pPr>
        <w:pStyle w:val="Corpotesto"/>
        <w:rPr>
          <w:rFonts w:ascii="Times New Roman"/>
        </w:rPr>
      </w:pPr>
    </w:p>
    <w:p w14:paraId="68F6692E" w14:textId="77777777" w:rsidR="00E22CF6" w:rsidRDefault="00E22CF6">
      <w:pPr>
        <w:pStyle w:val="Corpotesto"/>
        <w:spacing w:before="5"/>
        <w:rPr>
          <w:rFonts w:ascii="Times New Roman"/>
          <w:sz w:val="23"/>
        </w:rPr>
      </w:pPr>
    </w:p>
    <w:p w14:paraId="502E0903" w14:textId="560E620C" w:rsidR="00E22CF6" w:rsidRPr="00941610" w:rsidRDefault="00782B92" w:rsidP="009A40E9">
      <w:pPr>
        <w:spacing w:line="265" w:lineRule="exact"/>
        <w:ind w:right="769"/>
        <w:jc w:val="right"/>
        <w:rPr>
          <w:color w:val="17365D"/>
          <w:w w:val="80"/>
          <w:sz w:val="25"/>
          <w:szCs w:val="25"/>
          <w:lang w:val="en-US"/>
        </w:rPr>
      </w:pPr>
      <w:proofErr w:type="gramStart"/>
      <w:r>
        <w:rPr>
          <w:color w:val="17365D"/>
          <w:w w:val="80"/>
          <w:sz w:val="25"/>
          <w:szCs w:val="25"/>
          <w:lang w:val="en-US"/>
        </w:rPr>
        <w:t>July,</w:t>
      </w:r>
      <w:proofErr w:type="gramEnd"/>
      <w:r>
        <w:rPr>
          <w:color w:val="17365D"/>
          <w:w w:val="80"/>
          <w:sz w:val="25"/>
          <w:szCs w:val="25"/>
          <w:lang w:val="en-US"/>
        </w:rPr>
        <w:t xml:space="preserve"> 1</w:t>
      </w:r>
      <w:r w:rsidR="00F85F4D" w:rsidRPr="00941610">
        <w:rPr>
          <w:color w:val="17365D"/>
          <w:w w:val="80"/>
          <w:sz w:val="25"/>
          <w:szCs w:val="25"/>
          <w:lang w:val="en-US"/>
        </w:rPr>
        <w:t>, 2022</w:t>
      </w:r>
    </w:p>
    <w:p w14:paraId="6D96F70F" w14:textId="199A75B7" w:rsidR="00263C69" w:rsidRPr="00941610" w:rsidRDefault="00263C69" w:rsidP="009A40E9">
      <w:pPr>
        <w:spacing w:line="265" w:lineRule="exact"/>
        <w:ind w:right="769"/>
        <w:jc w:val="right"/>
        <w:rPr>
          <w:color w:val="17365D"/>
          <w:w w:val="80"/>
          <w:sz w:val="25"/>
          <w:szCs w:val="25"/>
          <w:lang w:val="en-US"/>
        </w:rPr>
      </w:pPr>
    </w:p>
    <w:p w14:paraId="11197321" w14:textId="682D0FE2" w:rsidR="00960EA8" w:rsidRPr="00F85F4D" w:rsidRDefault="00F85F4D" w:rsidP="00960EA8">
      <w:pPr>
        <w:pStyle w:val="Corpotesto"/>
        <w:spacing w:before="5"/>
        <w:rPr>
          <w:rFonts w:ascii="Arial" w:eastAsia="Arial" w:hAnsi="Arial" w:cs="Arial"/>
          <w:b/>
          <w:bCs/>
          <w:color w:val="595959" w:themeColor="text1" w:themeTint="A6"/>
          <w:w w:val="80"/>
          <w:sz w:val="28"/>
          <w:szCs w:val="28"/>
          <w:lang w:val="en-US"/>
        </w:rPr>
      </w:pPr>
      <w:r w:rsidRPr="00F85F4D">
        <w:rPr>
          <w:rFonts w:ascii="Arial" w:eastAsia="Arial" w:hAnsi="Arial" w:cs="Arial"/>
          <w:b/>
          <w:bCs/>
          <w:color w:val="595959" w:themeColor="text1" w:themeTint="A6"/>
          <w:w w:val="80"/>
          <w:sz w:val="28"/>
          <w:szCs w:val="28"/>
          <w:lang w:val="en-US"/>
        </w:rPr>
        <w:t xml:space="preserve">TRENDS IN THE </w:t>
      </w:r>
      <w:r w:rsidR="00F14B4B">
        <w:rPr>
          <w:rFonts w:ascii="Arial" w:eastAsia="Arial" w:hAnsi="Arial" w:cs="Arial"/>
          <w:b/>
          <w:bCs/>
          <w:color w:val="595959" w:themeColor="text1" w:themeTint="A6"/>
          <w:w w:val="80"/>
          <w:sz w:val="28"/>
          <w:szCs w:val="28"/>
          <w:lang w:val="en-US"/>
        </w:rPr>
        <w:t xml:space="preserve">ITALIAN </w:t>
      </w:r>
      <w:r w:rsidRPr="00F85F4D">
        <w:rPr>
          <w:rFonts w:ascii="Arial" w:eastAsia="Arial" w:hAnsi="Arial" w:cs="Arial"/>
          <w:b/>
          <w:bCs/>
          <w:color w:val="595959" w:themeColor="text1" w:themeTint="A6"/>
          <w:w w:val="80"/>
          <w:sz w:val="28"/>
          <w:szCs w:val="28"/>
          <w:lang w:val="en-US"/>
        </w:rPr>
        <w:t>AGRICU</w:t>
      </w:r>
      <w:r w:rsidR="00941610">
        <w:rPr>
          <w:rFonts w:ascii="Arial" w:eastAsia="Arial" w:hAnsi="Arial" w:cs="Arial"/>
          <w:b/>
          <w:bCs/>
          <w:color w:val="595959" w:themeColor="text1" w:themeTint="A6"/>
          <w:w w:val="80"/>
          <w:sz w:val="28"/>
          <w:szCs w:val="28"/>
          <w:lang w:val="en-US"/>
        </w:rPr>
        <w:t xml:space="preserve">LTURAL ECONOMY AND </w:t>
      </w:r>
      <w:r w:rsidR="00F14B4B">
        <w:rPr>
          <w:rFonts w:ascii="Arial" w:eastAsia="Arial" w:hAnsi="Arial" w:cs="Arial"/>
          <w:b/>
          <w:bCs/>
          <w:color w:val="595959" w:themeColor="text1" w:themeTint="A6"/>
          <w:w w:val="80"/>
          <w:sz w:val="28"/>
          <w:szCs w:val="28"/>
          <w:lang w:val="en-US"/>
        </w:rPr>
        <w:t>LEGISLATION</w:t>
      </w:r>
      <w:r>
        <w:rPr>
          <w:rFonts w:ascii="Arial" w:eastAsia="Arial" w:hAnsi="Arial" w:cs="Arial"/>
          <w:b/>
          <w:bCs/>
          <w:color w:val="595959" w:themeColor="text1" w:themeTint="A6"/>
          <w:w w:val="80"/>
          <w:sz w:val="28"/>
          <w:szCs w:val="28"/>
          <w:lang w:val="en-US"/>
        </w:rPr>
        <w:t xml:space="preserve"> - YEAR 2021</w:t>
      </w:r>
    </w:p>
    <w:p w14:paraId="55A29F15" w14:textId="77777777" w:rsidR="00263C69" w:rsidRPr="00F85F4D" w:rsidRDefault="00263C69" w:rsidP="009A40E9">
      <w:pPr>
        <w:spacing w:line="265" w:lineRule="exact"/>
        <w:ind w:right="769"/>
        <w:jc w:val="right"/>
        <w:rPr>
          <w:sz w:val="25"/>
          <w:szCs w:val="25"/>
          <w:lang w:val="en-US"/>
        </w:rPr>
      </w:pPr>
    </w:p>
    <w:p w14:paraId="0F8D75AE" w14:textId="6E1C1D7C" w:rsidR="004C19F8" w:rsidRPr="00207B2F" w:rsidRDefault="00207B2F" w:rsidP="004C19F8">
      <w:pPr>
        <w:pStyle w:val="Titolo"/>
        <w:ind w:left="0"/>
        <w:rPr>
          <w:color w:val="17365D"/>
          <w:w w:val="80"/>
          <w:sz w:val="44"/>
          <w:szCs w:val="44"/>
          <w:lang w:val="en-US"/>
        </w:rPr>
      </w:pPr>
      <w:r w:rsidRPr="00207B2F">
        <w:rPr>
          <w:color w:val="17365D"/>
          <w:w w:val="80"/>
          <w:sz w:val="44"/>
          <w:szCs w:val="44"/>
          <w:lang w:val="en-US"/>
        </w:rPr>
        <w:t>Italian agriculture does not engage the recovery but can count on extraordinary measures</w:t>
      </w:r>
      <w:r w:rsidR="004C19F8" w:rsidRPr="00207B2F">
        <w:rPr>
          <w:color w:val="17365D"/>
          <w:w w:val="80"/>
          <w:sz w:val="44"/>
          <w:szCs w:val="44"/>
          <w:lang w:val="en-US"/>
        </w:rPr>
        <w:t xml:space="preserve"> </w:t>
      </w:r>
    </w:p>
    <w:p w14:paraId="139520EA" w14:textId="491595CF" w:rsidR="005624D2" w:rsidRPr="007B7D08" w:rsidRDefault="00960EA8" w:rsidP="007B1587">
      <w:pPr>
        <w:spacing w:line="361" w:lineRule="exact"/>
        <w:rPr>
          <w:color w:val="585858"/>
          <w:w w:val="80"/>
          <w:sz w:val="24"/>
          <w:szCs w:val="24"/>
          <w:lang w:val="en-US"/>
        </w:rPr>
      </w:pPr>
      <w:r w:rsidRPr="00B4310D">
        <w:rPr>
          <w:noProof/>
          <w:sz w:val="24"/>
          <w:szCs w:val="24"/>
          <w:lang w:eastAsia="it-IT"/>
        </w:rPr>
        <mc:AlternateContent>
          <mc:Choice Requires="wps">
            <w:drawing>
              <wp:anchor distT="0" distB="0" distL="0" distR="0" simplePos="0" relativeHeight="487597056" behindDoc="1" locked="0" layoutInCell="1" allowOverlap="1" wp14:anchorId="62B64CDD" wp14:editId="1ABFD500">
                <wp:simplePos x="0" y="0"/>
                <wp:positionH relativeFrom="margin">
                  <wp:align>left</wp:align>
                </wp:positionH>
                <wp:positionV relativeFrom="paragraph">
                  <wp:posOffset>452120</wp:posOffset>
                </wp:positionV>
                <wp:extent cx="5867400" cy="5626735"/>
                <wp:effectExtent l="0" t="0" r="0" b="0"/>
                <wp:wrapTopAndBottom/>
                <wp:docPr id="58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62707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0591A" w14:textId="74793BD3" w:rsidR="00AA41E7" w:rsidRPr="00B20FDC" w:rsidRDefault="00AA41E7" w:rsidP="00463EB5">
                            <w:pPr>
                              <w:spacing w:after="120"/>
                              <w:ind w:left="107" w:right="106"/>
                              <w:jc w:val="both"/>
                              <w:rPr>
                                <w:rFonts w:ascii="Trebuchet MS" w:eastAsia="Times New Roman" w:hAnsi="Trebuchet MS" w:cs="Arial"/>
                                <w:color w:val="595959" w:themeColor="text1" w:themeTint="A6"/>
                                <w:sz w:val="20"/>
                                <w:szCs w:val="20"/>
                                <w:lang w:val="en-US" w:eastAsia="it-IT"/>
                              </w:rPr>
                            </w:pPr>
                            <w:r w:rsidRPr="00B20FDC">
                              <w:rPr>
                                <w:rFonts w:ascii="Trebuchet MS" w:eastAsia="Times New Roman" w:hAnsi="Trebuchet MS" w:cs="Arial"/>
                                <w:color w:val="595959" w:themeColor="text1" w:themeTint="A6"/>
                                <w:sz w:val="20"/>
                                <w:szCs w:val="20"/>
                                <w:lang w:val="en-US" w:eastAsia="it-IT"/>
                              </w:rPr>
                              <w:t xml:space="preserve">In 2021 agriculture, </w:t>
                            </w:r>
                            <w:proofErr w:type="gramStart"/>
                            <w:r w:rsidRPr="00B20FDC">
                              <w:rPr>
                                <w:rFonts w:ascii="Trebuchet MS" w:eastAsia="Times New Roman" w:hAnsi="Trebuchet MS" w:cs="Arial"/>
                                <w:color w:val="595959" w:themeColor="text1" w:themeTint="A6"/>
                                <w:sz w:val="20"/>
                                <w:szCs w:val="20"/>
                                <w:lang w:val="en-US" w:eastAsia="it-IT"/>
                              </w:rPr>
                              <w:t>forestry</w:t>
                            </w:r>
                            <w:proofErr w:type="gramEnd"/>
                            <w:r w:rsidRPr="00B20FDC">
                              <w:rPr>
                                <w:rFonts w:ascii="Trebuchet MS" w:eastAsia="Times New Roman" w:hAnsi="Trebuchet MS" w:cs="Arial"/>
                                <w:color w:val="595959" w:themeColor="text1" w:themeTint="A6"/>
                                <w:sz w:val="20"/>
                                <w:szCs w:val="20"/>
                                <w:lang w:val="en-US" w:eastAsia="it-IT"/>
                              </w:rPr>
                              <w:t xml:space="preserve"> and fishing, which the previous year had distinguished itself as one of the sectors least affected by lockdowns, did not benefit from the general climate of recovery that characterized the second of the Covid-19 pandemic year.</w:t>
                            </w:r>
                            <w:r>
                              <w:rPr>
                                <w:rFonts w:ascii="Trebuchet MS" w:eastAsia="Times New Roman" w:hAnsi="Trebuchet MS" w:cs="Arial"/>
                                <w:color w:val="595959" w:themeColor="text1" w:themeTint="A6"/>
                                <w:sz w:val="20"/>
                                <w:szCs w:val="20"/>
                                <w:lang w:val="en-US" w:eastAsia="it-IT"/>
                              </w:rPr>
                              <w:t xml:space="preserve"> The non-</w:t>
                            </w:r>
                            <w:r w:rsidRPr="00B20FDC">
                              <w:rPr>
                                <w:rFonts w:ascii="Trebuchet MS" w:eastAsia="Times New Roman" w:hAnsi="Trebuchet MS" w:cs="Arial"/>
                                <w:color w:val="595959" w:themeColor="text1" w:themeTint="A6"/>
                                <w:sz w:val="20"/>
                                <w:szCs w:val="20"/>
                                <w:lang w:val="en-US" w:eastAsia="it-IT"/>
                              </w:rPr>
                              <w:t xml:space="preserve">agricultural production (secondary activities, </w:t>
                            </w:r>
                            <w:proofErr w:type="gramStart"/>
                            <w:r w:rsidRPr="00B20FDC">
                              <w:rPr>
                                <w:rFonts w:ascii="Trebuchet MS" w:eastAsia="Times New Roman" w:hAnsi="Trebuchet MS" w:cs="Arial"/>
                                <w:color w:val="595959" w:themeColor="text1" w:themeTint="A6"/>
                                <w:sz w:val="20"/>
                                <w:szCs w:val="20"/>
                                <w:lang w:val="en-US" w:eastAsia="it-IT"/>
                              </w:rPr>
                              <w:t>in particular agritourism</w:t>
                            </w:r>
                            <w:proofErr w:type="gramEnd"/>
                            <w:r w:rsidRPr="00B20FDC">
                              <w:rPr>
                                <w:rFonts w:ascii="Trebuchet MS" w:eastAsia="Times New Roman" w:hAnsi="Trebuchet MS" w:cs="Arial"/>
                                <w:color w:val="595959" w:themeColor="text1" w:themeTint="A6"/>
                                <w:sz w:val="20"/>
                                <w:szCs w:val="20"/>
                                <w:lang w:val="en-US" w:eastAsia="it-IT"/>
                              </w:rPr>
                              <w:t>), most affected by the h</w:t>
                            </w:r>
                            <w:r>
                              <w:rPr>
                                <w:rFonts w:ascii="Trebuchet MS" w:eastAsia="Times New Roman" w:hAnsi="Trebuchet MS" w:cs="Arial"/>
                                <w:color w:val="595959" w:themeColor="text1" w:themeTint="A6"/>
                                <w:sz w:val="20"/>
                                <w:szCs w:val="20"/>
                                <w:lang w:val="en-US" w:eastAsia="it-IT"/>
                              </w:rPr>
                              <w:t xml:space="preserve">ealth crisis, marked a </w:t>
                            </w:r>
                            <w:r w:rsidRPr="00B20FDC">
                              <w:rPr>
                                <w:rFonts w:ascii="Trebuchet MS" w:eastAsia="Times New Roman" w:hAnsi="Trebuchet MS" w:cs="Arial"/>
                                <w:color w:val="595959" w:themeColor="text1" w:themeTint="A6"/>
                                <w:sz w:val="20"/>
                                <w:szCs w:val="20"/>
                                <w:lang w:val="en-US" w:eastAsia="it-IT"/>
                              </w:rPr>
                              <w:t>consistent</w:t>
                            </w:r>
                            <w:r>
                              <w:rPr>
                                <w:rFonts w:ascii="Trebuchet MS" w:eastAsia="Times New Roman" w:hAnsi="Trebuchet MS" w:cs="Arial"/>
                                <w:color w:val="595959" w:themeColor="text1" w:themeTint="A6"/>
                                <w:sz w:val="20"/>
                                <w:szCs w:val="20"/>
                                <w:lang w:val="en-US" w:eastAsia="it-IT"/>
                              </w:rPr>
                              <w:t xml:space="preserve"> recovery</w:t>
                            </w:r>
                            <w:r w:rsidRPr="00B20FDC">
                              <w:rPr>
                                <w:rFonts w:ascii="Trebuchet MS" w:eastAsia="Times New Roman" w:hAnsi="Trebuchet MS" w:cs="Arial"/>
                                <w:color w:val="595959" w:themeColor="text1" w:themeTint="A6"/>
                                <w:sz w:val="20"/>
                                <w:szCs w:val="20"/>
                                <w:lang w:val="en-US" w:eastAsia="it-IT"/>
                              </w:rPr>
                              <w:t xml:space="preserve">, but </w:t>
                            </w:r>
                            <w:r>
                              <w:rPr>
                                <w:rFonts w:ascii="Trebuchet MS" w:eastAsia="Times New Roman" w:hAnsi="Trebuchet MS" w:cs="Arial"/>
                                <w:color w:val="595959" w:themeColor="text1" w:themeTint="A6"/>
                                <w:sz w:val="20"/>
                                <w:szCs w:val="20"/>
                                <w:lang w:val="en-US" w:eastAsia="it-IT"/>
                              </w:rPr>
                              <w:t>it</w:t>
                            </w:r>
                            <w:r w:rsidRPr="00B20FDC">
                              <w:rPr>
                                <w:rFonts w:ascii="Trebuchet MS" w:eastAsia="Times New Roman" w:hAnsi="Trebuchet MS" w:cs="Arial"/>
                                <w:color w:val="595959" w:themeColor="text1" w:themeTint="A6"/>
                                <w:sz w:val="20"/>
                                <w:szCs w:val="20"/>
                                <w:lang w:val="en-US" w:eastAsia="it-IT"/>
                              </w:rPr>
                              <w:t xml:space="preserve"> was compromised by adverse climatic events that penalized the agricultural year. The production volumes of crops were particularly affected, while a good result was recorded for the livestock sector. The general sensitive rise </w:t>
                            </w:r>
                            <w:r>
                              <w:rPr>
                                <w:rFonts w:ascii="Trebuchet MS" w:eastAsia="Times New Roman" w:hAnsi="Trebuchet MS" w:cs="Arial"/>
                                <w:color w:val="595959" w:themeColor="text1" w:themeTint="A6"/>
                                <w:sz w:val="20"/>
                                <w:szCs w:val="20"/>
                                <w:lang w:val="en-US" w:eastAsia="it-IT"/>
                              </w:rPr>
                              <w:t xml:space="preserve">in prices has </w:t>
                            </w:r>
                            <w:r w:rsidRPr="00B20FDC">
                              <w:rPr>
                                <w:rFonts w:ascii="Trebuchet MS" w:eastAsia="Times New Roman" w:hAnsi="Trebuchet MS" w:cs="Arial"/>
                                <w:color w:val="595959" w:themeColor="text1" w:themeTint="A6"/>
                                <w:sz w:val="20"/>
                                <w:szCs w:val="20"/>
                                <w:lang w:val="en-US" w:eastAsia="it-IT"/>
                              </w:rPr>
                              <w:t>sustained the value of production but has led to a worseni</w:t>
                            </w:r>
                            <w:r>
                              <w:rPr>
                                <w:rFonts w:ascii="Trebuchet MS" w:eastAsia="Times New Roman" w:hAnsi="Trebuchet MS" w:cs="Arial"/>
                                <w:color w:val="595959" w:themeColor="text1" w:themeTint="A6"/>
                                <w:sz w:val="20"/>
                                <w:szCs w:val="20"/>
                                <w:lang w:val="en-US" w:eastAsia="it-IT"/>
                              </w:rPr>
                              <w:t xml:space="preserve">ng of the terms of trade it has </w:t>
                            </w:r>
                            <w:r w:rsidRPr="00B20FDC">
                              <w:rPr>
                                <w:rFonts w:ascii="Trebuchet MS" w:eastAsia="Times New Roman" w:hAnsi="Trebuchet MS" w:cs="Arial"/>
                                <w:color w:val="595959" w:themeColor="text1" w:themeTint="A6"/>
                                <w:sz w:val="20"/>
                                <w:szCs w:val="20"/>
                                <w:lang w:val="en-US" w:eastAsia="it-IT"/>
                              </w:rPr>
                              <w:t>sector operators penalized. The war in Ukraine, which has been going on for over two months, has nullified all possible predictions: the tightening of the price increases of energy raw materials and the new supply difficulties of companies, in addition to the p</w:t>
                            </w:r>
                            <w:r>
                              <w:rPr>
                                <w:rFonts w:ascii="Trebuchet MS" w:eastAsia="Times New Roman" w:hAnsi="Trebuchet MS" w:cs="Arial"/>
                                <w:color w:val="595959" w:themeColor="text1" w:themeTint="A6"/>
                                <w:sz w:val="20"/>
                                <w:szCs w:val="20"/>
                                <w:lang w:val="en-US" w:eastAsia="it-IT"/>
                              </w:rPr>
                              <w:t xml:space="preserve">re-existing supply bottlenecks, </w:t>
                            </w:r>
                            <w:r w:rsidRPr="00B20FDC">
                              <w:rPr>
                                <w:rFonts w:ascii="Trebuchet MS" w:eastAsia="Times New Roman" w:hAnsi="Trebuchet MS" w:cs="Arial"/>
                                <w:color w:val="595959" w:themeColor="text1" w:themeTint="A6"/>
                                <w:sz w:val="20"/>
                                <w:szCs w:val="20"/>
                                <w:lang w:val="en-US" w:eastAsia="it-IT"/>
                              </w:rPr>
                              <w:t>could have long-term consequences for Italian agriculture.</w:t>
                            </w:r>
                          </w:p>
                          <w:p w14:paraId="44CF8CD3" w14:textId="1B2D8CA4" w:rsidR="00AA41E7" w:rsidRPr="009C45BA" w:rsidRDefault="00AA41E7" w:rsidP="00463EB5">
                            <w:pPr>
                              <w:spacing w:after="120"/>
                              <w:ind w:left="142" w:right="170"/>
                              <w:jc w:val="both"/>
                              <w:rPr>
                                <w:rFonts w:ascii="Trebuchet MS" w:eastAsia="Times New Roman" w:hAnsi="Trebuchet MS" w:cs="Arial"/>
                                <w:color w:val="595959" w:themeColor="text1" w:themeTint="A6"/>
                                <w:sz w:val="20"/>
                                <w:szCs w:val="20"/>
                                <w:lang w:val="en-US" w:eastAsia="it-IT"/>
                              </w:rPr>
                            </w:pPr>
                            <w:r w:rsidRPr="00F14B4B">
                              <w:rPr>
                                <w:rFonts w:ascii="Trebuchet MS" w:eastAsia="Times New Roman" w:hAnsi="Trebuchet MS" w:cs="Arial"/>
                                <w:color w:val="595959" w:themeColor="text1" w:themeTint="A6"/>
                                <w:sz w:val="20"/>
                                <w:szCs w:val="20"/>
                                <w:lang w:val="en-US" w:eastAsia="it-IT"/>
                              </w:rPr>
                              <w:t xml:space="preserve">There are many initiatives for the agricultural sector, launched in response to the crisis linked to the pandemic, and more recently to that in Ukraine. The 2022 budget law continues the path of strengthening the agri-food system, in the context of support for the growth and competitiveness of the national economy. The set of interventions consists of investments for businesses, supply chains, </w:t>
                            </w:r>
                            <w:proofErr w:type="gramStart"/>
                            <w:r w:rsidRPr="00F14B4B">
                              <w:rPr>
                                <w:rFonts w:ascii="Trebuchet MS" w:eastAsia="Times New Roman" w:hAnsi="Trebuchet MS" w:cs="Arial"/>
                                <w:color w:val="595959" w:themeColor="text1" w:themeTint="A6"/>
                                <w:sz w:val="20"/>
                                <w:szCs w:val="20"/>
                                <w:lang w:val="en-US" w:eastAsia="it-IT"/>
                              </w:rPr>
                              <w:t>employment</w:t>
                            </w:r>
                            <w:proofErr w:type="gramEnd"/>
                            <w:r w:rsidRPr="00F14B4B">
                              <w:rPr>
                                <w:rFonts w:ascii="Trebuchet MS" w:eastAsia="Times New Roman" w:hAnsi="Trebuchet MS" w:cs="Arial"/>
                                <w:color w:val="595959" w:themeColor="text1" w:themeTint="A6"/>
                                <w:sz w:val="20"/>
                                <w:szCs w:val="20"/>
                                <w:lang w:val="en-US" w:eastAsia="it-IT"/>
                              </w:rPr>
                              <w:t xml:space="preserve"> and product protection, also by reiterating existing provisions and applying the instruments of </w:t>
                            </w:r>
                            <w:r w:rsidRPr="009C45BA">
                              <w:rPr>
                                <w:rFonts w:ascii="Trebuchet MS" w:eastAsia="Times New Roman" w:hAnsi="Trebuchet MS" w:cs="Arial"/>
                                <w:color w:val="595959" w:themeColor="text1" w:themeTint="A6"/>
                                <w:sz w:val="20"/>
                                <w:szCs w:val="20"/>
                                <w:lang w:val="en-US" w:eastAsia="it-IT"/>
                              </w:rPr>
                              <w:t>the EU’s common agricultural policy (CAP)</w:t>
                            </w:r>
                            <w:r>
                              <w:rPr>
                                <w:rFonts w:ascii="Trebuchet MS" w:eastAsia="Times New Roman" w:hAnsi="Trebuchet MS" w:cs="Arial"/>
                                <w:color w:val="595959" w:themeColor="text1" w:themeTint="A6"/>
                                <w:sz w:val="20"/>
                                <w:szCs w:val="20"/>
                                <w:lang w:val="en-US" w:eastAsia="it-IT"/>
                              </w:rPr>
                              <w:t xml:space="preserve"> </w:t>
                            </w:r>
                            <w:r w:rsidRPr="00F14B4B">
                              <w:rPr>
                                <w:rFonts w:ascii="Trebuchet MS" w:eastAsia="Times New Roman" w:hAnsi="Trebuchet MS" w:cs="Arial"/>
                                <w:color w:val="595959" w:themeColor="text1" w:themeTint="A6"/>
                                <w:sz w:val="20"/>
                                <w:szCs w:val="20"/>
                                <w:lang w:val="en-US" w:eastAsia="it-IT"/>
                              </w:rPr>
                              <w:t xml:space="preserve">more extensively. </w:t>
                            </w:r>
                            <w:r w:rsidRPr="009C45BA">
                              <w:rPr>
                                <w:rFonts w:ascii="Trebuchet MS" w:eastAsia="Times New Roman" w:hAnsi="Trebuchet MS" w:cs="Arial"/>
                                <w:color w:val="595959" w:themeColor="text1" w:themeTint="A6"/>
                                <w:sz w:val="20"/>
                                <w:szCs w:val="20"/>
                                <w:lang w:val="en-US" w:eastAsia="it-IT"/>
                              </w:rPr>
                              <w:t>In terms of emergency supplies, Italy has been assigned the largest share of the Next Generation EU, whose implementation has now come to life. However, the conflict in Ukraine has revived the theme of food security, prompting the EU to ask for the revision of national planning documents to strengthen the resilience of agriculture and reduce the dependence on foreign inputs of some inputs. The objectives focus on increasing the production of renewable energy and strengthening more sustainable production methods; at the same time, anti-crisis measures are being activated for the most affected markets, as well as the resumption of the use of fallow land, to increase production.</w:t>
                            </w:r>
                          </w:p>
                          <w:p w14:paraId="695A4F3F" w14:textId="77777777" w:rsidR="00AA41E7" w:rsidRPr="009C45BA" w:rsidRDefault="00AA41E7" w:rsidP="00960EA8">
                            <w:pPr>
                              <w:jc w:val="both"/>
                              <w:rPr>
                                <w:rFonts w:ascii="Trebuchet MS" w:eastAsia="Times New Roman" w:hAnsi="Trebuchet MS" w:cs="Arial"/>
                                <w:color w:val="595959" w:themeColor="text1" w:themeTint="A6"/>
                                <w:sz w:val="20"/>
                                <w:szCs w:val="20"/>
                                <w:lang w:val="en-US" w:eastAsia="it-IT"/>
                              </w:rPr>
                            </w:pPr>
                          </w:p>
                          <w:p w14:paraId="22E38702" w14:textId="5BB66A33" w:rsidR="00AA41E7" w:rsidRDefault="00AA41E7" w:rsidP="00960EA8">
                            <w:pPr>
                              <w:jc w:val="both"/>
                              <w:rPr>
                                <w:rFonts w:ascii="Trebuchet MS" w:eastAsia="Times New Roman" w:hAnsi="Trebuchet MS" w:cs="Arial"/>
                                <w:color w:val="595959" w:themeColor="text1" w:themeTint="A6"/>
                                <w:sz w:val="20"/>
                                <w:szCs w:val="20"/>
                                <w:lang w:eastAsia="it-IT"/>
                              </w:rPr>
                            </w:pPr>
                            <w:r>
                              <w:rPr>
                                <w:b/>
                                <w:noProof/>
                                <w:color w:val="17365D"/>
                                <w:sz w:val="25"/>
                                <w:szCs w:val="25"/>
                                <w:lang w:eastAsia="it-IT"/>
                              </w:rPr>
                              <w:drawing>
                                <wp:inline distT="0" distB="0" distL="0" distR="0" wp14:anchorId="1BEF63DF" wp14:editId="49D717BC">
                                  <wp:extent cx="5862639" cy="1569492"/>
                                  <wp:effectExtent l="0" t="0" r="508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418" cy="1587905"/>
                                          </a:xfrm>
                                          <a:prstGeom prst="rect">
                                            <a:avLst/>
                                          </a:prstGeom>
                                          <a:noFill/>
                                          <a:ln>
                                            <a:noFill/>
                                          </a:ln>
                                        </pic:spPr>
                                      </pic:pic>
                                    </a:graphicData>
                                  </a:graphic>
                                </wp:inline>
                              </w:drawing>
                            </w:r>
                          </w:p>
                          <w:p w14:paraId="62386882" w14:textId="403F53F8" w:rsidR="00AA41E7" w:rsidRDefault="00AA41E7" w:rsidP="00960EA8">
                            <w:pPr>
                              <w:spacing w:before="121"/>
                              <w:ind w:right="106"/>
                              <w:jc w:val="both"/>
                              <w:rPr>
                                <w:rFonts w:ascii="Trebuchet MS" w:eastAsia="Times New Roman" w:hAnsi="Trebuchet MS" w:cs="Arial"/>
                                <w:color w:val="595959" w:themeColor="text1" w:themeTint="A6"/>
                                <w:sz w:val="20"/>
                                <w:szCs w:val="20"/>
                                <w:lang w:eastAsia="it-IT"/>
                              </w:rPr>
                            </w:pPr>
                          </w:p>
                          <w:p w14:paraId="290E374B" w14:textId="77777777" w:rsidR="00AA41E7" w:rsidRDefault="00AA41E7" w:rsidP="00960EA8">
                            <w:pPr>
                              <w:spacing w:before="121"/>
                              <w:ind w:left="107" w:right="106"/>
                              <w:jc w:val="both"/>
                              <w:rPr>
                                <w:rFonts w:ascii="Trebuchet MS" w:eastAsia="Times New Roman" w:hAnsi="Trebuchet MS" w:cs="Arial"/>
                                <w:color w:val="595959" w:themeColor="text1" w:themeTint="A6"/>
                                <w:sz w:val="20"/>
                                <w:szCs w:val="20"/>
                                <w:lang w:eastAsia="it-IT"/>
                              </w:rPr>
                            </w:pPr>
                          </w:p>
                          <w:p w14:paraId="216BF996" w14:textId="77777777" w:rsidR="00AA41E7" w:rsidRPr="00462BA9" w:rsidRDefault="00AA41E7" w:rsidP="00960EA8">
                            <w:pPr>
                              <w:spacing w:before="121"/>
                              <w:ind w:left="107" w:right="106"/>
                              <w:jc w:val="both"/>
                              <w:rPr>
                                <w:rFonts w:ascii="Trebuchet MS" w:eastAsia="Times New Roman" w:hAnsi="Trebuchet MS" w:cs="Arial"/>
                                <w:color w:val="595959" w:themeColor="text1" w:themeTint="A6"/>
                                <w:sz w:val="20"/>
                                <w:szCs w:val="20"/>
                                <w:lang w:eastAsia="it-IT"/>
                              </w:rPr>
                            </w:pPr>
                          </w:p>
                          <w:p w14:paraId="4652B1F4" w14:textId="540D927D" w:rsidR="00AA41E7" w:rsidRDefault="00AA41E7" w:rsidP="00960EA8">
                            <w:pPr>
                              <w:spacing w:before="121"/>
                              <w:ind w:right="106"/>
                              <w:jc w:val="both"/>
                              <w:rPr>
                                <w:b/>
                                <w:color w:val="17365D"/>
                                <w:sz w:val="25"/>
                                <w:szCs w:val="25"/>
                              </w:rPr>
                            </w:pPr>
                          </w:p>
                          <w:p w14:paraId="6D81BBE6" w14:textId="77777777" w:rsidR="00AA41E7" w:rsidRDefault="00AA41E7" w:rsidP="00960EA8">
                            <w:pPr>
                              <w:spacing w:before="121"/>
                              <w:ind w:left="107" w:right="106"/>
                              <w:jc w:val="both"/>
                              <w:rPr>
                                <w:color w:val="17365D"/>
                                <w:sz w:val="25"/>
                                <w:szCs w:val="25"/>
                              </w:rPr>
                            </w:pPr>
                          </w:p>
                          <w:p w14:paraId="251253BA" w14:textId="77777777" w:rsidR="00AA41E7" w:rsidRPr="005B1EAC" w:rsidRDefault="00AA41E7" w:rsidP="00960EA8">
                            <w:pPr>
                              <w:spacing w:before="121"/>
                              <w:ind w:left="107" w:right="106"/>
                              <w:jc w:val="both"/>
                              <w:rPr>
                                <w:color w:val="17365D"/>
                                <w:sz w:val="25"/>
                                <w:szCs w:val="25"/>
                              </w:rPr>
                            </w:pPr>
                          </w:p>
                          <w:p w14:paraId="4B22D312" w14:textId="77777777" w:rsidR="00AA41E7" w:rsidRPr="005B1EAC" w:rsidRDefault="00AA41E7" w:rsidP="00960EA8">
                            <w:pPr>
                              <w:spacing w:before="121"/>
                              <w:ind w:left="107" w:right="106"/>
                              <w:jc w:val="both"/>
                              <w:rPr>
                                <w:sz w:val="25"/>
                                <w:szCs w:val="2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64CDD" id="_x0000_t202" coordsize="21600,21600" o:spt="202" path="m,l,21600r21600,l21600,xe">
                <v:stroke joinstyle="miter"/>
                <v:path gradientshapeok="t" o:connecttype="rect"/>
              </v:shapetype>
              <v:shape id="Text Box 577" o:spid="_x0000_s1026" type="#_x0000_t202" style="position:absolute;margin-left:0;margin-top:35.6pt;width:462pt;height:443.05pt;z-index:-157194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" fillcolor="#d9d9d9" stroked="f">
                <v:textbox inset="0,0,0,0">
                  <w:txbxContent>
                    <w:p w14:paraId="7870591A" w14:textId="74793BD3" w:rsidR="00AA41E7" w:rsidRPr="00B20FDC" w:rsidRDefault="00AA41E7" w:rsidP="00463EB5">
                      <w:pPr>
                        <w:spacing w:after="120"/>
                        <w:ind w:left="107" w:right="106"/>
                        <w:jc w:val="both"/>
                        <w:rPr>
                          <w:rFonts w:ascii="Trebuchet MS" w:eastAsia="Times New Roman" w:hAnsi="Trebuchet MS" w:cs="Arial"/>
                          <w:color w:val="595959" w:themeColor="text1" w:themeTint="A6"/>
                          <w:sz w:val="20"/>
                          <w:szCs w:val="20"/>
                          <w:lang w:val="en-US" w:eastAsia="it-IT"/>
                        </w:rPr>
                      </w:pPr>
                      <w:r w:rsidRPr="00B20FDC">
                        <w:rPr>
                          <w:rFonts w:ascii="Trebuchet MS" w:eastAsia="Times New Roman" w:hAnsi="Trebuchet MS" w:cs="Arial"/>
                          <w:color w:val="595959" w:themeColor="text1" w:themeTint="A6"/>
                          <w:sz w:val="20"/>
                          <w:szCs w:val="20"/>
                          <w:lang w:val="en-US" w:eastAsia="it-IT"/>
                        </w:rPr>
                        <w:t xml:space="preserve">In 2021 agriculture, </w:t>
                      </w:r>
                      <w:proofErr w:type="gramStart"/>
                      <w:r w:rsidRPr="00B20FDC">
                        <w:rPr>
                          <w:rFonts w:ascii="Trebuchet MS" w:eastAsia="Times New Roman" w:hAnsi="Trebuchet MS" w:cs="Arial"/>
                          <w:color w:val="595959" w:themeColor="text1" w:themeTint="A6"/>
                          <w:sz w:val="20"/>
                          <w:szCs w:val="20"/>
                          <w:lang w:val="en-US" w:eastAsia="it-IT"/>
                        </w:rPr>
                        <w:t>forestry</w:t>
                      </w:r>
                      <w:proofErr w:type="gramEnd"/>
                      <w:r w:rsidRPr="00B20FDC">
                        <w:rPr>
                          <w:rFonts w:ascii="Trebuchet MS" w:eastAsia="Times New Roman" w:hAnsi="Trebuchet MS" w:cs="Arial"/>
                          <w:color w:val="595959" w:themeColor="text1" w:themeTint="A6"/>
                          <w:sz w:val="20"/>
                          <w:szCs w:val="20"/>
                          <w:lang w:val="en-US" w:eastAsia="it-IT"/>
                        </w:rPr>
                        <w:t xml:space="preserve"> and fishing, which the previous year had distinguished itself as one of the sectors least affected by lockdowns, did not benefit from the general climate of recovery that characterized the second of the Covid-19 pandemic year.</w:t>
                      </w:r>
                      <w:r>
                        <w:rPr>
                          <w:rFonts w:ascii="Trebuchet MS" w:eastAsia="Times New Roman" w:hAnsi="Trebuchet MS" w:cs="Arial"/>
                          <w:color w:val="595959" w:themeColor="text1" w:themeTint="A6"/>
                          <w:sz w:val="20"/>
                          <w:szCs w:val="20"/>
                          <w:lang w:val="en-US" w:eastAsia="it-IT"/>
                        </w:rPr>
                        <w:t xml:space="preserve"> The non-</w:t>
                      </w:r>
                      <w:r w:rsidRPr="00B20FDC">
                        <w:rPr>
                          <w:rFonts w:ascii="Trebuchet MS" w:eastAsia="Times New Roman" w:hAnsi="Trebuchet MS" w:cs="Arial"/>
                          <w:color w:val="595959" w:themeColor="text1" w:themeTint="A6"/>
                          <w:sz w:val="20"/>
                          <w:szCs w:val="20"/>
                          <w:lang w:val="en-US" w:eastAsia="it-IT"/>
                        </w:rPr>
                        <w:t xml:space="preserve">agricultural production (secondary activities, </w:t>
                      </w:r>
                      <w:proofErr w:type="gramStart"/>
                      <w:r w:rsidRPr="00B20FDC">
                        <w:rPr>
                          <w:rFonts w:ascii="Trebuchet MS" w:eastAsia="Times New Roman" w:hAnsi="Trebuchet MS" w:cs="Arial"/>
                          <w:color w:val="595959" w:themeColor="text1" w:themeTint="A6"/>
                          <w:sz w:val="20"/>
                          <w:szCs w:val="20"/>
                          <w:lang w:val="en-US" w:eastAsia="it-IT"/>
                        </w:rPr>
                        <w:t>in particular agritourism</w:t>
                      </w:r>
                      <w:proofErr w:type="gramEnd"/>
                      <w:r w:rsidRPr="00B20FDC">
                        <w:rPr>
                          <w:rFonts w:ascii="Trebuchet MS" w:eastAsia="Times New Roman" w:hAnsi="Trebuchet MS" w:cs="Arial"/>
                          <w:color w:val="595959" w:themeColor="text1" w:themeTint="A6"/>
                          <w:sz w:val="20"/>
                          <w:szCs w:val="20"/>
                          <w:lang w:val="en-US" w:eastAsia="it-IT"/>
                        </w:rPr>
                        <w:t>), most affected by the h</w:t>
                      </w:r>
                      <w:r>
                        <w:rPr>
                          <w:rFonts w:ascii="Trebuchet MS" w:eastAsia="Times New Roman" w:hAnsi="Trebuchet MS" w:cs="Arial"/>
                          <w:color w:val="595959" w:themeColor="text1" w:themeTint="A6"/>
                          <w:sz w:val="20"/>
                          <w:szCs w:val="20"/>
                          <w:lang w:val="en-US" w:eastAsia="it-IT"/>
                        </w:rPr>
                        <w:t xml:space="preserve">ealth crisis, marked a </w:t>
                      </w:r>
                      <w:r w:rsidRPr="00B20FDC">
                        <w:rPr>
                          <w:rFonts w:ascii="Trebuchet MS" w:eastAsia="Times New Roman" w:hAnsi="Trebuchet MS" w:cs="Arial"/>
                          <w:color w:val="595959" w:themeColor="text1" w:themeTint="A6"/>
                          <w:sz w:val="20"/>
                          <w:szCs w:val="20"/>
                          <w:lang w:val="en-US" w:eastAsia="it-IT"/>
                        </w:rPr>
                        <w:t>consistent</w:t>
                      </w:r>
                      <w:r>
                        <w:rPr>
                          <w:rFonts w:ascii="Trebuchet MS" w:eastAsia="Times New Roman" w:hAnsi="Trebuchet MS" w:cs="Arial"/>
                          <w:color w:val="595959" w:themeColor="text1" w:themeTint="A6"/>
                          <w:sz w:val="20"/>
                          <w:szCs w:val="20"/>
                          <w:lang w:val="en-US" w:eastAsia="it-IT"/>
                        </w:rPr>
                        <w:t xml:space="preserve"> recovery</w:t>
                      </w:r>
                      <w:r w:rsidRPr="00B20FDC">
                        <w:rPr>
                          <w:rFonts w:ascii="Trebuchet MS" w:eastAsia="Times New Roman" w:hAnsi="Trebuchet MS" w:cs="Arial"/>
                          <w:color w:val="595959" w:themeColor="text1" w:themeTint="A6"/>
                          <w:sz w:val="20"/>
                          <w:szCs w:val="20"/>
                          <w:lang w:val="en-US" w:eastAsia="it-IT"/>
                        </w:rPr>
                        <w:t xml:space="preserve">, but </w:t>
                      </w:r>
                      <w:r>
                        <w:rPr>
                          <w:rFonts w:ascii="Trebuchet MS" w:eastAsia="Times New Roman" w:hAnsi="Trebuchet MS" w:cs="Arial"/>
                          <w:color w:val="595959" w:themeColor="text1" w:themeTint="A6"/>
                          <w:sz w:val="20"/>
                          <w:szCs w:val="20"/>
                          <w:lang w:val="en-US" w:eastAsia="it-IT"/>
                        </w:rPr>
                        <w:t>it</w:t>
                      </w:r>
                      <w:r w:rsidRPr="00B20FDC">
                        <w:rPr>
                          <w:rFonts w:ascii="Trebuchet MS" w:eastAsia="Times New Roman" w:hAnsi="Trebuchet MS" w:cs="Arial"/>
                          <w:color w:val="595959" w:themeColor="text1" w:themeTint="A6"/>
                          <w:sz w:val="20"/>
                          <w:szCs w:val="20"/>
                          <w:lang w:val="en-US" w:eastAsia="it-IT"/>
                        </w:rPr>
                        <w:t xml:space="preserve"> was compromised by adverse climatic events that penalized the agricultural year. The production volumes of crops were particularly affected, while a good result was recorded for the livestock sector. The general sensitive rise </w:t>
                      </w:r>
                      <w:r>
                        <w:rPr>
                          <w:rFonts w:ascii="Trebuchet MS" w:eastAsia="Times New Roman" w:hAnsi="Trebuchet MS" w:cs="Arial"/>
                          <w:color w:val="595959" w:themeColor="text1" w:themeTint="A6"/>
                          <w:sz w:val="20"/>
                          <w:szCs w:val="20"/>
                          <w:lang w:val="en-US" w:eastAsia="it-IT"/>
                        </w:rPr>
                        <w:t xml:space="preserve">in prices has </w:t>
                      </w:r>
                      <w:r w:rsidRPr="00B20FDC">
                        <w:rPr>
                          <w:rFonts w:ascii="Trebuchet MS" w:eastAsia="Times New Roman" w:hAnsi="Trebuchet MS" w:cs="Arial"/>
                          <w:color w:val="595959" w:themeColor="text1" w:themeTint="A6"/>
                          <w:sz w:val="20"/>
                          <w:szCs w:val="20"/>
                          <w:lang w:val="en-US" w:eastAsia="it-IT"/>
                        </w:rPr>
                        <w:t>sustained the value of production but has led to a worseni</w:t>
                      </w:r>
                      <w:r>
                        <w:rPr>
                          <w:rFonts w:ascii="Trebuchet MS" w:eastAsia="Times New Roman" w:hAnsi="Trebuchet MS" w:cs="Arial"/>
                          <w:color w:val="595959" w:themeColor="text1" w:themeTint="A6"/>
                          <w:sz w:val="20"/>
                          <w:szCs w:val="20"/>
                          <w:lang w:val="en-US" w:eastAsia="it-IT"/>
                        </w:rPr>
                        <w:t xml:space="preserve">ng of the terms of trade it has </w:t>
                      </w:r>
                      <w:r w:rsidRPr="00B20FDC">
                        <w:rPr>
                          <w:rFonts w:ascii="Trebuchet MS" w:eastAsia="Times New Roman" w:hAnsi="Trebuchet MS" w:cs="Arial"/>
                          <w:color w:val="595959" w:themeColor="text1" w:themeTint="A6"/>
                          <w:sz w:val="20"/>
                          <w:szCs w:val="20"/>
                          <w:lang w:val="en-US" w:eastAsia="it-IT"/>
                        </w:rPr>
                        <w:t>sector operators penalized. The war in Ukraine, which has been going on for over two months, has nullified all possible predictions: the tightening of the price increases of energy raw materials and the new supply difficulties of companies, in addition to the p</w:t>
                      </w:r>
                      <w:r>
                        <w:rPr>
                          <w:rFonts w:ascii="Trebuchet MS" w:eastAsia="Times New Roman" w:hAnsi="Trebuchet MS" w:cs="Arial"/>
                          <w:color w:val="595959" w:themeColor="text1" w:themeTint="A6"/>
                          <w:sz w:val="20"/>
                          <w:szCs w:val="20"/>
                          <w:lang w:val="en-US" w:eastAsia="it-IT"/>
                        </w:rPr>
                        <w:t xml:space="preserve">re-existing supply bottlenecks, </w:t>
                      </w:r>
                      <w:r w:rsidRPr="00B20FDC">
                        <w:rPr>
                          <w:rFonts w:ascii="Trebuchet MS" w:eastAsia="Times New Roman" w:hAnsi="Trebuchet MS" w:cs="Arial"/>
                          <w:color w:val="595959" w:themeColor="text1" w:themeTint="A6"/>
                          <w:sz w:val="20"/>
                          <w:szCs w:val="20"/>
                          <w:lang w:val="en-US" w:eastAsia="it-IT"/>
                        </w:rPr>
                        <w:t>could have long-term consequences for Italian agriculture.</w:t>
                      </w:r>
                    </w:p>
                    <w:p w14:paraId="44CF8CD3" w14:textId="1B2D8CA4" w:rsidR="00AA41E7" w:rsidRPr="009C45BA" w:rsidRDefault="00AA41E7" w:rsidP="00463EB5">
                      <w:pPr>
                        <w:spacing w:after="120"/>
                        <w:ind w:left="142" w:right="170"/>
                        <w:jc w:val="both"/>
                        <w:rPr>
                          <w:rFonts w:ascii="Trebuchet MS" w:eastAsia="Times New Roman" w:hAnsi="Trebuchet MS" w:cs="Arial"/>
                          <w:color w:val="595959" w:themeColor="text1" w:themeTint="A6"/>
                          <w:sz w:val="20"/>
                          <w:szCs w:val="20"/>
                          <w:lang w:val="en-US" w:eastAsia="it-IT"/>
                        </w:rPr>
                      </w:pPr>
                      <w:r w:rsidRPr="00F14B4B">
                        <w:rPr>
                          <w:rFonts w:ascii="Trebuchet MS" w:eastAsia="Times New Roman" w:hAnsi="Trebuchet MS" w:cs="Arial"/>
                          <w:color w:val="595959" w:themeColor="text1" w:themeTint="A6"/>
                          <w:sz w:val="20"/>
                          <w:szCs w:val="20"/>
                          <w:lang w:val="en-US" w:eastAsia="it-IT"/>
                        </w:rPr>
                        <w:t xml:space="preserve">There are many initiatives for the agricultural sector, launched in response to the crisis linked to the pandemic, and more recently to that in Ukraine. The 2022 budget law continues the path of strengthening the agri-food system, in the context of support for the growth and competitiveness of the national economy. The set of interventions consists of investments for businesses, supply chains, </w:t>
                      </w:r>
                      <w:proofErr w:type="gramStart"/>
                      <w:r w:rsidRPr="00F14B4B">
                        <w:rPr>
                          <w:rFonts w:ascii="Trebuchet MS" w:eastAsia="Times New Roman" w:hAnsi="Trebuchet MS" w:cs="Arial"/>
                          <w:color w:val="595959" w:themeColor="text1" w:themeTint="A6"/>
                          <w:sz w:val="20"/>
                          <w:szCs w:val="20"/>
                          <w:lang w:val="en-US" w:eastAsia="it-IT"/>
                        </w:rPr>
                        <w:t>employment</w:t>
                      </w:r>
                      <w:proofErr w:type="gramEnd"/>
                      <w:r w:rsidRPr="00F14B4B">
                        <w:rPr>
                          <w:rFonts w:ascii="Trebuchet MS" w:eastAsia="Times New Roman" w:hAnsi="Trebuchet MS" w:cs="Arial"/>
                          <w:color w:val="595959" w:themeColor="text1" w:themeTint="A6"/>
                          <w:sz w:val="20"/>
                          <w:szCs w:val="20"/>
                          <w:lang w:val="en-US" w:eastAsia="it-IT"/>
                        </w:rPr>
                        <w:t xml:space="preserve"> and product protection, also by reiterating existing provisions and applying the instruments of </w:t>
                      </w:r>
                      <w:r w:rsidRPr="009C45BA">
                        <w:rPr>
                          <w:rFonts w:ascii="Trebuchet MS" w:eastAsia="Times New Roman" w:hAnsi="Trebuchet MS" w:cs="Arial"/>
                          <w:color w:val="595959" w:themeColor="text1" w:themeTint="A6"/>
                          <w:sz w:val="20"/>
                          <w:szCs w:val="20"/>
                          <w:lang w:val="en-US" w:eastAsia="it-IT"/>
                        </w:rPr>
                        <w:t>the EU’s common agricultural policy (CAP)</w:t>
                      </w:r>
                      <w:r>
                        <w:rPr>
                          <w:rFonts w:ascii="Trebuchet MS" w:eastAsia="Times New Roman" w:hAnsi="Trebuchet MS" w:cs="Arial"/>
                          <w:color w:val="595959" w:themeColor="text1" w:themeTint="A6"/>
                          <w:sz w:val="20"/>
                          <w:szCs w:val="20"/>
                          <w:lang w:val="en-US" w:eastAsia="it-IT"/>
                        </w:rPr>
                        <w:t xml:space="preserve"> </w:t>
                      </w:r>
                      <w:r w:rsidRPr="00F14B4B">
                        <w:rPr>
                          <w:rFonts w:ascii="Trebuchet MS" w:eastAsia="Times New Roman" w:hAnsi="Trebuchet MS" w:cs="Arial"/>
                          <w:color w:val="595959" w:themeColor="text1" w:themeTint="A6"/>
                          <w:sz w:val="20"/>
                          <w:szCs w:val="20"/>
                          <w:lang w:val="en-US" w:eastAsia="it-IT"/>
                        </w:rPr>
                        <w:t xml:space="preserve">more extensively. </w:t>
                      </w:r>
                      <w:r w:rsidRPr="009C45BA">
                        <w:rPr>
                          <w:rFonts w:ascii="Trebuchet MS" w:eastAsia="Times New Roman" w:hAnsi="Trebuchet MS" w:cs="Arial"/>
                          <w:color w:val="595959" w:themeColor="text1" w:themeTint="A6"/>
                          <w:sz w:val="20"/>
                          <w:szCs w:val="20"/>
                          <w:lang w:val="en-US" w:eastAsia="it-IT"/>
                        </w:rPr>
                        <w:t>In terms of emergency supplies, Italy has been assigned the largest share of the Next Generation EU, whose implementation has now come to life. However, the conflict in Ukraine has revived the theme of food security, prompting the EU to ask for the revision of national planning documents to strengthen the resilience of agriculture and reduce the dependence on foreign inputs of some inputs. The objectives focus on increasing the production of renewable energy and strengthening more sustainable production methods; at the same time, anti-crisis measures are being activated for the most affected markets, as well as the resumption of the use of fallow land, to increase production.</w:t>
                      </w:r>
                    </w:p>
                    <w:p w14:paraId="695A4F3F" w14:textId="77777777" w:rsidR="00AA41E7" w:rsidRPr="009C45BA" w:rsidRDefault="00AA41E7" w:rsidP="00960EA8">
                      <w:pPr>
                        <w:jc w:val="both"/>
                        <w:rPr>
                          <w:rFonts w:ascii="Trebuchet MS" w:eastAsia="Times New Roman" w:hAnsi="Trebuchet MS" w:cs="Arial"/>
                          <w:color w:val="595959" w:themeColor="text1" w:themeTint="A6"/>
                          <w:sz w:val="20"/>
                          <w:szCs w:val="20"/>
                          <w:lang w:val="en-US" w:eastAsia="it-IT"/>
                        </w:rPr>
                      </w:pPr>
                    </w:p>
                    <w:p w14:paraId="22E38702" w14:textId="5BB66A33" w:rsidR="00AA41E7" w:rsidRDefault="00AA41E7" w:rsidP="00960EA8">
                      <w:pPr>
                        <w:jc w:val="both"/>
                        <w:rPr>
                          <w:rFonts w:ascii="Trebuchet MS" w:eastAsia="Times New Roman" w:hAnsi="Trebuchet MS" w:cs="Arial"/>
                          <w:color w:val="595959" w:themeColor="text1" w:themeTint="A6"/>
                          <w:sz w:val="20"/>
                          <w:szCs w:val="20"/>
                          <w:lang w:eastAsia="it-IT"/>
                        </w:rPr>
                      </w:pPr>
                      <w:r>
                        <w:rPr>
                          <w:b/>
                          <w:noProof/>
                          <w:color w:val="17365D"/>
                          <w:sz w:val="25"/>
                          <w:szCs w:val="25"/>
                          <w:lang w:eastAsia="it-IT"/>
                        </w:rPr>
                        <w:drawing>
                          <wp:inline distT="0" distB="0" distL="0" distR="0" wp14:anchorId="1BEF63DF" wp14:editId="49D717BC">
                            <wp:extent cx="5862639" cy="1569492"/>
                            <wp:effectExtent l="0" t="0" r="508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418" cy="1587905"/>
                                    </a:xfrm>
                                    <a:prstGeom prst="rect">
                                      <a:avLst/>
                                    </a:prstGeom>
                                    <a:noFill/>
                                    <a:ln>
                                      <a:noFill/>
                                    </a:ln>
                                  </pic:spPr>
                                </pic:pic>
                              </a:graphicData>
                            </a:graphic>
                          </wp:inline>
                        </w:drawing>
                      </w:r>
                    </w:p>
                    <w:p w14:paraId="62386882" w14:textId="403F53F8" w:rsidR="00AA41E7" w:rsidRDefault="00AA41E7" w:rsidP="00960EA8">
                      <w:pPr>
                        <w:spacing w:before="121"/>
                        <w:ind w:right="106"/>
                        <w:jc w:val="both"/>
                        <w:rPr>
                          <w:rFonts w:ascii="Trebuchet MS" w:eastAsia="Times New Roman" w:hAnsi="Trebuchet MS" w:cs="Arial"/>
                          <w:color w:val="595959" w:themeColor="text1" w:themeTint="A6"/>
                          <w:sz w:val="20"/>
                          <w:szCs w:val="20"/>
                          <w:lang w:eastAsia="it-IT"/>
                        </w:rPr>
                      </w:pPr>
                    </w:p>
                    <w:p w14:paraId="290E374B" w14:textId="77777777" w:rsidR="00AA41E7" w:rsidRDefault="00AA41E7" w:rsidP="00960EA8">
                      <w:pPr>
                        <w:spacing w:before="121"/>
                        <w:ind w:left="107" w:right="106"/>
                        <w:jc w:val="both"/>
                        <w:rPr>
                          <w:rFonts w:ascii="Trebuchet MS" w:eastAsia="Times New Roman" w:hAnsi="Trebuchet MS" w:cs="Arial"/>
                          <w:color w:val="595959" w:themeColor="text1" w:themeTint="A6"/>
                          <w:sz w:val="20"/>
                          <w:szCs w:val="20"/>
                          <w:lang w:eastAsia="it-IT"/>
                        </w:rPr>
                      </w:pPr>
                    </w:p>
                    <w:p w14:paraId="216BF996" w14:textId="77777777" w:rsidR="00AA41E7" w:rsidRPr="00462BA9" w:rsidRDefault="00AA41E7" w:rsidP="00960EA8">
                      <w:pPr>
                        <w:spacing w:before="121"/>
                        <w:ind w:left="107" w:right="106"/>
                        <w:jc w:val="both"/>
                        <w:rPr>
                          <w:rFonts w:ascii="Trebuchet MS" w:eastAsia="Times New Roman" w:hAnsi="Trebuchet MS" w:cs="Arial"/>
                          <w:color w:val="595959" w:themeColor="text1" w:themeTint="A6"/>
                          <w:sz w:val="20"/>
                          <w:szCs w:val="20"/>
                          <w:lang w:eastAsia="it-IT"/>
                        </w:rPr>
                      </w:pPr>
                    </w:p>
                    <w:p w14:paraId="4652B1F4" w14:textId="540D927D" w:rsidR="00AA41E7" w:rsidRDefault="00AA41E7" w:rsidP="00960EA8">
                      <w:pPr>
                        <w:spacing w:before="121"/>
                        <w:ind w:right="106"/>
                        <w:jc w:val="both"/>
                        <w:rPr>
                          <w:b/>
                          <w:color w:val="17365D"/>
                          <w:sz w:val="25"/>
                          <w:szCs w:val="25"/>
                        </w:rPr>
                      </w:pPr>
                    </w:p>
                    <w:p w14:paraId="6D81BBE6" w14:textId="77777777" w:rsidR="00AA41E7" w:rsidRDefault="00AA41E7" w:rsidP="00960EA8">
                      <w:pPr>
                        <w:spacing w:before="121"/>
                        <w:ind w:left="107" w:right="106"/>
                        <w:jc w:val="both"/>
                        <w:rPr>
                          <w:color w:val="17365D"/>
                          <w:sz w:val="25"/>
                          <w:szCs w:val="25"/>
                        </w:rPr>
                      </w:pPr>
                    </w:p>
                    <w:p w14:paraId="251253BA" w14:textId="77777777" w:rsidR="00AA41E7" w:rsidRPr="005B1EAC" w:rsidRDefault="00AA41E7" w:rsidP="00960EA8">
                      <w:pPr>
                        <w:spacing w:before="121"/>
                        <w:ind w:left="107" w:right="106"/>
                        <w:jc w:val="both"/>
                        <w:rPr>
                          <w:color w:val="17365D"/>
                          <w:sz w:val="25"/>
                          <w:szCs w:val="25"/>
                        </w:rPr>
                      </w:pPr>
                    </w:p>
                    <w:p w14:paraId="4B22D312" w14:textId="77777777" w:rsidR="00AA41E7" w:rsidRPr="005B1EAC" w:rsidRDefault="00AA41E7" w:rsidP="00960EA8">
                      <w:pPr>
                        <w:spacing w:before="121"/>
                        <w:ind w:left="107" w:right="106"/>
                        <w:jc w:val="both"/>
                        <w:rPr>
                          <w:sz w:val="25"/>
                          <w:szCs w:val="25"/>
                        </w:rPr>
                      </w:pPr>
                    </w:p>
                  </w:txbxContent>
                </v:textbox>
                <w10:wrap type="topAndBottom" anchorx="margin"/>
              </v:shape>
            </w:pict>
          </mc:Fallback>
        </mc:AlternateContent>
      </w:r>
      <w:r w:rsidR="0035113D" w:rsidRPr="007B7D08">
        <w:rPr>
          <w:color w:val="585858"/>
          <w:w w:val="80"/>
          <w:sz w:val="24"/>
          <w:szCs w:val="24"/>
          <w:lang w:val="en-US"/>
        </w:rPr>
        <w:t>Year</w:t>
      </w:r>
      <w:r w:rsidR="005624D2" w:rsidRPr="007B7D08">
        <w:rPr>
          <w:color w:val="585858"/>
          <w:spacing w:val="11"/>
          <w:w w:val="80"/>
          <w:sz w:val="24"/>
          <w:szCs w:val="24"/>
          <w:lang w:val="en-US"/>
        </w:rPr>
        <w:t xml:space="preserve"> </w:t>
      </w:r>
      <w:r w:rsidR="00B56DD3" w:rsidRPr="007B7D08">
        <w:rPr>
          <w:color w:val="585858"/>
          <w:w w:val="80"/>
          <w:sz w:val="24"/>
          <w:szCs w:val="24"/>
          <w:lang w:val="en-US"/>
        </w:rPr>
        <w:t>2021</w:t>
      </w:r>
    </w:p>
    <w:p w14:paraId="1FF1BFEF" w14:textId="07B41A2E" w:rsidR="003F4634" w:rsidRPr="007B7D08" w:rsidRDefault="003F4634" w:rsidP="003F4634">
      <w:pPr>
        <w:spacing w:before="121"/>
        <w:ind w:right="3"/>
        <w:jc w:val="both"/>
        <w:rPr>
          <w:rFonts w:ascii="Trebuchet MS" w:eastAsia="Times New Roman" w:hAnsi="Trebuchet MS" w:cs="Arial"/>
          <w:color w:val="595959" w:themeColor="text1" w:themeTint="A6"/>
          <w:sz w:val="20"/>
          <w:szCs w:val="20"/>
          <w:lang w:val="en-US" w:eastAsia="it-IT"/>
        </w:rPr>
      </w:pPr>
    </w:p>
    <w:p w14:paraId="7B438E97" w14:textId="7C87BA4A" w:rsidR="00B4310D" w:rsidRPr="007B7D08" w:rsidRDefault="00B4310D" w:rsidP="00F01275">
      <w:pPr>
        <w:pStyle w:val="Corpotesto"/>
        <w:tabs>
          <w:tab w:val="left" w:pos="1134"/>
        </w:tabs>
        <w:spacing w:before="112"/>
        <w:ind w:left="1494"/>
        <w:jc w:val="both"/>
        <w:rPr>
          <w:color w:val="17365D"/>
          <w:lang w:val="en-US"/>
        </w:rPr>
      </w:pPr>
    </w:p>
    <w:p w14:paraId="360C81E4" w14:textId="77777777" w:rsidR="00960EA8" w:rsidRPr="007B7D08" w:rsidRDefault="00960EA8" w:rsidP="007B79FB">
      <w:pPr>
        <w:widowControl/>
        <w:autoSpaceDE/>
        <w:autoSpaceDN/>
        <w:spacing w:after="120"/>
        <w:rPr>
          <w:rStyle w:val="fontstyle01"/>
          <w:rFonts w:ascii="Trebuchet MS" w:eastAsia="Times New Roman" w:hAnsi="Trebuchet MS" w:cs="Times New Roman"/>
          <w:bCs w:val="0"/>
          <w:iCs/>
          <w:color w:val="17365D"/>
          <w:lang w:val="en-US" w:eastAsia="it-IT"/>
        </w:rPr>
      </w:pPr>
    </w:p>
    <w:p w14:paraId="18DFDAC7" w14:textId="77777777" w:rsidR="00960EA8" w:rsidRPr="007B7D08" w:rsidRDefault="00960EA8" w:rsidP="007B79FB">
      <w:pPr>
        <w:widowControl/>
        <w:autoSpaceDE/>
        <w:autoSpaceDN/>
        <w:spacing w:after="120"/>
        <w:rPr>
          <w:rStyle w:val="fontstyle01"/>
          <w:rFonts w:ascii="Trebuchet MS" w:eastAsia="Times New Roman" w:hAnsi="Trebuchet MS" w:cs="Times New Roman"/>
          <w:bCs w:val="0"/>
          <w:iCs/>
          <w:color w:val="17365D"/>
          <w:lang w:val="en-US" w:eastAsia="it-IT"/>
        </w:rPr>
      </w:pPr>
    </w:p>
    <w:p w14:paraId="3426ACEC" w14:textId="77777777" w:rsidR="00941610" w:rsidRPr="007B7D08" w:rsidRDefault="00941610" w:rsidP="00463EB5">
      <w:pPr>
        <w:widowControl/>
        <w:suppressAutoHyphens/>
        <w:autoSpaceDE/>
        <w:spacing w:after="120"/>
        <w:jc w:val="both"/>
        <w:textAlignment w:val="baseline"/>
        <w:rPr>
          <w:rStyle w:val="fontstyle01"/>
          <w:rFonts w:ascii="Trebuchet MS" w:eastAsia="Times New Roman" w:hAnsi="Trebuchet MS" w:cs="Times New Roman"/>
          <w:bCs w:val="0"/>
          <w:iCs/>
          <w:color w:val="595959" w:themeColor="text1" w:themeTint="A6"/>
          <w:lang w:val="en-US" w:eastAsia="it-IT"/>
        </w:rPr>
      </w:pPr>
      <w:r w:rsidRPr="007B7D08">
        <w:rPr>
          <w:rStyle w:val="fontstyle01"/>
          <w:rFonts w:ascii="Trebuchet MS" w:eastAsia="Times New Roman" w:hAnsi="Trebuchet MS" w:cs="Times New Roman"/>
          <w:bCs w:val="0"/>
          <w:iCs/>
          <w:color w:val="595959" w:themeColor="text1" w:themeTint="A6"/>
          <w:lang w:val="en-US" w:eastAsia="it-IT"/>
        </w:rPr>
        <w:lastRenderedPageBreak/>
        <w:t>The agricultural and agri-food sector in the phase of the pandemic crisis</w:t>
      </w:r>
    </w:p>
    <w:p w14:paraId="1CE36E04" w14:textId="46948E88" w:rsidR="00960EA8" w:rsidRPr="00941610" w:rsidRDefault="00941610" w:rsidP="00463EB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941610">
        <w:rPr>
          <w:rFonts w:ascii="Trebuchet MS" w:eastAsia="Times New Roman" w:hAnsi="Trebuchet MS" w:cs="Arial"/>
          <w:color w:val="595959" w:themeColor="text1" w:themeTint="A6"/>
          <w:sz w:val="20"/>
          <w:szCs w:val="20"/>
          <w:lang w:val="en-US" w:eastAsia="it-IT"/>
        </w:rPr>
        <w:t>Since the beginning of the pandemic, the production chain in the agriculture, forestry and fishing sector has not suffered significant interruptions: the activities related to cultivation and fishing have been included, with some differentiations, among those deemed necessary and, therefore, for them</w:t>
      </w:r>
      <w:r>
        <w:rPr>
          <w:rFonts w:ascii="Trebuchet MS" w:eastAsia="Times New Roman" w:hAnsi="Trebuchet MS" w:cs="Arial"/>
          <w:color w:val="595959" w:themeColor="text1" w:themeTint="A6"/>
          <w:sz w:val="20"/>
          <w:szCs w:val="20"/>
          <w:lang w:val="en-US" w:eastAsia="it-IT"/>
        </w:rPr>
        <w:t>,</w:t>
      </w:r>
      <w:r w:rsidRPr="00941610">
        <w:rPr>
          <w:rFonts w:ascii="Trebuchet MS" w:eastAsia="Times New Roman" w:hAnsi="Trebuchet MS" w:cs="Arial"/>
          <w:color w:val="595959" w:themeColor="text1" w:themeTint="A6"/>
          <w:sz w:val="20"/>
          <w:szCs w:val="20"/>
          <w:lang w:val="en-US" w:eastAsia="it-IT"/>
        </w:rPr>
        <w:t xml:space="preserve"> were not applied the prohibitions imposed for other production or trading activities </w:t>
      </w:r>
      <w:proofErr w:type="gramStart"/>
      <w:r w:rsidRPr="00941610">
        <w:rPr>
          <w:rFonts w:ascii="Trebuchet MS" w:eastAsia="Times New Roman" w:hAnsi="Trebuchet MS" w:cs="Arial"/>
          <w:color w:val="595959" w:themeColor="text1" w:themeTint="A6"/>
          <w:sz w:val="20"/>
          <w:szCs w:val="20"/>
          <w:lang w:val="en-US" w:eastAsia="it-IT"/>
        </w:rPr>
        <w:t>in order to</w:t>
      </w:r>
      <w:proofErr w:type="gramEnd"/>
      <w:r w:rsidRPr="00941610">
        <w:rPr>
          <w:rFonts w:ascii="Trebuchet MS" w:eastAsia="Times New Roman" w:hAnsi="Trebuchet MS" w:cs="Arial"/>
          <w:color w:val="595959" w:themeColor="text1" w:themeTint="A6"/>
          <w:sz w:val="20"/>
          <w:szCs w:val="20"/>
          <w:lang w:val="en-US" w:eastAsia="it-IT"/>
        </w:rPr>
        <w:t xml:space="preserve"> contain the spread of the infection.</w:t>
      </w:r>
      <w:r w:rsidR="00960EA8" w:rsidRPr="00941610">
        <w:rPr>
          <w:rFonts w:ascii="Trebuchet MS" w:eastAsia="Times New Roman" w:hAnsi="Trebuchet MS" w:cs="Arial"/>
          <w:color w:val="595959" w:themeColor="text1" w:themeTint="A6"/>
          <w:sz w:val="20"/>
          <w:szCs w:val="20"/>
          <w:lang w:val="en-US" w:eastAsia="it-IT"/>
        </w:rPr>
        <w:t xml:space="preserve"> </w:t>
      </w:r>
    </w:p>
    <w:p w14:paraId="5C005177" w14:textId="27E34EBD" w:rsidR="00960EA8" w:rsidRPr="00E303CD" w:rsidRDefault="00E303CD" w:rsidP="00463EB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E303CD">
        <w:rPr>
          <w:rFonts w:ascii="Trebuchet MS" w:eastAsia="Times New Roman" w:hAnsi="Trebuchet MS" w:cs="Arial"/>
          <w:color w:val="595959" w:themeColor="text1" w:themeTint="A6"/>
          <w:sz w:val="20"/>
          <w:szCs w:val="20"/>
          <w:lang w:val="en-US" w:eastAsia="it-IT"/>
        </w:rPr>
        <w:t>Indeed, guaranteeing food safety has been one of the key priorities of governments and the European Commission. However, even the primary sector has had to contend with the complexities within the logistic chains, the restrictions on freedom of movement, the significant shortage of human resources (especially immigrants unable to reach the places of seasonal production) as well as the generalized fall of consumer income. The sector in 2020 lost 1.8% of production and 4.7% of value added in volume, compared to a decline of 8.8% recorded for the entire national economy.</w:t>
      </w:r>
      <w:r w:rsidR="00960EA8" w:rsidRPr="00E303CD">
        <w:rPr>
          <w:rFonts w:ascii="Trebuchet MS" w:eastAsia="Times New Roman" w:hAnsi="Trebuchet MS" w:cs="Arial"/>
          <w:color w:val="595959" w:themeColor="text1" w:themeTint="A6"/>
          <w:sz w:val="20"/>
          <w:szCs w:val="20"/>
          <w:lang w:val="en-US" w:eastAsia="it-IT"/>
        </w:rPr>
        <w:t xml:space="preserve"> </w:t>
      </w:r>
    </w:p>
    <w:p w14:paraId="02FC44A9" w14:textId="70B82BEE" w:rsidR="00346AFB" w:rsidRPr="00E303CD" w:rsidRDefault="00E303CD" w:rsidP="00463EB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E303CD">
        <w:rPr>
          <w:rFonts w:ascii="Trebuchet MS" w:eastAsia="Times New Roman" w:hAnsi="Trebuchet MS" w:cs="Arial"/>
          <w:color w:val="595959" w:themeColor="text1" w:themeTint="A6"/>
          <w:sz w:val="20"/>
          <w:szCs w:val="20"/>
          <w:lang w:val="en-US" w:eastAsia="it-IT"/>
        </w:rPr>
        <w:t xml:space="preserve">The crisis has damaged above all secondary activities, </w:t>
      </w:r>
      <w:proofErr w:type="gramStart"/>
      <w:r w:rsidRPr="00E303CD">
        <w:rPr>
          <w:rFonts w:ascii="Trebuchet MS" w:eastAsia="Times New Roman" w:hAnsi="Trebuchet MS" w:cs="Arial"/>
          <w:color w:val="595959" w:themeColor="text1" w:themeTint="A6"/>
          <w:sz w:val="20"/>
          <w:szCs w:val="20"/>
          <w:lang w:val="en-US" w:eastAsia="it-IT"/>
        </w:rPr>
        <w:t>first of all</w:t>
      </w:r>
      <w:proofErr w:type="gramEnd"/>
      <w:r w:rsidRPr="00E303CD">
        <w:rPr>
          <w:rFonts w:ascii="Trebuchet MS" w:eastAsia="Times New Roman" w:hAnsi="Trebuchet MS" w:cs="Arial"/>
          <w:color w:val="595959" w:themeColor="text1" w:themeTint="A6"/>
          <w:sz w:val="20"/>
          <w:szCs w:val="20"/>
          <w:lang w:val="en-US" w:eastAsia="it-IT"/>
        </w:rPr>
        <w:t xml:space="preserve"> the agritourism sector. The fishing sector in 2020 also suffered a heavy downsizing (-19.9% of production and -26.8% of value added in volume).</w:t>
      </w:r>
      <w:r w:rsidR="00960EA8" w:rsidRPr="00E303CD">
        <w:rPr>
          <w:rFonts w:ascii="Trebuchet MS" w:eastAsia="Times New Roman" w:hAnsi="Trebuchet MS" w:cs="Arial"/>
          <w:color w:val="595959" w:themeColor="text1" w:themeTint="A6"/>
          <w:sz w:val="20"/>
          <w:szCs w:val="20"/>
          <w:lang w:val="en-US" w:eastAsia="it-IT"/>
        </w:rPr>
        <w:t xml:space="preserve"> </w:t>
      </w:r>
    </w:p>
    <w:p w14:paraId="091726F2" w14:textId="38BF4E37" w:rsidR="00E7049F" w:rsidRDefault="00E303CD" w:rsidP="00463EB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E303CD">
        <w:rPr>
          <w:rFonts w:ascii="Trebuchet MS" w:eastAsia="Times New Roman" w:hAnsi="Trebuchet MS" w:cs="Arial"/>
          <w:color w:val="595959" w:themeColor="text1" w:themeTint="A6"/>
          <w:sz w:val="20"/>
          <w:szCs w:val="20"/>
          <w:lang w:val="en-US" w:eastAsia="it-IT"/>
        </w:rPr>
        <w:t>In 2021, agriculture did not benefit from the recovery of the national economy as it was strongly affected by adverse climatic factors: production volumes in fact decreased further (-0.4%) and the significant increase in production costs led to a new drop in value added of 0.8%. Nonetheless, positive signs came from the data on employment and agricultural incomes; the agri-food sector also recorded a growth in volume of 2.4%.</w:t>
      </w:r>
      <w:r w:rsidR="00F947CA" w:rsidRPr="00E303CD">
        <w:rPr>
          <w:rFonts w:ascii="Trebuchet MS" w:eastAsia="Times New Roman" w:hAnsi="Trebuchet MS" w:cs="Arial"/>
          <w:color w:val="595959" w:themeColor="text1" w:themeTint="A6"/>
          <w:sz w:val="20"/>
          <w:szCs w:val="20"/>
          <w:lang w:val="en-US" w:eastAsia="it-IT"/>
        </w:rPr>
        <w:t xml:space="preserve"> </w:t>
      </w:r>
    </w:p>
    <w:p w14:paraId="1E286C06" w14:textId="77777777" w:rsidR="00463EB5" w:rsidRPr="00E303CD" w:rsidRDefault="00463EB5" w:rsidP="00463EB5">
      <w:pPr>
        <w:widowControl/>
        <w:suppressAutoHyphens/>
        <w:autoSpaceDE/>
        <w:spacing w:after="120"/>
        <w:jc w:val="both"/>
        <w:textAlignment w:val="baseline"/>
        <w:rPr>
          <w:b/>
          <w:bCs/>
          <w:color w:val="595959" w:themeColor="text1" w:themeTint="A6"/>
          <w:spacing w:val="14"/>
          <w:w w:val="80"/>
          <w:sz w:val="11"/>
          <w:szCs w:val="21"/>
          <w:lang w:val="en-US"/>
        </w:rPr>
      </w:pPr>
    </w:p>
    <w:p w14:paraId="06F9EC61" w14:textId="1C9961A0" w:rsidR="00D87C8F" w:rsidRPr="00C95D28" w:rsidRDefault="00C95D28" w:rsidP="00463EB5">
      <w:pPr>
        <w:widowControl/>
        <w:autoSpaceDE/>
        <w:autoSpaceDN/>
        <w:spacing w:after="120"/>
        <w:rPr>
          <w:rStyle w:val="fontstyle01"/>
          <w:rFonts w:ascii="Trebuchet MS" w:eastAsia="Times New Roman" w:hAnsi="Trebuchet MS" w:cs="Times New Roman"/>
          <w:bCs w:val="0"/>
          <w:iCs/>
          <w:color w:val="595959" w:themeColor="text1" w:themeTint="A6"/>
          <w:lang w:val="en-US" w:eastAsia="it-IT"/>
        </w:rPr>
      </w:pPr>
      <w:r w:rsidRPr="00C95D28">
        <w:rPr>
          <w:rStyle w:val="fontstyle01"/>
          <w:rFonts w:ascii="Trebuchet MS" w:eastAsia="Times New Roman" w:hAnsi="Trebuchet MS" w:cs="Times New Roman"/>
          <w:bCs w:val="0"/>
          <w:iCs/>
          <w:color w:val="595959" w:themeColor="text1" w:themeTint="A6"/>
          <w:lang w:val="en-US" w:eastAsia="it-IT"/>
        </w:rPr>
        <w:t>From resilience in 2020 to a slowed recovery in 2021</w:t>
      </w:r>
    </w:p>
    <w:p w14:paraId="4BFE114E" w14:textId="41CC1791" w:rsidR="00960EA8" w:rsidRPr="009F72A5" w:rsidRDefault="009F72A5" w:rsidP="00463EB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9F72A5">
        <w:rPr>
          <w:rFonts w:ascii="Trebuchet MS" w:eastAsia="Times New Roman" w:hAnsi="Trebuchet MS" w:cs="Arial"/>
          <w:color w:val="595959" w:themeColor="text1" w:themeTint="A6"/>
          <w:sz w:val="20"/>
          <w:szCs w:val="20"/>
          <w:lang w:val="en-US" w:eastAsia="it-IT"/>
        </w:rPr>
        <w:t xml:space="preserve">In the 2020-2021 two-year period, agriculture, as an essential activity, enjoyed a level of operations that allowed it to maintain its contribution to the formation of national wealth unchanged. Above all secondary activities and support services paid the price of the crisis, but the resilience capacity of the sector made it possible to contain the loss of </w:t>
      </w:r>
      <w:r w:rsidR="000D6E2A">
        <w:rPr>
          <w:rFonts w:ascii="Trebuchet MS" w:eastAsia="Times New Roman" w:hAnsi="Trebuchet MS" w:cs="Arial"/>
          <w:color w:val="595959" w:themeColor="text1" w:themeTint="A6"/>
          <w:sz w:val="20"/>
          <w:szCs w:val="20"/>
          <w:lang w:val="en-US" w:eastAsia="it-IT"/>
        </w:rPr>
        <w:t>value added</w:t>
      </w:r>
      <w:r w:rsidRPr="009F72A5">
        <w:rPr>
          <w:rFonts w:ascii="Trebuchet MS" w:eastAsia="Times New Roman" w:hAnsi="Trebuchet MS" w:cs="Arial"/>
          <w:color w:val="595959" w:themeColor="text1" w:themeTint="A6"/>
          <w:sz w:val="20"/>
          <w:szCs w:val="20"/>
          <w:lang w:val="en-US" w:eastAsia="it-IT"/>
        </w:rPr>
        <w:t>, which in 2020 decreased in volume by 4.7%, stopping just above the 33.3 billion euros.</w:t>
      </w:r>
    </w:p>
    <w:p w14:paraId="6CEAAA49" w14:textId="19B5F78C" w:rsidR="00960EA8" w:rsidRPr="009F72A5" w:rsidRDefault="009F72A5" w:rsidP="00463EB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9F72A5">
        <w:rPr>
          <w:rFonts w:ascii="Trebuchet MS" w:eastAsia="Times New Roman" w:hAnsi="Trebuchet MS" w:cs="Arial"/>
          <w:color w:val="595959" w:themeColor="text1" w:themeTint="A6"/>
          <w:sz w:val="20"/>
          <w:szCs w:val="20"/>
          <w:lang w:val="en-US" w:eastAsia="it-IT"/>
        </w:rPr>
        <w:t xml:space="preserve">However, in 2021 the agriculture, forestry and fishing sector suffered the negative effects of adverse climatic conditions to which was added, especially in the second half of the year, the sharp rise in the costs of production inputs. In contrast to the other economic sectors, which experienced a general recovery of </w:t>
      </w:r>
      <w:r w:rsidR="000D6E2A">
        <w:rPr>
          <w:rFonts w:ascii="Trebuchet MS" w:eastAsia="Times New Roman" w:hAnsi="Trebuchet MS" w:cs="Arial"/>
          <w:color w:val="595959" w:themeColor="text1" w:themeTint="A6"/>
          <w:sz w:val="20"/>
          <w:szCs w:val="20"/>
          <w:lang w:val="en-US" w:eastAsia="it-IT"/>
        </w:rPr>
        <w:t>value added</w:t>
      </w:r>
      <w:r w:rsidRPr="009F72A5">
        <w:rPr>
          <w:rFonts w:ascii="Trebuchet MS" w:eastAsia="Times New Roman" w:hAnsi="Trebuchet MS" w:cs="Arial"/>
          <w:color w:val="595959" w:themeColor="text1" w:themeTint="A6"/>
          <w:sz w:val="20"/>
          <w:szCs w:val="20"/>
          <w:lang w:val="en-US" w:eastAsia="it-IT"/>
        </w:rPr>
        <w:t>, the sector therefore recorded a further modest contraction: production decreased in volume by 0.4% and value added by 0.8% (</w:t>
      </w:r>
      <w:r>
        <w:rPr>
          <w:rFonts w:ascii="Trebuchet MS" w:eastAsia="Times New Roman" w:hAnsi="Trebuchet MS" w:cs="Arial"/>
          <w:color w:val="595959" w:themeColor="text1" w:themeTint="A6"/>
          <w:sz w:val="20"/>
          <w:szCs w:val="20"/>
          <w:lang w:val="en-US" w:eastAsia="it-IT"/>
        </w:rPr>
        <w:t>Table</w:t>
      </w:r>
      <w:r w:rsidRPr="009F72A5">
        <w:rPr>
          <w:rFonts w:ascii="Trebuchet MS" w:eastAsia="Times New Roman" w:hAnsi="Trebuchet MS" w:cs="Arial"/>
          <w:color w:val="595959" w:themeColor="text1" w:themeTint="A6"/>
          <w:sz w:val="20"/>
          <w:szCs w:val="20"/>
          <w:lang w:val="en-US" w:eastAsia="it-IT"/>
        </w:rPr>
        <w:t xml:space="preserve"> 1).</w:t>
      </w:r>
      <w:r w:rsidR="00346AFB" w:rsidRPr="009F72A5">
        <w:rPr>
          <w:rFonts w:ascii="Trebuchet MS" w:eastAsia="Times New Roman" w:hAnsi="Trebuchet MS" w:cs="Arial"/>
          <w:color w:val="595959" w:themeColor="text1" w:themeTint="A6"/>
          <w:sz w:val="20"/>
          <w:szCs w:val="20"/>
          <w:lang w:val="en-US" w:eastAsia="it-IT"/>
        </w:rPr>
        <w:t xml:space="preserve"> </w:t>
      </w:r>
      <w:r w:rsidRPr="009F72A5">
        <w:rPr>
          <w:rFonts w:ascii="Trebuchet MS" w:eastAsia="Times New Roman" w:hAnsi="Trebuchet MS" w:cs="Arial"/>
          <w:color w:val="595959" w:themeColor="text1" w:themeTint="A6"/>
          <w:sz w:val="20"/>
          <w:szCs w:val="20"/>
          <w:lang w:val="en-US" w:eastAsia="it-IT"/>
        </w:rPr>
        <w:t>Typical agricultural products have undergone a 1.2% contraction in the volume of production and 0.6% in the value added and substantial decreases have also affected forestry, whose production has lost 5.3% in volume (-3.2% value added) and fishing (-1.8% production and -2.9% value added in volume). Only the secondary agricultural activities, which in 2020 had experienced a drastic reduction in production volumes (-17.2%), recorded a consistent recovery in 2021 (+ 9.6%).</w:t>
      </w:r>
    </w:p>
    <w:p w14:paraId="142E484F" w14:textId="77777777" w:rsidR="00463EB5" w:rsidRDefault="00AF0C88" w:rsidP="00463EB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AF0C88">
        <w:rPr>
          <w:rFonts w:ascii="Trebuchet MS" w:eastAsia="Times New Roman" w:hAnsi="Trebuchet MS" w:cs="Arial"/>
          <w:color w:val="595959" w:themeColor="text1" w:themeTint="A6"/>
          <w:sz w:val="20"/>
          <w:szCs w:val="20"/>
          <w:lang w:val="en-US" w:eastAsia="it-IT"/>
        </w:rPr>
        <w:t>The distinctive element of the two-year period, especially the last year, was the progressive increase in prices, which grew from 0.7% to 6.7%, and the sudden increase in the costs of intermediate consumption, from -1% in 2020 to + 8.5% in 202</w:t>
      </w:r>
      <w:r w:rsidR="00463EB5">
        <w:rPr>
          <w:rFonts w:ascii="Trebuchet MS" w:eastAsia="Times New Roman" w:hAnsi="Trebuchet MS" w:cs="Arial"/>
          <w:color w:val="595959" w:themeColor="text1" w:themeTint="A6"/>
          <w:sz w:val="20"/>
          <w:szCs w:val="20"/>
          <w:lang w:val="en-US" w:eastAsia="it-IT"/>
        </w:rPr>
        <w:t>.</w:t>
      </w:r>
    </w:p>
    <w:p w14:paraId="4E98BC37" w14:textId="77777777" w:rsidR="00463EB5" w:rsidRPr="00B81B92" w:rsidRDefault="00463EB5" w:rsidP="00463EB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B81B92">
        <w:rPr>
          <w:rFonts w:ascii="Trebuchet MS" w:eastAsia="Times New Roman" w:hAnsi="Trebuchet MS" w:cs="Arial"/>
          <w:color w:val="595959" w:themeColor="text1" w:themeTint="A6"/>
          <w:sz w:val="20"/>
          <w:szCs w:val="20"/>
          <w:lang w:val="en-US" w:eastAsia="it-IT"/>
        </w:rPr>
        <w:t xml:space="preserve">The value added of the food, </w:t>
      </w:r>
      <w:proofErr w:type="gramStart"/>
      <w:r w:rsidRPr="00B81B92">
        <w:rPr>
          <w:rFonts w:ascii="Trebuchet MS" w:eastAsia="Times New Roman" w:hAnsi="Trebuchet MS" w:cs="Arial"/>
          <w:color w:val="595959" w:themeColor="text1" w:themeTint="A6"/>
          <w:sz w:val="20"/>
          <w:szCs w:val="20"/>
          <w:lang w:val="en-US" w:eastAsia="it-IT"/>
        </w:rPr>
        <w:t>beverage</w:t>
      </w:r>
      <w:proofErr w:type="gramEnd"/>
      <w:r w:rsidRPr="00B81B92">
        <w:rPr>
          <w:rFonts w:ascii="Trebuchet MS" w:eastAsia="Times New Roman" w:hAnsi="Trebuchet MS" w:cs="Arial"/>
          <w:color w:val="595959" w:themeColor="text1" w:themeTint="A6"/>
          <w:sz w:val="20"/>
          <w:szCs w:val="20"/>
          <w:lang w:val="en-US" w:eastAsia="it-IT"/>
        </w:rPr>
        <w:t xml:space="preserve"> and tobacco industry, which grew by 1.6% at current prices but decreased by 3.3% in volume in 2020, marked a substantial increase in volume in 2021 (+ 6%) and a decrease of 2.6% at current prices (</w:t>
      </w:r>
      <w:r>
        <w:rPr>
          <w:rFonts w:ascii="Trebuchet MS" w:eastAsia="Times New Roman" w:hAnsi="Trebuchet MS" w:cs="Arial"/>
          <w:color w:val="595959" w:themeColor="text1" w:themeTint="A6"/>
          <w:sz w:val="20"/>
          <w:szCs w:val="20"/>
          <w:lang w:val="en-US" w:eastAsia="it-IT"/>
        </w:rPr>
        <w:t>Table</w:t>
      </w:r>
      <w:r w:rsidRPr="00B81B92">
        <w:rPr>
          <w:rFonts w:ascii="Trebuchet MS" w:eastAsia="Times New Roman" w:hAnsi="Trebuchet MS" w:cs="Arial"/>
          <w:color w:val="595959" w:themeColor="text1" w:themeTint="A6"/>
          <w:sz w:val="20"/>
          <w:szCs w:val="20"/>
          <w:lang w:val="en-US" w:eastAsia="it-IT"/>
        </w:rPr>
        <w:t xml:space="preserve"> 2). </w:t>
      </w:r>
    </w:p>
    <w:p w14:paraId="547968B0" w14:textId="77777777" w:rsidR="00463EB5" w:rsidRPr="0016267A" w:rsidRDefault="00463EB5" w:rsidP="00463EB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16267A">
        <w:rPr>
          <w:rFonts w:ascii="Trebuchet MS" w:eastAsia="Times New Roman" w:hAnsi="Trebuchet MS" w:cs="Arial"/>
          <w:color w:val="595959" w:themeColor="text1" w:themeTint="A6"/>
          <w:sz w:val="20"/>
          <w:szCs w:val="20"/>
          <w:lang w:val="en-US" w:eastAsia="it-IT"/>
        </w:rPr>
        <w:t xml:space="preserve">The recovery favored the agri-food sector </w:t>
      </w:r>
      <w:proofErr w:type="gramStart"/>
      <w:r w:rsidRPr="0016267A">
        <w:rPr>
          <w:rFonts w:ascii="Trebuchet MS" w:eastAsia="Times New Roman" w:hAnsi="Trebuchet MS" w:cs="Arial"/>
          <w:color w:val="595959" w:themeColor="text1" w:themeTint="A6"/>
          <w:sz w:val="20"/>
          <w:szCs w:val="20"/>
          <w:lang w:val="en-US" w:eastAsia="it-IT"/>
        </w:rPr>
        <w:t>as a whole which</w:t>
      </w:r>
      <w:proofErr w:type="gramEnd"/>
      <w:r w:rsidRPr="0016267A">
        <w:rPr>
          <w:rFonts w:ascii="Trebuchet MS" w:eastAsia="Times New Roman" w:hAnsi="Trebuchet MS" w:cs="Arial"/>
          <w:color w:val="595959" w:themeColor="text1" w:themeTint="A6"/>
          <w:sz w:val="20"/>
          <w:szCs w:val="20"/>
          <w:lang w:val="en-US" w:eastAsia="it-IT"/>
        </w:rPr>
        <w:t>, after the contraction in the first year of the pandemic (-0.7% value added at current prices and -4.1% in volume), resumed growth in 2021, registering a 1% increase in value added at current prices and 2.4% in volume. However, in the overall national context, the recovery was less consistent than in the other sectors: in the photo of 2021, the agri-food sector represents 4.1% of the value added of the entire eco</w:t>
      </w:r>
      <w:r>
        <w:rPr>
          <w:rFonts w:ascii="Trebuchet MS" w:eastAsia="Times New Roman" w:hAnsi="Trebuchet MS" w:cs="Arial"/>
          <w:color w:val="595959" w:themeColor="text1" w:themeTint="A6"/>
          <w:sz w:val="20"/>
          <w:szCs w:val="20"/>
          <w:lang w:val="en-US" w:eastAsia="it-IT"/>
        </w:rPr>
        <w:t>nomy (4.3% in 2020), of which 2.</w:t>
      </w:r>
      <w:r w:rsidRPr="0016267A">
        <w:rPr>
          <w:rFonts w:ascii="Trebuchet MS" w:eastAsia="Times New Roman" w:hAnsi="Trebuchet MS" w:cs="Arial"/>
          <w:color w:val="595959" w:themeColor="text1" w:themeTint="A6"/>
          <w:sz w:val="20"/>
          <w:szCs w:val="20"/>
          <w:lang w:val="en-US" w:eastAsia="it-IT"/>
        </w:rPr>
        <w:t>2% comes from the primary sector (as in 2020) and 1.9% from the food industry (2.1% the previous year).</w:t>
      </w:r>
    </w:p>
    <w:p w14:paraId="0193A145" w14:textId="55C225BB" w:rsidR="00463EB5" w:rsidRDefault="00463EB5"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Pr>
          <w:rFonts w:ascii="Trebuchet MS" w:eastAsia="Times New Roman" w:hAnsi="Trebuchet MS" w:cs="Arial"/>
          <w:color w:val="595959" w:themeColor="text1" w:themeTint="A6"/>
          <w:sz w:val="20"/>
          <w:szCs w:val="20"/>
          <w:lang w:val="en-US" w:eastAsia="it-IT"/>
        </w:rPr>
        <w:br w:type="page"/>
      </w:r>
    </w:p>
    <w:p w14:paraId="11733886" w14:textId="77777777" w:rsidR="00960EA8" w:rsidRPr="00AF0C88" w:rsidRDefault="00960EA8" w:rsidP="00463EB5">
      <w:pPr>
        <w:widowControl/>
        <w:suppressAutoHyphens/>
        <w:autoSpaceDE/>
        <w:spacing w:after="80"/>
        <w:textAlignment w:val="baseline"/>
        <w:rPr>
          <w:rFonts w:ascii="Trebuchet MS" w:eastAsia="Times New Roman" w:hAnsi="Trebuchet MS" w:cs="Arial"/>
          <w:color w:val="595959" w:themeColor="text1" w:themeTint="A6"/>
          <w:sz w:val="20"/>
          <w:szCs w:val="20"/>
          <w:lang w:val="en-US" w:eastAsia="it-IT"/>
        </w:rPr>
      </w:pPr>
    </w:p>
    <w:p w14:paraId="7D179622" w14:textId="4A2B059D" w:rsidR="00963B8A" w:rsidRPr="0038469F" w:rsidRDefault="0038469F" w:rsidP="00463EB5">
      <w:pPr>
        <w:spacing w:after="120"/>
        <w:ind w:right="-34"/>
        <w:outlineLvl w:val="1"/>
        <w:rPr>
          <w:rFonts w:ascii="Arial Narrow" w:hAnsi="Arial Narrow" w:cs="Arial"/>
          <w:iCs/>
          <w:noProof/>
          <w:color w:val="595959" w:themeColor="text1" w:themeTint="A6"/>
          <w:sz w:val="20"/>
          <w:szCs w:val="20"/>
          <w:lang w:val="en-US"/>
        </w:rPr>
      </w:pPr>
      <w:r w:rsidRPr="0038469F">
        <w:rPr>
          <w:rFonts w:ascii="Arial Narrow" w:hAnsi="Arial Narrow" w:cs="Arial"/>
          <w:b/>
          <w:iCs/>
          <w:noProof/>
          <w:color w:val="595959" w:themeColor="text1" w:themeTint="A6"/>
          <w:lang w:val="en-US"/>
        </w:rPr>
        <w:t>TABLE</w:t>
      </w:r>
      <w:r w:rsidR="00F63715" w:rsidRPr="0038469F">
        <w:rPr>
          <w:rFonts w:ascii="Arial Narrow" w:hAnsi="Arial Narrow" w:cs="Arial"/>
          <w:b/>
          <w:iCs/>
          <w:noProof/>
          <w:color w:val="595959" w:themeColor="text1" w:themeTint="A6"/>
          <w:lang w:val="en-US"/>
        </w:rPr>
        <w:t xml:space="preserve"> </w:t>
      </w:r>
      <w:r w:rsidR="009256CA" w:rsidRPr="0038469F">
        <w:rPr>
          <w:rFonts w:ascii="Arial Narrow" w:hAnsi="Arial Narrow" w:cs="Arial"/>
          <w:b/>
          <w:iCs/>
          <w:noProof/>
          <w:color w:val="595959" w:themeColor="text1" w:themeTint="A6"/>
          <w:lang w:val="en-US"/>
        </w:rPr>
        <w:t>1</w:t>
      </w:r>
      <w:r w:rsidR="000146B8" w:rsidRPr="0038469F">
        <w:rPr>
          <w:rFonts w:ascii="Arial Narrow" w:hAnsi="Arial Narrow" w:cs="Arial"/>
          <w:b/>
          <w:iCs/>
          <w:noProof/>
          <w:color w:val="595959" w:themeColor="text1" w:themeTint="A6"/>
          <w:lang w:val="en-US"/>
        </w:rPr>
        <w:t xml:space="preserve">. </w:t>
      </w:r>
      <w:r w:rsidRPr="0038469F">
        <w:rPr>
          <w:rFonts w:ascii="Arial Narrow" w:hAnsi="Arial Narrow" w:cs="Arial"/>
          <w:b/>
          <w:iCs/>
          <w:noProof/>
          <w:color w:val="595959" w:themeColor="text1" w:themeTint="A6"/>
          <w:lang w:val="en-US"/>
        </w:rPr>
        <w:t xml:space="preserve">PRODUCTION AND </w:t>
      </w:r>
      <w:r w:rsidR="00FD17A3" w:rsidRPr="0038469F">
        <w:rPr>
          <w:rFonts w:ascii="Arial Narrow" w:hAnsi="Arial Narrow" w:cs="Arial"/>
          <w:b/>
          <w:iCs/>
          <w:noProof/>
          <w:color w:val="595959" w:themeColor="text1" w:themeTint="A6"/>
          <w:lang w:val="en-US"/>
        </w:rPr>
        <w:t xml:space="preserve">VALUE </w:t>
      </w:r>
      <w:r w:rsidRPr="0038469F">
        <w:rPr>
          <w:rFonts w:ascii="Arial Narrow" w:hAnsi="Arial Narrow" w:cs="Arial"/>
          <w:b/>
          <w:iCs/>
          <w:noProof/>
          <w:color w:val="595959" w:themeColor="text1" w:themeTint="A6"/>
          <w:lang w:val="en-US"/>
        </w:rPr>
        <w:t>ADDED OF AGRICULTURE, FORESTRY AND FISHING IN ITALY</w:t>
      </w:r>
      <w:r w:rsidR="000146B8" w:rsidRPr="0038469F">
        <w:rPr>
          <w:rFonts w:ascii="Arial Narrow" w:hAnsi="Arial Narrow" w:cs="Arial"/>
          <w:b/>
          <w:iCs/>
          <w:noProof/>
          <w:color w:val="17365D"/>
          <w:sz w:val="20"/>
          <w:szCs w:val="20"/>
          <w:lang w:val="en-US"/>
        </w:rPr>
        <w:t xml:space="preserve">. </w:t>
      </w:r>
      <w:r w:rsidR="00960EA8" w:rsidRPr="0038469F">
        <w:rPr>
          <w:rFonts w:ascii="Arial Narrow" w:hAnsi="Arial Narrow" w:cs="Arial"/>
          <w:b/>
          <w:iCs/>
          <w:noProof/>
          <w:color w:val="17365D"/>
          <w:sz w:val="20"/>
          <w:szCs w:val="20"/>
          <w:lang w:val="en-US"/>
        </w:rPr>
        <w:br/>
      </w:r>
      <w:r w:rsidRPr="0038469F">
        <w:rPr>
          <w:rFonts w:ascii="Arial Narrow" w:hAnsi="Arial Narrow" w:cs="Arial"/>
          <w:iCs/>
          <w:noProof/>
          <w:color w:val="595959" w:themeColor="text1" w:themeTint="A6"/>
          <w:sz w:val="20"/>
          <w:szCs w:val="20"/>
          <w:lang w:val="en-US"/>
        </w:rPr>
        <w:t>Years 2020 and 2021, current values in millions of euros and percentage changes</w:t>
      </w:r>
    </w:p>
    <w:tbl>
      <w:tblPr>
        <w:tblW w:w="4998" w:type="pct"/>
        <w:tblCellMar>
          <w:left w:w="70" w:type="dxa"/>
          <w:right w:w="70" w:type="dxa"/>
        </w:tblCellMar>
        <w:tblLook w:val="04A0" w:firstRow="1" w:lastRow="0" w:firstColumn="1" w:lastColumn="0" w:noHBand="0" w:noVBand="1"/>
      </w:tblPr>
      <w:tblGrid>
        <w:gridCol w:w="3309"/>
        <w:gridCol w:w="701"/>
        <w:gridCol w:w="759"/>
        <w:gridCol w:w="819"/>
        <w:gridCol w:w="759"/>
        <w:gridCol w:w="177"/>
        <w:gridCol w:w="663"/>
        <w:gridCol w:w="844"/>
        <w:gridCol w:w="759"/>
        <w:gridCol w:w="848"/>
      </w:tblGrid>
      <w:tr w:rsidR="00463EB5" w:rsidRPr="00586510" w14:paraId="3A736E2A" w14:textId="77777777" w:rsidTr="00463EB5">
        <w:trPr>
          <w:trHeight w:val="238"/>
        </w:trPr>
        <w:tc>
          <w:tcPr>
            <w:tcW w:w="1716" w:type="pct"/>
            <w:vMerge w:val="restart"/>
            <w:tcBorders>
              <w:top w:val="single" w:sz="4" w:space="0" w:color="auto"/>
              <w:left w:val="nil"/>
              <w:right w:val="nil"/>
            </w:tcBorders>
            <w:shd w:val="clear" w:color="auto" w:fill="auto"/>
            <w:noWrap/>
            <w:vAlign w:val="center"/>
            <w:hideMark/>
          </w:tcPr>
          <w:p w14:paraId="6358F191" w14:textId="2615FFA1" w:rsidR="00463EB5" w:rsidRPr="00463EB5" w:rsidRDefault="00463EB5" w:rsidP="00463EB5">
            <w:pPr>
              <w:widowControl/>
              <w:autoSpaceDE/>
              <w:autoSpaceDN/>
              <w:spacing w:before="40" w:after="20"/>
              <w:rPr>
                <w:rFonts w:ascii="Arial" w:eastAsia="Times New Roman" w:hAnsi="Arial" w:cs="Arial"/>
                <w:b/>
                <w:bCs/>
                <w:sz w:val="18"/>
                <w:szCs w:val="18"/>
                <w:lang w:val="en-US" w:eastAsia="it-IT"/>
              </w:rPr>
            </w:pPr>
            <w:r w:rsidRPr="00463EB5">
              <w:rPr>
                <w:rFonts w:ascii="Arial" w:eastAsia="Times New Roman" w:hAnsi="Arial" w:cs="Arial"/>
                <w:b/>
                <w:bCs/>
                <w:sz w:val="18"/>
                <w:szCs w:val="18"/>
                <w:lang w:val="en-US" w:eastAsia="it-IT"/>
              </w:rPr>
              <w:t> </w:t>
            </w:r>
            <w:r w:rsidRPr="00463EB5">
              <w:rPr>
                <w:rFonts w:ascii="Arial Narrow" w:eastAsia="Times New Roman" w:hAnsi="Arial Narrow" w:cs="Times New Roman"/>
                <w:b/>
                <w:bCs/>
                <w:sz w:val="18"/>
                <w:szCs w:val="18"/>
                <w:lang w:eastAsia="it-IT"/>
              </w:rPr>
              <w:t>ECONOMIC ACTIVITIES</w:t>
            </w:r>
          </w:p>
        </w:tc>
        <w:tc>
          <w:tcPr>
            <w:tcW w:w="1575" w:type="pct"/>
            <w:gridSpan w:val="4"/>
            <w:tcBorders>
              <w:top w:val="single" w:sz="4" w:space="0" w:color="auto"/>
              <w:left w:val="nil"/>
              <w:bottom w:val="single" w:sz="4" w:space="0" w:color="auto"/>
              <w:right w:val="nil"/>
            </w:tcBorders>
            <w:shd w:val="clear" w:color="auto" w:fill="D9D9D9" w:themeFill="background1" w:themeFillShade="D9"/>
            <w:noWrap/>
            <w:vAlign w:val="center"/>
            <w:hideMark/>
          </w:tcPr>
          <w:p w14:paraId="66383166" w14:textId="77777777" w:rsidR="00463EB5" w:rsidRPr="00463EB5" w:rsidRDefault="00463EB5" w:rsidP="00463EB5">
            <w:pPr>
              <w:widowControl/>
              <w:autoSpaceDE/>
              <w:autoSpaceDN/>
              <w:spacing w:before="40" w:after="20"/>
              <w:jc w:val="center"/>
              <w:rPr>
                <w:rFonts w:ascii="Arial Narrow" w:eastAsia="Times New Roman" w:hAnsi="Arial Narrow" w:cs="Times New Roman"/>
                <w:b/>
                <w:bCs/>
                <w:sz w:val="18"/>
                <w:szCs w:val="18"/>
                <w:lang w:eastAsia="it-IT"/>
              </w:rPr>
            </w:pPr>
            <w:r w:rsidRPr="00463EB5">
              <w:rPr>
                <w:rFonts w:ascii="Arial Narrow" w:eastAsia="Times New Roman" w:hAnsi="Arial Narrow" w:cs="Times New Roman"/>
                <w:b/>
                <w:bCs/>
                <w:sz w:val="18"/>
                <w:szCs w:val="18"/>
                <w:lang w:eastAsia="it-IT"/>
              </w:rPr>
              <w:t>2020</w:t>
            </w:r>
          </w:p>
        </w:tc>
        <w:tc>
          <w:tcPr>
            <w:tcW w:w="92" w:type="pct"/>
            <w:tcBorders>
              <w:left w:val="nil"/>
              <w:bottom w:val="nil"/>
              <w:right w:val="nil"/>
            </w:tcBorders>
            <w:shd w:val="clear" w:color="auto" w:fill="auto"/>
            <w:noWrap/>
            <w:vAlign w:val="center"/>
            <w:hideMark/>
          </w:tcPr>
          <w:p w14:paraId="14CBFB36" w14:textId="77777777" w:rsidR="00463EB5" w:rsidRPr="00463EB5" w:rsidRDefault="00463EB5" w:rsidP="00463EB5">
            <w:pPr>
              <w:widowControl/>
              <w:autoSpaceDE/>
              <w:autoSpaceDN/>
              <w:spacing w:before="40" w:after="20"/>
              <w:jc w:val="center"/>
              <w:rPr>
                <w:rFonts w:ascii="Arial Narrow" w:eastAsia="Times New Roman" w:hAnsi="Arial Narrow" w:cs="Times New Roman"/>
                <w:b/>
                <w:bCs/>
                <w:sz w:val="18"/>
                <w:szCs w:val="18"/>
                <w:lang w:eastAsia="it-IT"/>
              </w:rPr>
            </w:pPr>
          </w:p>
        </w:tc>
        <w:tc>
          <w:tcPr>
            <w:tcW w:w="1618" w:type="pct"/>
            <w:gridSpan w:val="4"/>
            <w:tcBorders>
              <w:top w:val="single" w:sz="4" w:space="0" w:color="auto"/>
              <w:left w:val="nil"/>
              <w:bottom w:val="single" w:sz="4" w:space="0" w:color="auto"/>
              <w:right w:val="nil"/>
            </w:tcBorders>
            <w:shd w:val="clear" w:color="auto" w:fill="D9D9D9" w:themeFill="background1" w:themeFillShade="D9"/>
            <w:noWrap/>
            <w:vAlign w:val="center"/>
            <w:hideMark/>
          </w:tcPr>
          <w:p w14:paraId="70710255" w14:textId="77777777" w:rsidR="00463EB5" w:rsidRPr="00463EB5" w:rsidRDefault="00463EB5" w:rsidP="00463EB5">
            <w:pPr>
              <w:widowControl/>
              <w:autoSpaceDE/>
              <w:autoSpaceDN/>
              <w:spacing w:before="40" w:after="20"/>
              <w:jc w:val="center"/>
              <w:rPr>
                <w:rFonts w:ascii="Arial Narrow" w:eastAsia="Times New Roman" w:hAnsi="Arial Narrow" w:cs="Times New Roman"/>
                <w:b/>
                <w:bCs/>
                <w:sz w:val="18"/>
                <w:szCs w:val="18"/>
                <w:lang w:eastAsia="it-IT"/>
              </w:rPr>
            </w:pPr>
            <w:r w:rsidRPr="00463EB5">
              <w:rPr>
                <w:rFonts w:ascii="Arial Narrow" w:eastAsia="Times New Roman" w:hAnsi="Arial Narrow" w:cs="Times New Roman"/>
                <w:b/>
                <w:bCs/>
                <w:sz w:val="18"/>
                <w:szCs w:val="18"/>
                <w:lang w:eastAsia="it-IT"/>
              </w:rPr>
              <w:t>2021</w:t>
            </w:r>
          </w:p>
        </w:tc>
      </w:tr>
      <w:tr w:rsidR="00463EB5" w:rsidRPr="00586510" w14:paraId="47F53439" w14:textId="77777777" w:rsidTr="00463EB5">
        <w:trPr>
          <w:trHeight w:val="238"/>
        </w:trPr>
        <w:tc>
          <w:tcPr>
            <w:tcW w:w="1716" w:type="pct"/>
            <w:vMerge/>
            <w:tcBorders>
              <w:left w:val="nil"/>
              <w:bottom w:val="single" w:sz="4" w:space="0" w:color="auto"/>
              <w:right w:val="nil"/>
            </w:tcBorders>
            <w:shd w:val="clear" w:color="000000" w:fill="FFFFFF"/>
            <w:noWrap/>
            <w:vAlign w:val="center"/>
            <w:hideMark/>
          </w:tcPr>
          <w:p w14:paraId="795621B0" w14:textId="556D7A59" w:rsidR="00463EB5" w:rsidRPr="00586510" w:rsidRDefault="00463EB5" w:rsidP="00463EB5">
            <w:pPr>
              <w:widowControl/>
              <w:autoSpaceDE/>
              <w:autoSpaceDN/>
              <w:spacing w:before="40" w:after="20"/>
              <w:rPr>
                <w:rFonts w:ascii="Arial Narrow" w:eastAsia="Times New Roman" w:hAnsi="Arial Narrow" w:cs="Times New Roman"/>
                <w:b/>
                <w:bCs/>
                <w:sz w:val="16"/>
                <w:szCs w:val="16"/>
                <w:lang w:eastAsia="it-IT"/>
              </w:rPr>
            </w:pPr>
          </w:p>
        </w:tc>
        <w:tc>
          <w:tcPr>
            <w:tcW w:w="363" w:type="pct"/>
            <w:tcBorders>
              <w:top w:val="nil"/>
              <w:left w:val="nil"/>
              <w:bottom w:val="single" w:sz="4" w:space="0" w:color="auto"/>
              <w:right w:val="nil"/>
            </w:tcBorders>
            <w:shd w:val="clear" w:color="000000" w:fill="FFFFFF"/>
            <w:vAlign w:val="center"/>
            <w:hideMark/>
          </w:tcPr>
          <w:p w14:paraId="7857545F" w14:textId="47119F06" w:rsidR="00463EB5" w:rsidRPr="00586510" w:rsidRDefault="00463EB5" w:rsidP="00463EB5">
            <w:pPr>
              <w:widowControl/>
              <w:autoSpaceDE/>
              <w:autoSpaceDN/>
              <w:spacing w:before="40" w:after="20"/>
              <w:jc w:val="right"/>
              <w:rPr>
                <w:rFonts w:ascii="Arial Narrow" w:eastAsia="Times New Roman" w:hAnsi="Arial Narrow" w:cs="Times New Roman"/>
                <w:b/>
                <w:bCs/>
                <w:color w:val="000000"/>
                <w:sz w:val="16"/>
                <w:szCs w:val="16"/>
                <w:lang w:eastAsia="it-IT"/>
              </w:rPr>
            </w:pPr>
            <w:proofErr w:type="spellStart"/>
            <w:r w:rsidRPr="00FD17A3">
              <w:rPr>
                <w:rFonts w:ascii="Arial Narrow" w:eastAsia="Times New Roman" w:hAnsi="Arial Narrow" w:cs="Times New Roman"/>
                <w:b/>
                <w:bCs/>
                <w:color w:val="000000"/>
                <w:sz w:val="16"/>
                <w:szCs w:val="16"/>
                <w:lang w:eastAsia="it-IT"/>
              </w:rPr>
              <w:t>Millions</w:t>
            </w:r>
            <w:proofErr w:type="spellEnd"/>
            <w:r w:rsidRPr="00FD17A3">
              <w:rPr>
                <w:rFonts w:ascii="Arial Narrow" w:eastAsia="Times New Roman" w:hAnsi="Arial Narrow" w:cs="Times New Roman"/>
                <w:b/>
                <w:bCs/>
                <w:color w:val="000000"/>
                <w:sz w:val="16"/>
                <w:szCs w:val="16"/>
                <w:lang w:eastAsia="it-IT"/>
              </w:rPr>
              <w:t xml:space="preserve"> of </w:t>
            </w:r>
            <w:proofErr w:type="spellStart"/>
            <w:r w:rsidRPr="00FD17A3">
              <w:rPr>
                <w:rFonts w:ascii="Arial Narrow" w:eastAsia="Times New Roman" w:hAnsi="Arial Narrow" w:cs="Times New Roman"/>
                <w:b/>
                <w:bCs/>
                <w:color w:val="000000"/>
                <w:sz w:val="16"/>
                <w:szCs w:val="16"/>
                <w:lang w:eastAsia="it-IT"/>
              </w:rPr>
              <w:t>current</w:t>
            </w:r>
            <w:proofErr w:type="spellEnd"/>
            <w:r w:rsidRPr="00FD17A3">
              <w:rPr>
                <w:rFonts w:ascii="Arial Narrow" w:eastAsia="Times New Roman" w:hAnsi="Arial Narrow" w:cs="Times New Roman"/>
                <w:b/>
                <w:bCs/>
                <w:color w:val="000000"/>
                <w:sz w:val="16"/>
                <w:szCs w:val="16"/>
                <w:lang w:eastAsia="it-IT"/>
              </w:rPr>
              <w:t xml:space="preserve"> euro</w:t>
            </w:r>
          </w:p>
        </w:tc>
        <w:tc>
          <w:tcPr>
            <w:tcW w:w="394" w:type="pct"/>
            <w:tcBorders>
              <w:top w:val="nil"/>
              <w:left w:val="nil"/>
              <w:bottom w:val="single" w:sz="4" w:space="0" w:color="auto"/>
              <w:right w:val="nil"/>
            </w:tcBorders>
            <w:shd w:val="clear" w:color="000000" w:fill="FFFFFF"/>
            <w:vAlign w:val="center"/>
            <w:hideMark/>
          </w:tcPr>
          <w:p w14:paraId="494CAF08" w14:textId="076764F7" w:rsidR="00463EB5" w:rsidRPr="00586510" w:rsidRDefault="00463EB5" w:rsidP="00463EB5">
            <w:pPr>
              <w:widowControl/>
              <w:autoSpaceDE/>
              <w:autoSpaceDN/>
              <w:spacing w:before="40" w:after="20"/>
              <w:jc w:val="right"/>
              <w:rPr>
                <w:rFonts w:ascii="Arial Narrow" w:eastAsia="Times New Roman" w:hAnsi="Arial Narrow" w:cs="Times New Roman"/>
                <w:b/>
                <w:bCs/>
                <w:color w:val="000000"/>
                <w:sz w:val="16"/>
                <w:szCs w:val="16"/>
                <w:lang w:eastAsia="it-IT"/>
              </w:rPr>
            </w:pPr>
            <w:proofErr w:type="spellStart"/>
            <w:r w:rsidRPr="00FD17A3">
              <w:rPr>
                <w:rFonts w:ascii="Arial Narrow" w:eastAsia="Times New Roman" w:hAnsi="Arial Narrow" w:cs="Times New Roman"/>
                <w:b/>
                <w:bCs/>
                <w:color w:val="000000"/>
                <w:sz w:val="16"/>
                <w:szCs w:val="16"/>
                <w:lang w:eastAsia="it-IT"/>
              </w:rPr>
              <w:t>Changes</w:t>
            </w:r>
            <w:proofErr w:type="spellEnd"/>
            <w:r w:rsidRPr="00FD17A3">
              <w:rPr>
                <w:rFonts w:ascii="Arial Narrow" w:eastAsia="Times New Roman" w:hAnsi="Arial Narrow" w:cs="Times New Roman"/>
                <w:b/>
                <w:bCs/>
                <w:color w:val="000000"/>
                <w:sz w:val="16"/>
                <w:szCs w:val="16"/>
                <w:lang w:eastAsia="it-IT"/>
              </w:rPr>
              <w:t xml:space="preserve"> % in Volume</w:t>
            </w:r>
          </w:p>
        </w:tc>
        <w:tc>
          <w:tcPr>
            <w:tcW w:w="425" w:type="pct"/>
            <w:tcBorders>
              <w:top w:val="nil"/>
              <w:left w:val="nil"/>
              <w:bottom w:val="nil"/>
              <w:right w:val="nil"/>
            </w:tcBorders>
            <w:shd w:val="clear" w:color="000000" w:fill="FFFFFF"/>
            <w:vAlign w:val="center"/>
            <w:hideMark/>
          </w:tcPr>
          <w:p w14:paraId="1DE39CC0" w14:textId="0579EAF4" w:rsidR="00463EB5" w:rsidRPr="00586510" w:rsidRDefault="00463EB5" w:rsidP="00463EB5">
            <w:pPr>
              <w:widowControl/>
              <w:autoSpaceDE/>
              <w:autoSpaceDN/>
              <w:spacing w:before="40" w:after="20"/>
              <w:jc w:val="right"/>
              <w:rPr>
                <w:rFonts w:ascii="Arial Narrow" w:eastAsia="Times New Roman" w:hAnsi="Arial Narrow" w:cs="Times New Roman"/>
                <w:b/>
                <w:bCs/>
                <w:color w:val="000000"/>
                <w:sz w:val="16"/>
                <w:szCs w:val="16"/>
                <w:lang w:eastAsia="it-IT"/>
              </w:rPr>
            </w:pPr>
            <w:proofErr w:type="spellStart"/>
            <w:r w:rsidRPr="00FD17A3">
              <w:rPr>
                <w:rFonts w:ascii="Arial Narrow" w:eastAsia="Times New Roman" w:hAnsi="Arial Narrow" w:cs="Times New Roman"/>
                <w:b/>
                <w:bCs/>
                <w:color w:val="000000"/>
                <w:sz w:val="16"/>
                <w:szCs w:val="16"/>
                <w:lang w:eastAsia="it-IT"/>
              </w:rPr>
              <w:t>Changes</w:t>
            </w:r>
            <w:proofErr w:type="spellEnd"/>
            <w:r w:rsidRPr="00FD17A3">
              <w:rPr>
                <w:rFonts w:ascii="Arial Narrow" w:eastAsia="Times New Roman" w:hAnsi="Arial Narrow" w:cs="Times New Roman"/>
                <w:b/>
                <w:bCs/>
                <w:color w:val="000000"/>
                <w:sz w:val="16"/>
                <w:szCs w:val="16"/>
                <w:lang w:eastAsia="it-IT"/>
              </w:rPr>
              <w:t xml:space="preserve"> % in price</w:t>
            </w:r>
          </w:p>
        </w:tc>
        <w:tc>
          <w:tcPr>
            <w:tcW w:w="394" w:type="pct"/>
            <w:tcBorders>
              <w:top w:val="nil"/>
              <w:left w:val="nil"/>
              <w:bottom w:val="nil"/>
              <w:right w:val="nil"/>
            </w:tcBorders>
            <w:shd w:val="clear" w:color="000000" w:fill="FFFFFF"/>
            <w:vAlign w:val="center"/>
            <w:hideMark/>
          </w:tcPr>
          <w:p w14:paraId="4001393B" w14:textId="34256468" w:rsidR="00463EB5" w:rsidRPr="00586510" w:rsidRDefault="00463EB5" w:rsidP="00463EB5">
            <w:pPr>
              <w:widowControl/>
              <w:autoSpaceDE/>
              <w:autoSpaceDN/>
              <w:spacing w:before="40" w:after="20"/>
              <w:jc w:val="right"/>
              <w:rPr>
                <w:rFonts w:ascii="Arial Narrow" w:eastAsia="Times New Roman" w:hAnsi="Arial Narrow" w:cs="Times New Roman"/>
                <w:b/>
                <w:bCs/>
                <w:color w:val="000000"/>
                <w:sz w:val="16"/>
                <w:szCs w:val="16"/>
                <w:lang w:eastAsia="it-IT"/>
              </w:rPr>
            </w:pPr>
            <w:proofErr w:type="spellStart"/>
            <w:r w:rsidRPr="00FD17A3">
              <w:rPr>
                <w:rFonts w:ascii="Arial Narrow" w:eastAsia="Times New Roman" w:hAnsi="Arial Narrow" w:cs="Times New Roman"/>
                <w:b/>
                <w:bCs/>
                <w:color w:val="000000"/>
                <w:sz w:val="16"/>
                <w:szCs w:val="16"/>
                <w:lang w:eastAsia="it-IT"/>
              </w:rPr>
              <w:t>Changes</w:t>
            </w:r>
            <w:proofErr w:type="spellEnd"/>
            <w:r w:rsidRPr="00FD17A3">
              <w:rPr>
                <w:rFonts w:ascii="Arial Narrow" w:eastAsia="Times New Roman" w:hAnsi="Arial Narrow" w:cs="Times New Roman"/>
                <w:b/>
                <w:bCs/>
                <w:color w:val="000000"/>
                <w:sz w:val="16"/>
                <w:szCs w:val="16"/>
                <w:lang w:eastAsia="it-IT"/>
              </w:rPr>
              <w:t xml:space="preserve"> % in Value</w:t>
            </w:r>
          </w:p>
        </w:tc>
        <w:tc>
          <w:tcPr>
            <w:tcW w:w="92" w:type="pct"/>
            <w:tcBorders>
              <w:top w:val="nil"/>
              <w:left w:val="nil"/>
              <w:bottom w:val="nil"/>
              <w:right w:val="nil"/>
            </w:tcBorders>
            <w:shd w:val="clear" w:color="000000" w:fill="FFFFFF"/>
            <w:vAlign w:val="center"/>
            <w:hideMark/>
          </w:tcPr>
          <w:p w14:paraId="09FD7137" w14:textId="77777777" w:rsidR="00463EB5" w:rsidRPr="00586510" w:rsidRDefault="00463EB5" w:rsidP="00463EB5">
            <w:pPr>
              <w:widowControl/>
              <w:autoSpaceDE/>
              <w:autoSpaceDN/>
              <w:spacing w:before="40" w:after="20"/>
              <w:jc w:val="right"/>
              <w:rPr>
                <w:rFonts w:ascii="Arial Narrow" w:eastAsia="Times New Roman" w:hAnsi="Arial Narrow" w:cs="Times New Roman"/>
                <w:b/>
                <w:bCs/>
                <w:color w:val="000000"/>
                <w:sz w:val="16"/>
                <w:szCs w:val="16"/>
                <w:lang w:eastAsia="it-IT"/>
              </w:rPr>
            </w:pPr>
            <w:r w:rsidRPr="00586510">
              <w:rPr>
                <w:rFonts w:ascii="Arial Narrow" w:eastAsia="Times New Roman" w:hAnsi="Arial Narrow" w:cs="Times New Roman"/>
                <w:b/>
                <w:bCs/>
                <w:color w:val="000000"/>
                <w:sz w:val="16"/>
                <w:szCs w:val="16"/>
                <w:lang w:eastAsia="it-IT"/>
              </w:rPr>
              <w:t> </w:t>
            </w:r>
          </w:p>
        </w:tc>
        <w:tc>
          <w:tcPr>
            <w:tcW w:w="344" w:type="pct"/>
            <w:tcBorders>
              <w:top w:val="nil"/>
              <w:left w:val="nil"/>
              <w:bottom w:val="single" w:sz="4" w:space="0" w:color="auto"/>
              <w:right w:val="nil"/>
            </w:tcBorders>
            <w:shd w:val="clear" w:color="000000" w:fill="FFFFFF"/>
            <w:vAlign w:val="center"/>
            <w:hideMark/>
          </w:tcPr>
          <w:p w14:paraId="5AED0A38" w14:textId="178CBF2F" w:rsidR="00463EB5" w:rsidRPr="00586510" w:rsidRDefault="00463EB5" w:rsidP="00463EB5">
            <w:pPr>
              <w:widowControl/>
              <w:autoSpaceDE/>
              <w:autoSpaceDN/>
              <w:spacing w:before="40" w:after="20"/>
              <w:jc w:val="right"/>
              <w:rPr>
                <w:rFonts w:ascii="Arial Narrow" w:eastAsia="Times New Roman" w:hAnsi="Arial Narrow" w:cs="Times New Roman"/>
                <w:b/>
                <w:bCs/>
                <w:color w:val="000000"/>
                <w:sz w:val="16"/>
                <w:szCs w:val="16"/>
                <w:lang w:eastAsia="it-IT"/>
              </w:rPr>
            </w:pPr>
            <w:proofErr w:type="spellStart"/>
            <w:r w:rsidRPr="00F92A66">
              <w:rPr>
                <w:rFonts w:ascii="Arial Narrow" w:eastAsia="Times New Roman" w:hAnsi="Arial Narrow" w:cs="Times New Roman"/>
                <w:b/>
                <w:bCs/>
                <w:color w:val="000000"/>
                <w:sz w:val="16"/>
                <w:szCs w:val="16"/>
                <w:lang w:eastAsia="it-IT"/>
              </w:rPr>
              <w:t>Millions</w:t>
            </w:r>
            <w:proofErr w:type="spellEnd"/>
            <w:r w:rsidRPr="00F92A66">
              <w:rPr>
                <w:rFonts w:ascii="Arial Narrow" w:eastAsia="Times New Roman" w:hAnsi="Arial Narrow" w:cs="Times New Roman"/>
                <w:b/>
                <w:bCs/>
                <w:color w:val="000000"/>
                <w:sz w:val="16"/>
                <w:szCs w:val="16"/>
                <w:lang w:eastAsia="it-IT"/>
              </w:rPr>
              <w:t xml:space="preserve"> of </w:t>
            </w:r>
            <w:proofErr w:type="spellStart"/>
            <w:r w:rsidRPr="00F92A66">
              <w:rPr>
                <w:rFonts w:ascii="Arial Narrow" w:eastAsia="Times New Roman" w:hAnsi="Arial Narrow" w:cs="Times New Roman"/>
                <w:b/>
                <w:bCs/>
                <w:color w:val="000000"/>
                <w:sz w:val="16"/>
                <w:szCs w:val="16"/>
                <w:lang w:eastAsia="it-IT"/>
              </w:rPr>
              <w:t>current</w:t>
            </w:r>
            <w:proofErr w:type="spellEnd"/>
            <w:r w:rsidRPr="00F92A66">
              <w:rPr>
                <w:rFonts w:ascii="Arial Narrow" w:eastAsia="Times New Roman" w:hAnsi="Arial Narrow" w:cs="Times New Roman"/>
                <w:b/>
                <w:bCs/>
                <w:color w:val="000000"/>
                <w:sz w:val="16"/>
                <w:szCs w:val="16"/>
                <w:lang w:eastAsia="it-IT"/>
              </w:rPr>
              <w:t xml:space="preserve"> euro</w:t>
            </w:r>
          </w:p>
        </w:tc>
        <w:tc>
          <w:tcPr>
            <w:tcW w:w="438" w:type="pct"/>
            <w:tcBorders>
              <w:top w:val="nil"/>
              <w:left w:val="nil"/>
              <w:bottom w:val="single" w:sz="4" w:space="0" w:color="auto"/>
              <w:right w:val="nil"/>
            </w:tcBorders>
            <w:shd w:val="clear" w:color="000000" w:fill="FFFFFF"/>
            <w:vAlign w:val="center"/>
            <w:hideMark/>
          </w:tcPr>
          <w:p w14:paraId="52ADEBDF" w14:textId="6246C987" w:rsidR="00463EB5" w:rsidRPr="00586510" w:rsidRDefault="00463EB5" w:rsidP="00463EB5">
            <w:pPr>
              <w:widowControl/>
              <w:autoSpaceDE/>
              <w:autoSpaceDN/>
              <w:spacing w:before="40" w:after="20"/>
              <w:jc w:val="right"/>
              <w:rPr>
                <w:rFonts w:ascii="Arial Narrow" w:eastAsia="Times New Roman" w:hAnsi="Arial Narrow" w:cs="Times New Roman"/>
                <w:b/>
                <w:bCs/>
                <w:color w:val="000000"/>
                <w:sz w:val="16"/>
                <w:szCs w:val="16"/>
                <w:lang w:eastAsia="it-IT"/>
              </w:rPr>
            </w:pPr>
            <w:proofErr w:type="spellStart"/>
            <w:r w:rsidRPr="00FD17A3">
              <w:rPr>
                <w:rFonts w:ascii="Arial Narrow" w:eastAsia="Times New Roman" w:hAnsi="Arial Narrow" w:cs="Times New Roman"/>
                <w:b/>
                <w:bCs/>
                <w:color w:val="000000"/>
                <w:sz w:val="16"/>
                <w:szCs w:val="16"/>
                <w:lang w:eastAsia="it-IT"/>
              </w:rPr>
              <w:t>Changes</w:t>
            </w:r>
            <w:proofErr w:type="spellEnd"/>
            <w:r w:rsidRPr="00FD17A3">
              <w:rPr>
                <w:rFonts w:ascii="Arial Narrow" w:eastAsia="Times New Roman" w:hAnsi="Arial Narrow" w:cs="Times New Roman"/>
                <w:b/>
                <w:bCs/>
                <w:color w:val="000000"/>
                <w:sz w:val="16"/>
                <w:szCs w:val="16"/>
                <w:lang w:eastAsia="it-IT"/>
              </w:rPr>
              <w:t xml:space="preserve"> % in Volume</w:t>
            </w:r>
          </w:p>
        </w:tc>
        <w:tc>
          <w:tcPr>
            <w:tcW w:w="394" w:type="pct"/>
            <w:tcBorders>
              <w:top w:val="nil"/>
              <w:left w:val="nil"/>
              <w:bottom w:val="nil"/>
              <w:right w:val="nil"/>
            </w:tcBorders>
            <w:shd w:val="clear" w:color="000000" w:fill="FFFFFF"/>
            <w:vAlign w:val="center"/>
            <w:hideMark/>
          </w:tcPr>
          <w:p w14:paraId="753EA891" w14:textId="51D72F02" w:rsidR="00463EB5" w:rsidRPr="00586510" w:rsidRDefault="00463EB5" w:rsidP="00463EB5">
            <w:pPr>
              <w:widowControl/>
              <w:autoSpaceDE/>
              <w:autoSpaceDN/>
              <w:spacing w:before="40" w:after="20"/>
              <w:jc w:val="right"/>
              <w:rPr>
                <w:rFonts w:ascii="Arial Narrow" w:eastAsia="Times New Roman" w:hAnsi="Arial Narrow" w:cs="Times New Roman"/>
                <w:b/>
                <w:bCs/>
                <w:color w:val="000000"/>
                <w:sz w:val="16"/>
                <w:szCs w:val="16"/>
                <w:lang w:eastAsia="it-IT"/>
              </w:rPr>
            </w:pPr>
            <w:proofErr w:type="spellStart"/>
            <w:r w:rsidRPr="00FD17A3">
              <w:rPr>
                <w:rFonts w:ascii="Arial Narrow" w:eastAsia="Times New Roman" w:hAnsi="Arial Narrow" w:cs="Times New Roman"/>
                <w:b/>
                <w:bCs/>
                <w:color w:val="000000"/>
                <w:sz w:val="16"/>
                <w:szCs w:val="16"/>
                <w:lang w:eastAsia="it-IT"/>
              </w:rPr>
              <w:t>Changes</w:t>
            </w:r>
            <w:proofErr w:type="spellEnd"/>
            <w:r w:rsidRPr="00FD17A3">
              <w:rPr>
                <w:rFonts w:ascii="Arial Narrow" w:eastAsia="Times New Roman" w:hAnsi="Arial Narrow" w:cs="Times New Roman"/>
                <w:b/>
                <w:bCs/>
                <w:color w:val="000000"/>
                <w:sz w:val="16"/>
                <w:szCs w:val="16"/>
                <w:lang w:eastAsia="it-IT"/>
              </w:rPr>
              <w:t xml:space="preserve"> % in price</w:t>
            </w:r>
          </w:p>
        </w:tc>
        <w:tc>
          <w:tcPr>
            <w:tcW w:w="442" w:type="pct"/>
            <w:tcBorders>
              <w:top w:val="nil"/>
              <w:left w:val="nil"/>
              <w:bottom w:val="nil"/>
              <w:right w:val="nil"/>
            </w:tcBorders>
            <w:shd w:val="clear" w:color="000000" w:fill="FFFFFF"/>
            <w:vAlign w:val="center"/>
            <w:hideMark/>
          </w:tcPr>
          <w:p w14:paraId="7FD5CBB7" w14:textId="50A7943F" w:rsidR="00463EB5" w:rsidRPr="00586510" w:rsidRDefault="00463EB5" w:rsidP="00463EB5">
            <w:pPr>
              <w:widowControl/>
              <w:autoSpaceDE/>
              <w:autoSpaceDN/>
              <w:spacing w:before="40" w:after="20"/>
              <w:jc w:val="right"/>
              <w:rPr>
                <w:rFonts w:ascii="Arial Narrow" w:eastAsia="Times New Roman" w:hAnsi="Arial Narrow" w:cs="Times New Roman"/>
                <w:b/>
                <w:bCs/>
                <w:color w:val="000000"/>
                <w:sz w:val="16"/>
                <w:szCs w:val="16"/>
                <w:lang w:eastAsia="it-IT"/>
              </w:rPr>
            </w:pPr>
            <w:proofErr w:type="spellStart"/>
            <w:r w:rsidRPr="00FD17A3">
              <w:rPr>
                <w:rFonts w:ascii="Arial Narrow" w:eastAsia="Times New Roman" w:hAnsi="Arial Narrow" w:cs="Times New Roman"/>
                <w:b/>
                <w:bCs/>
                <w:color w:val="000000"/>
                <w:sz w:val="16"/>
                <w:szCs w:val="16"/>
                <w:lang w:eastAsia="it-IT"/>
              </w:rPr>
              <w:t>Changes</w:t>
            </w:r>
            <w:proofErr w:type="spellEnd"/>
            <w:r w:rsidRPr="00FD17A3">
              <w:rPr>
                <w:rFonts w:ascii="Arial Narrow" w:eastAsia="Times New Roman" w:hAnsi="Arial Narrow" w:cs="Times New Roman"/>
                <w:b/>
                <w:bCs/>
                <w:color w:val="000000"/>
                <w:sz w:val="16"/>
                <w:szCs w:val="16"/>
                <w:lang w:eastAsia="it-IT"/>
              </w:rPr>
              <w:t xml:space="preserve"> % in Value</w:t>
            </w:r>
          </w:p>
        </w:tc>
      </w:tr>
      <w:tr w:rsidR="00960EA8" w:rsidRPr="00586510" w14:paraId="32A9C41D" w14:textId="77777777" w:rsidTr="00463EB5">
        <w:trPr>
          <w:trHeight w:val="238"/>
        </w:trPr>
        <w:tc>
          <w:tcPr>
            <w:tcW w:w="1716" w:type="pct"/>
            <w:tcBorders>
              <w:top w:val="nil"/>
              <w:left w:val="nil"/>
              <w:bottom w:val="nil"/>
              <w:right w:val="nil"/>
            </w:tcBorders>
            <w:shd w:val="clear" w:color="000000" w:fill="FFFFFF"/>
            <w:noWrap/>
            <w:vAlign w:val="center"/>
            <w:hideMark/>
          </w:tcPr>
          <w:p w14:paraId="24E15B94" w14:textId="2D6765CE" w:rsidR="00960EA8" w:rsidRPr="00FD17A3" w:rsidRDefault="00FD17A3" w:rsidP="00463EB5">
            <w:pPr>
              <w:widowControl/>
              <w:autoSpaceDE/>
              <w:autoSpaceDN/>
              <w:spacing w:before="40" w:after="20"/>
              <w:rPr>
                <w:rFonts w:ascii="Arial Narrow" w:eastAsia="Times New Roman" w:hAnsi="Arial Narrow" w:cs="Times New Roman"/>
                <w:b/>
                <w:bCs/>
                <w:sz w:val="16"/>
                <w:szCs w:val="16"/>
                <w:lang w:val="en-US" w:eastAsia="it-IT"/>
              </w:rPr>
            </w:pPr>
            <w:r w:rsidRPr="00FD17A3">
              <w:rPr>
                <w:rFonts w:ascii="Arial Narrow" w:eastAsia="Times New Roman" w:hAnsi="Arial Narrow" w:cs="Times New Roman"/>
                <w:b/>
                <w:bCs/>
                <w:sz w:val="16"/>
                <w:szCs w:val="16"/>
                <w:lang w:val="en-US" w:eastAsia="it-IT"/>
              </w:rPr>
              <w:t>Production of agricultural goods and services</w:t>
            </w:r>
          </w:p>
        </w:tc>
        <w:tc>
          <w:tcPr>
            <w:tcW w:w="363" w:type="pct"/>
            <w:tcBorders>
              <w:top w:val="nil"/>
              <w:left w:val="nil"/>
              <w:bottom w:val="nil"/>
              <w:right w:val="nil"/>
            </w:tcBorders>
            <w:shd w:val="clear" w:color="auto" w:fill="D9D9D9" w:themeFill="background1" w:themeFillShade="D9"/>
            <w:noWrap/>
            <w:vAlign w:val="center"/>
            <w:hideMark/>
          </w:tcPr>
          <w:p w14:paraId="748313AE"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53.113</w:t>
            </w:r>
          </w:p>
        </w:tc>
        <w:tc>
          <w:tcPr>
            <w:tcW w:w="394" w:type="pct"/>
            <w:tcBorders>
              <w:top w:val="nil"/>
              <w:left w:val="nil"/>
              <w:bottom w:val="nil"/>
              <w:right w:val="nil"/>
            </w:tcBorders>
            <w:shd w:val="clear" w:color="000000" w:fill="FFFFFF"/>
            <w:noWrap/>
            <w:vAlign w:val="center"/>
            <w:hideMark/>
          </w:tcPr>
          <w:p w14:paraId="6396EF06"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+0,3</w:t>
            </w:r>
          </w:p>
        </w:tc>
        <w:tc>
          <w:tcPr>
            <w:tcW w:w="425" w:type="pct"/>
            <w:tcBorders>
              <w:top w:val="single" w:sz="4" w:space="0" w:color="auto"/>
              <w:left w:val="nil"/>
              <w:bottom w:val="nil"/>
              <w:right w:val="nil"/>
            </w:tcBorders>
            <w:shd w:val="clear" w:color="auto" w:fill="D9D9D9" w:themeFill="background1" w:themeFillShade="D9"/>
            <w:noWrap/>
            <w:vAlign w:val="center"/>
            <w:hideMark/>
          </w:tcPr>
          <w:p w14:paraId="305C99EA"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+0,7</w:t>
            </w:r>
          </w:p>
        </w:tc>
        <w:tc>
          <w:tcPr>
            <w:tcW w:w="394" w:type="pct"/>
            <w:tcBorders>
              <w:top w:val="single" w:sz="4" w:space="0" w:color="auto"/>
              <w:left w:val="nil"/>
              <w:bottom w:val="nil"/>
              <w:right w:val="nil"/>
            </w:tcBorders>
            <w:shd w:val="clear" w:color="000000" w:fill="FFFFFF"/>
            <w:noWrap/>
            <w:vAlign w:val="center"/>
            <w:hideMark/>
          </w:tcPr>
          <w:p w14:paraId="6B896C97"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+1,0</w:t>
            </w:r>
          </w:p>
        </w:tc>
        <w:tc>
          <w:tcPr>
            <w:tcW w:w="92" w:type="pct"/>
            <w:tcBorders>
              <w:top w:val="nil"/>
              <w:left w:val="nil"/>
              <w:bottom w:val="nil"/>
              <w:right w:val="nil"/>
            </w:tcBorders>
            <w:shd w:val="clear" w:color="000000" w:fill="FFFFFF"/>
            <w:noWrap/>
            <w:vAlign w:val="center"/>
            <w:hideMark/>
          </w:tcPr>
          <w:p w14:paraId="1217BABE"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 </w:t>
            </w:r>
          </w:p>
        </w:tc>
        <w:tc>
          <w:tcPr>
            <w:tcW w:w="344" w:type="pct"/>
            <w:tcBorders>
              <w:top w:val="nil"/>
              <w:left w:val="nil"/>
              <w:bottom w:val="nil"/>
              <w:right w:val="nil"/>
            </w:tcBorders>
            <w:shd w:val="clear" w:color="auto" w:fill="D9D9D9" w:themeFill="background1" w:themeFillShade="D9"/>
            <w:noWrap/>
            <w:vAlign w:val="center"/>
            <w:hideMark/>
          </w:tcPr>
          <w:p w14:paraId="3363D56E"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56.120</w:t>
            </w:r>
          </w:p>
        </w:tc>
        <w:tc>
          <w:tcPr>
            <w:tcW w:w="438" w:type="pct"/>
            <w:tcBorders>
              <w:top w:val="nil"/>
              <w:left w:val="nil"/>
              <w:bottom w:val="nil"/>
              <w:right w:val="nil"/>
            </w:tcBorders>
            <w:shd w:val="clear" w:color="000000" w:fill="FFFFFF"/>
            <w:noWrap/>
            <w:vAlign w:val="center"/>
            <w:hideMark/>
          </w:tcPr>
          <w:p w14:paraId="17FF9E9A"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-1,2</w:t>
            </w:r>
          </w:p>
        </w:tc>
        <w:tc>
          <w:tcPr>
            <w:tcW w:w="394" w:type="pct"/>
            <w:tcBorders>
              <w:top w:val="single" w:sz="4" w:space="0" w:color="auto"/>
              <w:left w:val="nil"/>
              <w:bottom w:val="nil"/>
              <w:right w:val="nil"/>
            </w:tcBorders>
            <w:shd w:val="clear" w:color="auto" w:fill="D9D9D9" w:themeFill="background1" w:themeFillShade="D9"/>
            <w:noWrap/>
            <w:vAlign w:val="center"/>
            <w:hideMark/>
          </w:tcPr>
          <w:p w14:paraId="447431EB"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+6,9</w:t>
            </w:r>
          </w:p>
        </w:tc>
        <w:tc>
          <w:tcPr>
            <w:tcW w:w="442" w:type="pct"/>
            <w:tcBorders>
              <w:top w:val="single" w:sz="4" w:space="0" w:color="auto"/>
              <w:left w:val="nil"/>
              <w:bottom w:val="nil"/>
              <w:right w:val="nil"/>
            </w:tcBorders>
            <w:shd w:val="clear" w:color="000000" w:fill="FFFFFF"/>
            <w:noWrap/>
            <w:vAlign w:val="center"/>
            <w:hideMark/>
          </w:tcPr>
          <w:p w14:paraId="38ABD226"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+5,7</w:t>
            </w:r>
          </w:p>
        </w:tc>
      </w:tr>
      <w:tr w:rsidR="00960EA8" w:rsidRPr="00586510" w14:paraId="3E5BA654" w14:textId="77777777" w:rsidTr="00463EB5">
        <w:trPr>
          <w:trHeight w:val="238"/>
        </w:trPr>
        <w:tc>
          <w:tcPr>
            <w:tcW w:w="1716" w:type="pct"/>
            <w:tcBorders>
              <w:top w:val="nil"/>
              <w:left w:val="nil"/>
              <w:bottom w:val="nil"/>
              <w:right w:val="nil"/>
            </w:tcBorders>
            <w:shd w:val="clear" w:color="000000" w:fill="FFFFFF"/>
            <w:noWrap/>
            <w:vAlign w:val="center"/>
            <w:hideMark/>
          </w:tcPr>
          <w:p w14:paraId="35D54AE0" w14:textId="40C63336" w:rsidR="00960EA8" w:rsidRPr="00586510" w:rsidRDefault="00960EA8" w:rsidP="00463EB5">
            <w:pPr>
              <w:widowControl/>
              <w:autoSpaceDE/>
              <w:autoSpaceDN/>
              <w:spacing w:before="40" w:after="20"/>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 xml:space="preserve"> - </w:t>
            </w:r>
            <w:proofErr w:type="spellStart"/>
            <w:r w:rsidRPr="00586510">
              <w:rPr>
                <w:rFonts w:ascii="Arial Narrow" w:eastAsia="Times New Roman" w:hAnsi="Arial Narrow" w:cs="Times New Roman"/>
                <w:sz w:val="16"/>
                <w:szCs w:val="16"/>
                <w:lang w:eastAsia="it-IT"/>
              </w:rPr>
              <w:t>C</w:t>
            </w:r>
            <w:r w:rsidR="00AB4E58">
              <w:rPr>
                <w:rFonts w:ascii="Arial Narrow" w:eastAsia="Times New Roman" w:hAnsi="Arial Narrow" w:cs="Times New Roman"/>
                <w:sz w:val="16"/>
                <w:szCs w:val="16"/>
                <w:lang w:eastAsia="it-IT"/>
              </w:rPr>
              <w:t>rop</w:t>
            </w:r>
            <w:proofErr w:type="spellEnd"/>
            <w:r w:rsidR="00AB4E58">
              <w:rPr>
                <w:rFonts w:ascii="Arial Narrow" w:eastAsia="Times New Roman" w:hAnsi="Arial Narrow" w:cs="Times New Roman"/>
                <w:sz w:val="16"/>
                <w:szCs w:val="16"/>
                <w:lang w:eastAsia="it-IT"/>
              </w:rPr>
              <w:t xml:space="preserve"> output</w:t>
            </w:r>
          </w:p>
        </w:tc>
        <w:tc>
          <w:tcPr>
            <w:tcW w:w="363" w:type="pct"/>
            <w:tcBorders>
              <w:top w:val="nil"/>
              <w:left w:val="nil"/>
              <w:bottom w:val="nil"/>
              <w:right w:val="nil"/>
            </w:tcBorders>
            <w:shd w:val="clear" w:color="auto" w:fill="D9D9D9" w:themeFill="background1" w:themeFillShade="D9"/>
            <w:noWrap/>
            <w:vAlign w:val="center"/>
            <w:hideMark/>
          </w:tcPr>
          <w:p w14:paraId="52A65202"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30.301</w:t>
            </w:r>
          </w:p>
        </w:tc>
        <w:tc>
          <w:tcPr>
            <w:tcW w:w="394" w:type="pct"/>
            <w:tcBorders>
              <w:top w:val="nil"/>
              <w:left w:val="nil"/>
              <w:bottom w:val="nil"/>
              <w:right w:val="nil"/>
            </w:tcBorders>
            <w:shd w:val="clear" w:color="000000" w:fill="FFFFFF"/>
            <w:noWrap/>
            <w:vAlign w:val="center"/>
            <w:hideMark/>
          </w:tcPr>
          <w:p w14:paraId="51A50060"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1,6</w:t>
            </w:r>
          </w:p>
        </w:tc>
        <w:tc>
          <w:tcPr>
            <w:tcW w:w="425" w:type="pct"/>
            <w:tcBorders>
              <w:top w:val="nil"/>
              <w:left w:val="nil"/>
              <w:bottom w:val="nil"/>
              <w:right w:val="nil"/>
            </w:tcBorders>
            <w:shd w:val="clear" w:color="auto" w:fill="D9D9D9" w:themeFill="background1" w:themeFillShade="D9"/>
            <w:noWrap/>
            <w:vAlign w:val="center"/>
            <w:hideMark/>
          </w:tcPr>
          <w:p w14:paraId="420C410F"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2,1</w:t>
            </w:r>
          </w:p>
        </w:tc>
        <w:tc>
          <w:tcPr>
            <w:tcW w:w="394" w:type="pct"/>
            <w:tcBorders>
              <w:top w:val="nil"/>
              <w:left w:val="nil"/>
              <w:bottom w:val="nil"/>
              <w:right w:val="nil"/>
            </w:tcBorders>
            <w:shd w:val="clear" w:color="000000" w:fill="FFFFFF"/>
            <w:noWrap/>
            <w:vAlign w:val="center"/>
            <w:hideMark/>
          </w:tcPr>
          <w:p w14:paraId="6B28C2A6"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3,8</w:t>
            </w:r>
          </w:p>
        </w:tc>
        <w:tc>
          <w:tcPr>
            <w:tcW w:w="92" w:type="pct"/>
            <w:tcBorders>
              <w:top w:val="nil"/>
              <w:left w:val="nil"/>
              <w:bottom w:val="nil"/>
              <w:right w:val="nil"/>
            </w:tcBorders>
            <w:shd w:val="clear" w:color="000000" w:fill="FFFFFF"/>
            <w:noWrap/>
            <w:vAlign w:val="center"/>
            <w:hideMark/>
          </w:tcPr>
          <w:p w14:paraId="15C05138"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 </w:t>
            </w:r>
          </w:p>
        </w:tc>
        <w:tc>
          <w:tcPr>
            <w:tcW w:w="344" w:type="pct"/>
            <w:tcBorders>
              <w:top w:val="nil"/>
              <w:left w:val="nil"/>
              <w:bottom w:val="nil"/>
              <w:right w:val="nil"/>
            </w:tcBorders>
            <w:shd w:val="clear" w:color="auto" w:fill="D9D9D9" w:themeFill="background1" w:themeFillShade="D9"/>
            <w:noWrap/>
            <w:vAlign w:val="center"/>
            <w:hideMark/>
          </w:tcPr>
          <w:p w14:paraId="0DF88F03"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32.034</w:t>
            </w:r>
          </w:p>
        </w:tc>
        <w:tc>
          <w:tcPr>
            <w:tcW w:w="438" w:type="pct"/>
            <w:tcBorders>
              <w:top w:val="nil"/>
              <w:left w:val="nil"/>
              <w:bottom w:val="nil"/>
              <w:right w:val="nil"/>
            </w:tcBorders>
            <w:shd w:val="clear" w:color="000000" w:fill="FFFFFF"/>
            <w:noWrap/>
            <w:vAlign w:val="center"/>
            <w:hideMark/>
          </w:tcPr>
          <w:p w14:paraId="13932C60"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-3,7</w:t>
            </w:r>
          </w:p>
        </w:tc>
        <w:tc>
          <w:tcPr>
            <w:tcW w:w="394" w:type="pct"/>
            <w:tcBorders>
              <w:top w:val="nil"/>
              <w:left w:val="nil"/>
              <w:bottom w:val="nil"/>
              <w:right w:val="nil"/>
            </w:tcBorders>
            <w:shd w:val="clear" w:color="auto" w:fill="D9D9D9" w:themeFill="background1" w:themeFillShade="D9"/>
            <w:noWrap/>
            <w:vAlign w:val="center"/>
            <w:hideMark/>
          </w:tcPr>
          <w:p w14:paraId="101A20E4"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9,8</w:t>
            </w:r>
          </w:p>
        </w:tc>
        <w:tc>
          <w:tcPr>
            <w:tcW w:w="442" w:type="pct"/>
            <w:tcBorders>
              <w:top w:val="nil"/>
              <w:left w:val="nil"/>
              <w:bottom w:val="nil"/>
              <w:right w:val="nil"/>
            </w:tcBorders>
            <w:shd w:val="clear" w:color="000000" w:fill="FFFFFF"/>
            <w:noWrap/>
            <w:vAlign w:val="center"/>
            <w:hideMark/>
          </w:tcPr>
          <w:p w14:paraId="556C7F47"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5,7</w:t>
            </w:r>
          </w:p>
        </w:tc>
      </w:tr>
      <w:tr w:rsidR="00960EA8" w:rsidRPr="00586510" w14:paraId="74D29AB0" w14:textId="77777777" w:rsidTr="00463EB5">
        <w:trPr>
          <w:trHeight w:val="238"/>
        </w:trPr>
        <w:tc>
          <w:tcPr>
            <w:tcW w:w="1716" w:type="pct"/>
            <w:tcBorders>
              <w:top w:val="nil"/>
              <w:left w:val="nil"/>
              <w:bottom w:val="nil"/>
              <w:right w:val="nil"/>
            </w:tcBorders>
            <w:shd w:val="clear" w:color="000000" w:fill="FFFFFF"/>
            <w:noWrap/>
            <w:vAlign w:val="center"/>
            <w:hideMark/>
          </w:tcPr>
          <w:p w14:paraId="5D08AEB1" w14:textId="1494DB8C" w:rsidR="00960EA8" w:rsidRPr="00586510" w:rsidRDefault="00960EA8" w:rsidP="00463EB5">
            <w:pPr>
              <w:widowControl/>
              <w:autoSpaceDE/>
              <w:autoSpaceDN/>
              <w:spacing w:before="40" w:after="20"/>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 xml:space="preserve"> - </w:t>
            </w:r>
            <w:r w:rsidR="00AB4E58" w:rsidRPr="00AB4E58">
              <w:rPr>
                <w:rFonts w:ascii="Arial Narrow" w:eastAsia="Times New Roman" w:hAnsi="Arial Narrow" w:cs="Times New Roman"/>
                <w:sz w:val="16"/>
                <w:szCs w:val="16"/>
                <w:lang w:eastAsia="it-IT"/>
              </w:rPr>
              <w:t>Animal output</w:t>
            </w:r>
          </w:p>
        </w:tc>
        <w:tc>
          <w:tcPr>
            <w:tcW w:w="363" w:type="pct"/>
            <w:tcBorders>
              <w:top w:val="nil"/>
              <w:left w:val="nil"/>
              <w:bottom w:val="nil"/>
              <w:right w:val="nil"/>
            </w:tcBorders>
            <w:shd w:val="clear" w:color="auto" w:fill="D9D9D9" w:themeFill="background1" w:themeFillShade="D9"/>
            <w:noWrap/>
            <w:vAlign w:val="center"/>
            <w:hideMark/>
          </w:tcPr>
          <w:p w14:paraId="3122B5C3"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16.016</w:t>
            </w:r>
          </w:p>
        </w:tc>
        <w:tc>
          <w:tcPr>
            <w:tcW w:w="394" w:type="pct"/>
            <w:tcBorders>
              <w:top w:val="nil"/>
              <w:left w:val="nil"/>
              <w:bottom w:val="nil"/>
              <w:right w:val="nil"/>
            </w:tcBorders>
            <w:shd w:val="clear" w:color="000000" w:fill="FFFFFF"/>
            <w:noWrap/>
            <w:vAlign w:val="center"/>
            <w:hideMark/>
          </w:tcPr>
          <w:p w14:paraId="1BA3BE2D"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0,0</w:t>
            </w:r>
          </w:p>
        </w:tc>
        <w:tc>
          <w:tcPr>
            <w:tcW w:w="425" w:type="pct"/>
            <w:tcBorders>
              <w:top w:val="nil"/>
              <w:left w:val="nil"/>
              <w:bottom w:val="nil"/>
              <w:right w:val="nil"/>
            </w:tcBorders>
            <w:shd w:val="clear" w:color="auto" w:fill="D9D9D9" w:themeFill="background1" w:themeFillShade="D9"/>
            <w:noWrap/>
            <w:vAlign w:val="center"/>
            <w:hideMark/>
          </w:tcPr>
          <w:p w14:paraId="73C390FF"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-2,1</w:t>
            </w:r>
          </w:p>
        </w:tc>
        <w:tc>
          <w:tcPr>
            <w:tcW w:w="394" w:type="pct"/>
            <w:tcBorders>
              <w:top w:val="nil"/>
              <w:left w:val="nil"/>
              <w:bottom w:val="nil"/>
              <w:right w:val="nil"/>
            </w:tcBorders>
            <w:shd w:val="clear" w:color="000000" w:fill="FFFFFF"/>
            <w:noWrap/>
            <w:vAlign w:val="center"/>
            <w:hideMark/>
          </w:tcPr>
          <w:p w14:paraId="309E7FDF"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-2,0</w:t>
            </w:r>
          </w:p>
        </w:tc>
        <w:tc>
          <w:tcPr>
            <w:tcW w:w="92" w:type="pct"/>
            <w:tcBorders>
              <w:top w:val="nil"/>
              <w:left w:val="nil"/>
              <w:bottom w:val="nil"/>
              <w:right w:val="nil"/>
            </w:tcBorders>
            <w:shd w:val="clear" w:color="000000" w:fill="FFFFFF"/>
            <w:noWrap/>
            <w:vAlign w:val="center"/>
            <w:hideMark/>
          </w:tcPr>
          <w:p w14:paraId="4B9C63F4"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 </w:t>
            </w:r>
          </w:p>
        </w:tc>
        <w:tc>
          <w:tcPr>
            <w:tcW w:w="344" w:type="pct"/>
            <w:tcBorders>
              <w:top w:val="nil"/>
              <w:left w:val="nil"/>
              <w:bottom w:val="nil"/>
              <w:right w:val="nil"/>
            </w:tcBorders>
            <w:shd w:val="clear" w:color="auto" w:fill="D9D9D9" w:themeFill="background1" w:themeFillShade="D9"/>
            <w:noWrap/>
            <w:vAlign w:val="center"/>
            <w:hideMark/>
          </w:tcPr>
          <w:p w14:paraId="49B36E98"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16.890</w:t>
            </w:r>
          </w:p>
        </w:tc>
        <w:tc>
          <w:tcPr>
            <w:tcW w:w="438" w:type="pct"/>
            <w:tcBorders>
              <w:top w:val="nil"/>
              <w:left w:val="nil"/>
              <w:bottom w:val="nil"/>
              <w:right w:val="nil"/>
            </w:tcBorders>
            <w:shd w:val="clear" w:color="000000" w:fill="FFFFFF"/>
            <w:noWrap/>
            <w:vAlign w:val="center"/>
            <w:hideMark/>
          </w:tcPr>
          <w:p w14:paraId="03A686BA"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1,8</w:t>
            </w:r>
          </w:p>
        </w:tc>
        <w:tc>
          <w:tcPr>
            <w:tcW w:w="394" w:type="pct"/>
            <w:tcBorders>
              <w:top w:val="nil"/>
              <w:left w:val="nil"/>
              <w:bottom w:val="nil"/>
              <w:right w:val="nil"/>
            </w:tcBorders>
            <w:shd w:val="clear" w:color="auto" w:fill="D9D9D9" w:themeFill="background1" w:themeFillShade="D9"/>
            <w:noWrap/>
            <w:vAlign w:val="center"/>
            <w:hideMark/>
          </w:tcPr>
          <w:p w14:paraId="268B4851"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3,6</w:t>
            </w:r>
          </w:p>
        </w:tc>
        <w:tc>
          <w:tcPr>
            <w:tcW w:w="442" w:type="pct"/>
            <w:tcBorders>
              <w:top w:val="nil"/>
              <w:left w:val="nil"/>
              <w:bottom w:val="nil"/>
              <w:right w:val="nil"/>
            </w:tcBorders>
            <w:shd w:val="clear" w:color="000000" w:fill="FFFFFF"/>
            <w:noWrap/>
            <w:vAlign w:val="center"/>
            <w:hideMark/>
          </w:tcPr>
          <w:p w14:paraId="48620E7D"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5,5</w:t>
            </w:r>
          </w:p>
        </w:tc>
      </w:tr>
      <w:tr w:rsidR="00960EA8" w:rsidRPr="00586510" w14:paraId="621040B4" w14:textId="77777777" w:rsidTr="00463EB5">
        <w:trPr>
          <w:trHeight w:val="238"/>
        </w:trPr>
        <w:tc>
          <w:tcPr>
            <w:tcW w:w="1716" w:type="pct"/>
            <w:tcBorders>
              <w:top w:val="nil"/>
              <w:left w:val="nil"/>
              <w:bottom w:val="nil"/>
              <w:right w:val="nil"/>
            </w:tcBorders>
            <w:shd w:val="clear" w:color="000000" w:fill="FFFFFF"/>
            <w:noWrap/>
            <w:vAlign w:val="center"/>
            <w:hideMark/>
          </w:tcPr>
          <w:p w14:paraId="4E854481" w14:textId="6BC6E63F" w:rsidR="00960EA8" w:rsidRPr="00586510" w:rsidRDefault="00960EA8" w:rsidP="00463EB5">
            <w:pPr>
              <w:widowControl/>
              <w:autoSpaceDE/>
              <w:autoSpaceDN/>
              <w:spacing w:before="40" w:after="20"/>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 xml:space="preserve"> - </w:t>
            </w:r>
            <w:proofErr w:type="spellStart"/>
            <w:r w:rsidRPr="00586510">
              <w:rPr>
                <w:rFonts w:ascii="Arial Narrow" w:eastAsia="Times New Roman" w:hAnsi="Arial Narrow" w:cs="Times New Roman"/>
                <w:sz w:val="16"/>
                <w:szCs w:val="16"/>
                <w:lang w:eastAsia="it-IT"/>
              </w:rPr>
              <w:t>A</w:t>
            </w:r>
            <w:r w:rsidR="00AB4E58">
              <w:rPr>
                <w:rFonts w:ascii="Arial Narrow" w:eastAsia="Times New Roman" w:hAnsi="Arial Narrow" w:cs="Times New Roman"/>
                <w:sz w:val="16"/>
                <w:szCs w:val="16"/>
                <w:lang w:eastAsia="it-IT"/>
              </w:rPr>
              <w:t>gricultural</w:t>
            </w:r>
            <w:proofErr w:type="spellEnd"/>
            <w:r w:rsidR="00AB4E58">
              <w:rPr>
                <w:rFonts w:ascii="Arial Narrow" w:eastAsia="Times New Roman" w:hAnsi="Arial Narrow" w:cs="Times New Roman"/>
                <w:sz w:val="16"/>
                <w:szCs w:val="16"/>
                <w:lang w:eastAsia="it-IT"/>
              </w:rPr>
              <w:t xml:space="preserve"> services</w:t>
            </w:r>
          </w:p>
        </w:tc>
        <w:tc>
          <w:tcPr>
            <w:tcW w:w="363" w:type="pct"/>
            <w:tcBorders>
              <w:top w:val="nil"/>
              <w:left w:val="nil"/>
              <w:bottom w:val="single" w:sz="4" w:space="0" w:color="auto"/>
              <w:right w:val="nil"/>
            </w:tcBorders>
            <w:shd w:val="clear" w:color="auto" w:fill="D9D9D9" w:themeFill="background1" w:themeFillShade="D9"/>
            <w:noWrap/>
            <w:vAlign w:val="center"/>
            <w:hideMark/>
          </w:tcPr>
          <w:p w14:paraId="69A1D85C"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6.796</w:t>
            </w:r>
          </w:p>
        </w:tc>
        <w:tc>
          <w:tcPr>
            <w:tcW w:w="394" w:type="pct"/>
            <w:tcBorders>
              <w:top w:val="nil"/>
              <w:left w:val="nil"/>
              <w:bottom w:val="single" w:sz="4" w:space="0" w:color="auto"/>
              <w:right w:val="nil"/>
            </w:tcBorders>
            <w:shd w:val="clear" w:color="000000" w:fill="FFFFFF"/>
            <w:noWrap/>
            <w:vAlign w:val="center"/>
            <w:hideMark/>
          </w:tcPr>
          <w:p w14:paraId="00F636EA"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-4,4</w:t>
            </w:r>
          </w:p>
        </w:tc>
        <w:tc>
          <w:tcPr>
            <w:tcW w:w="425" w:type="pct"/>
            <w:tcBorders>
              <w:top w:val="nil"/>
              <w:left w:val="nil"/>
              <w:bottom w:val="single" w:sz="4" w:space="0" w:color="auto"/>
              <w:right w:val="nil"/>
            </w:tcBorders>
            <w:shd w:val="clear" w:color="auto" w:fill="D9D9D9" w:themeFill="background1" w:themeFillShade="D9"/>
            <w:noWrap/>
            <w:vAlign w:val="center"/>
            <w:hideMark/>
          </w:tcPr>
          <w:p w14:paraId="00A55B4B"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1,1</w:t>
            </w:r>
          </w:p>
        </w:tc>
        <w:tc>
          <w:tcPr>
            <w:tcW w:w="394" w:type="pct"/>
            <w:tcBorders>
              <w:top w:val="nil"/>
              <w:left w:val="nil"/>
              <w:bottom w:val="single" w:sz="4" w:space="0" w:color="auto"/>
              <w:right w:val="nil"/>
            </w:tcBorders>
            <w:shd w:val="clear" w:color="000000" w:fill="FFFFFF"/>
            <w:noWrap/>
            <w:vAlign w:val="center"/>
            <w:hideMark/>
          </w:tcPr>
          <w:p w14:paraId="62AC0D22"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-3,3</w:t>
            </w:r>
          </w:p>
        </w:tc>
        <w:tc>
          <w:tcPr>
            <w:tcW w:w="92" w:type="pct"/>
            <w:tcBorders>
              <w:top w:val="nil"/>
              <w:left w:val="nil"/>
              <w:bottom w:val="nil"/>
              <w:right w:val="nil"/>
            </w:tcBorders>
            <w:shd w:val="clear" w:color="000000" w:fill="FFFFFF"/>
            <w:noWrap/>
            <w:vAlign w:val="center"/>
            <w:hideMark/>
          </w:tcPr>
          <w:p w14:paraId="7D80C23A"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 </w:t>
            </w:r>
          </w:p>
        </w:tc>
        <w:tc>
          <w:tcPr>
            <w:tcW w:w="344" w:type="pct"/>
            <w:tcBorders>
              <w:top w:val="nil"/>
              <w:left w:val="nil"/>
              <w:bottom w:val="single" w:sz="4" w:space="0" w:color="auto"/>
              <w:right w:val="nil"/>
            </w:tcBorders>
            <w:shd w:val="clear" w:color="auto" w:fill="D9D9D9" w:themeFill="background1" w:themeFillShade="D9"/>
            <w:noWrap/>
            <w:vAlign w:val="center"/>
            <w:hideMark/>
          </w:tcPr>
          <w:p w14:paraId="4FA819BD"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7.196</w:t>
            </w:r>
          </w:p>
        </w:tc>
        <w:tc>
          <w:tcPr>
            <w:tcW w:w="438" w:type="pct"/>
            <w:tcBorders>
              <w:top w:val="nil"/>
              <w:left w:val="nil"/>
              <w:bottom w:val="single" w:sz="4" w:space="0" w:color="auto"/>
              <w:right w:val="nil"/>
            </w:tcBorders>
            <w:shd w:val="clear" w:color="000000" w:fill="FFFFFF"/>
            <w:noWrap/>
            <w:vAlign w:val="center"/>
            <w:hideMark/>
          </w:tcPr>
          <w:p w14:paraId="7EF04C6F"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3,4</w:t>
            </w:r>
          </w:p>
        </w:tc>
        <w:tc>
          <w:tcPr>
            <w:tcW w:w="394" w:type="pct"/>
            <w:tcBorders>
              <w:top w:val="nil"/>
              <w:left w:val="nil"/>
              <w:bottom w:val="single" w:sz="4" w:space="0" w:color="auto"/>
              <w:right w:val="nil"/>
            </w:tcBorders>
            <w:shd w:val="clear" w:color="auto" w:fill="D9D9D9" w:themeFill="background1" w:themeFillShade="D9"/>
            <w:noWrap/>
            <w:vAlign w:val="center"/>
            <w:hideMark/>
          </w:tcPr>
          <w:p w14:paraId="63B14A4A"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2,4</w:t>
            </w:r>
          </w:p>
        </w:tc>
        <w:tc>
          <w:tcPr>
            <w:tcW w:w="442" w:type="pct"/>
            <w:tcBorders>
              <w:top w:val="nil"/>
              <w:left w:val="nil"/>
              <w:bottom w:val="single" w:sz="4" w:space="0" w:color="auto"/>
              <w:right w:val="nil"/>
            </w:tcBorders>
            <w:shd w:val="clear" w:color="000000" w:fill="FFFFFF"/>
            <w:noWrap/>
            <w:vAlign w:val="center"/>
            <w:hideMark/>
          </w:tcPr>
          <w:p w14:paraId="237BDE6A"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5,9</w:t>
            </w:r>
          </w:p>
        </w:tc>
      </w:tr>
      <w:tr w:rsidR="00960EA8" w:rsidRPr="00586510" w14:paraId="12D5F8FB" w14:textId="77777777" w:rsidTr="00463EB5">
        <w:trPr>
          <w:trHeight w:val="238"/>
        </w:trPr>
        <w:tc>
          <w:tcPr>
            <w:tcW w:w="1716" w:type="pct"/>
            <w:tcBorders>
              <w:top w:val="single" w:sz="4" w:space="0" w:color="auto"/>
              <w:left w:val="nil"/>
              <w:bottom w:val="nil"/>
              <w:right w:val="nil"/>
            </w:tcBorders>
            <w:shd w:val="clear" w:color="000000" w:fill="FFFFFF"/>
            <w:noWrap/>
            <w:vAlign w:val="center"/>
            <w:hideMark/>
          </w:tcPr>
          <w:p w14:paraId="248F1C13" w14:textId="3F1A5C64" w:rsidR="00960EA8" w:rsidRPr="00586510" w:rsidRDefault="00AB4E58" w:rsidP="00463EB5">
            <w:pPr>
              <w:widowControl/>
              <w:autoSpaceDE/>
              <w:autoSpaceDN/>
              <w:spacing w:before="40" w:after="20"/>
              <w:ind w:firstLineChars="100" w:firstLine="160"/>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Non-</w:t>
            </w:r>
            <w:proofErr w:type="spellStart"/>
            <w:r>
              <w:rPr>
                <w:rFonts w:ascii="Arial Narrow" w:eastAsia="Times New Roman" w:hAnsi="Arial Narrow" w:cs="Times New Roman"/>
                <w:sz w:val="16"/>
                <w:szCs w:val="16"/>
                <w:lang w:eastAsia="it-IT"/>
              </w:rPr>
              <w:t>agricultural</w:t>
            </w:r>
            <w:proofErr w:type="spellEnd"/>
            <w:r>
              <w:rPr>
                <w:rFonts w:ascii="Arial Narrow" w:eastAsia="Times New Roman" w:hAnsi="Arial Narrow" w:cs="Times New Roman"/>
                <w:sz w:val="16"/>
                <w:szCs w:val="16"/>
                <w:lang w:eastAsia="it-IT"/>
              </w:rPr>
              <w:t xml:space="preserve"> </w:t>
            </w:r>
            <w:proofErr w:type="spellStart"/>
            <w:r>
              <w:rPr>
                <w:rFonts w:ascii="Arial Narrow" w:eastAsia="Times New Roman" w:hAnsi="Arial Narrow" w:cs="Times New Roman"/>
                <w:sz w:val="16"/>
                <w:szCs w:val="16"/>
                <w:lang w:eastAsia="it-IT"/>
              </w:rPr>
              <w:t>secondary</w:t>
            </w:r>
            <w:proofErr w:type="spellEnd"/>
            <w:r>
              <w:rPr>
                <w:rFonts w:ascii="Arial Narrow" w:eastAsia="Times New Roman" w:hAnsi="Arial Narrow" w:cs="Times New Roman"/>
                <w:sz w:val="16"/>
                <w:szCs w:val="16"/>
                <w:lang w:eastAsia="it-IT"/>
              </w:rPr>
              <w:t xml:space="preserve"> activities</w:t>
            </w:r>
            <w:r w:rsidR="00960EA8" w:rsidRPr="00586510">
              <w:rPr>
                <w:rFonts w:ascii="Arial Narrow" w:eastAsia="Times New Roman" w:hAnsi="Arial Narrow" w:cs="Times New Roman"/>
                <w:sz w:val="16"/>
                <w:szCs w:val="16"/>
                <w:lang w:eastAsia="it-IT"/>
              </w:rPr>
              <w:t xml:space="preserve"> (+) </w:t>
            </w:r>
            <w:r w:rsidR="00960EA8" w:rsidRPr="00586510">
              <w:rPr>
                <w:rFonts w:ascii="Arial Narrow" w:eastAsia="Times New Roman" w:hAnsi="Arial Narrow" w:cs="Times New Roman"/>
                <w:sz w:val="16"/>
                <w:szCs w:val="16"/>
                <w:vertAlign w:val="superscript"/>
                <w:lang w:eastAsia="it-IT"/>
              </w:rPr>
              <w:t>(1)</w:t>
            </w:r>
          </w:p>
        </w:tc>
        <w:tc>
          <w:tcPr>
            <w:tcW w:w="363" w:type="pct"/>
            <w:tcBorders>
              <w:top w:val="nil"/>
              <w:left w:val="nil"/>
              <w:bottom w:val="nil"/>
              <w:right w:val="nil"/>
            </w:tcBorders>
            <w:shd w:val="clear" w:color="auto" w:fill="D9D9D9" w:themeFill="background1" w:themeFillShade="D9"/>
            <w:noWrap/>
            <w:vAlign w:val="center"/>
            <w:hideMark/>
          </w:tcPr>
          <w:p w14:paraId="2134C0D9"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4.588</w:t>
            </w:r>
          </w:p>
        </w:tc>
        <w:tc>
          <w:tcPr>
            <w:tcW w:w="394" w:type="pct"/>
            <w:tcBorders>
              <w:top w:val="nil"/>
              <w:left w:val="nil"/>
              <w:bottom w:val="nil"/>
              <w:right w:val="nil"/>
            </w:tcBorders>
            <w:shd w:val="clear" w:color="000000" w:fill="FFFFFF"/>
            <w:noWrap/>
            <w:vAlign w:val="center"/>
            <w:hideMark/>
          </w:tcPr>
          <w:p w14:paraId="7FD7044B"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-17,2</w:t>
            </w:r>
          </w:p>
        </w:tc>
        <w:tc>
          <w:tcPr>
            <w:tcW w:w="425" w:type="pct"/>
            <w:tcBorders>
              <w:top w:val="nil"/>
              <w:left w:val="nil"/>
              <w:bottom w:val="nil"/>
              <w:right w:val="nil"/>
            </w:tcBorders>
            <w:shd w:val="clear" w:color="auto" w:fill="D9D9D9" w:themeFill="background1" w:themeFillShade="D9"/>
            <w:noWrap/>
            <w:vAlign w:val="center"/>
            <w:hideMark/>
          </w:tcPr>
          <w:p w14:paraId="76CCABAD"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-0,2</w:t>
            </w:r>
          </w:p>
        </w:tc>
        <w:tc>
          <w:tcPr>
            <w:tcW w:w="394" w:type="pct"/>
            <w:tcBorders>
              <w:top w:val="nil"/>
              <w:left w:val="nil"/>
              <w:bottom w:val="nil"/>
              <w:right w:val="nil"/>
            </w:tcBorders>
            <w:shd w:val="clear" w:color="000000" w:fill="FFFFFF"/>
            <w:noWrap/>
            <w:vAlign w:val="center"/>
            <w:hideMark/>
          </w:tcPr>
          <w:p w14:paraId="24E3048F"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-17,3</w:t>
            </w:r>
          </w:p>
        </w:tc>
        <w:tc>
          <w:tcPr>
            <w:tcW w:w="92" w:type="pct"/>
            <w:tcBorders>
              <w:top w:val="nil"/>
              <w:left w:val="nil"/>
              <w:bottom w:val="nil"/>
              <w:right w:val="nil"/>
            </w:tcBorders>
            <w:shd w:val="clear" w:color="000000" w:fill="FFFFFF"/>
            <w:noWrap/>
            <w:vAlign w:val="center"/>
            <w:hideMark/>
          </w:tcPr>
          <w:p w14:paraId="3432AD67" w14:textId="77777777" w:rsidR="00960EA8" w:rsidRPr="00586510" w:rsidRDefault="00960EA8" w:rsidP="00463EB5">
            <w:pPr>
              <w:widowControl/>
              <w:autoSpaceDE/>
              <w:autoSpaceDN/>
              <w:spacing w:before="40" w:after="20"/>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 </w:t>
            </w:r>
          </w:p>
        </w:tc>
        <w:tc>
          <w:tcPr>
            <w:tcW w:w="344" w:type="pct"/>
            <w:tcBorders>
              <w:top w:val="nil"/>
              <w:left w:val="nil"/>
              <w:bottom w:val="nil"/>
              <w:right w:val="nil"/>
            </w:tcBorders>
            <w:shd w:val="clear" w:color="auto" w:fill="D9D9D9" w:themeFill="background1" w:themeFillShade="D9"/>
            <w:noWrap/>
            <w:vAlign w:val="center"/>
            <w:hideMark/>
          </w:tcPr>
          <w:p w14:paraId="17331EE3"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5.324</w:t>
            </w:r>
          </w:p>
        </w:tc>
        <w:tc>
          <w:tcPr>
            <w:tcW w:w="438" w:type="pct"/>
            <w:tcBorders>
              <w:top w:val="nil"/>
              <w:left w:val="nil"/>
              <w:bottom w:val="nil"/>
              <w:right w:val="nil"/>
            </w:tcBorders>
            <w:shd w:val="clear" w:color="000000" w:fill="FFFFFF"/>
            <w:noWrap/>
            <w:vAlign w:val="center"/>
            <w:hideMark/>
          </w:tcPr>
          <w:p w14:paraId="1F34B578"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9,6</w:t>
            </w:r>
          </w:p>
        </w:tc>
        <w:tc>
          <w:tcPr>
            <w:tcW w:w="394" w:type="pct"/>
            <w:tcBorders>
              <w:top w:val="nil"/>
              <w:left w:val="nil"/>
              <w:bottom w:val="nil"/>
              <w:right w:val="nil"/>
            </w:tcBorders>
            <w:shd w:val="clear" w:color="auto" w:fill="D9D9D9" w:themeFill="background1" w:themeFillShade="D9"/>
            <w:noWrap/>
            <w:vAlign w:val="center"/>
            <w:hideMark/>
          </w:tcPr>
          <w:p w14:paraId="44228F9D"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5,8</w:t>
            </w:r>
          </w:p>
        </w:tc>
        <w:tc>
          <w:tcPr>
            <w:tcW w:w="442" w:type="pct"/>
            <w:tcBorders>
              <w:top w:val="nil"/>
              <w:left w:val="nil"/>
              <w:bottom w:val="nil"/>
              <w:right w:val="nil"/>
            </w:tcBorders>
            <w:shd w:val="clear" w:color="000000" w:fill="FFFFFF"/>
            <w:noWrap/>
            <w:vAlign w:val="center"/>
            <w:hideMark/>
          </w:tcPr>
          <w:p w14:paraId="7CEC5DC3"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16,0</w:t>
            </w:r>
          </w:p>
        </w:tc>
      </w:tr>
      <w:tr w:rsidR="00960EA8" w:rsidRPr="00586510" w14:paraId="7F06D12B" w14:textId="77777777" w:rsidTr="00463EB5">
        <w:trPr>
          <w:trHeight w:val="238"/>
        </w:trPr>
        <w:tc>
          <w:tcPr>
            <w:tcW w:w="1716" w:type="pct"/>
            <w:tcBorders>
              <w:top w:val="nil"/>
              <w:left w:val="nil"/>
              <w:bottom w:val="single" w:sz="4" w:space="0" w:color="auto"/>
              <w:right w:val="nil"/>
            </w:tcBorders>
            <w:shd w:val="clear" w:color="000000" w:fill="FFFFFF"/>
            <w:noWrap/>
            <w:vAlign w:val="center"/>
            <w:hideMark/>
          </w:tcPr>
          <w:p w14:paraId="35BD6178" w14:textId="0B29AA80" w:rsidR="00960EA8" w:rsidRPr="00586510" w:rsidRDefault="00AB4E58" w:rsidP="00463EB5">
            <w:pPr>
              <w:widowControl/>
              <w:autoSpaceDE/>
              <w:autoSpaceDN/>
              <w:spacing w:before="40" w:after="20"/>
              <w:ind w:firstLineChars="100" w:firstLine="160"/>
              <w:rPr>
                <w:rFonts w:ascii="Arial Narrow" w:eastAsia="Times New Roman" w:hAnsi="Arial Narrow" w:cs="Times New Roman"/>
                <w:sz w:val="16"/>
                <w:szCs w:val="16"/>
                <w:lang w:eastAsia="it-IT"/>
              </w:rPr>
            </w:pPr>
            <w:r w:rsidRPr="00AB4E58">
              <w:rPr>
                <w:rFonts w:ascii="Arial Narrow" w:eastAsia="Times New Roman" w:hAnsi="Arial Narrow" w:cs="Times New Roman"/>
                <w:sz w:val="16"/>
                <w:szCs w:val="16"/>
                <w:lang w:eastAsia="it-IT"/>
              </w:rPr>
              <w:t>Non-</w:t>
            </w:r>
            <w:proofErr w:type="spellStart"/>
            <w:r w:rsidRPr="00AB4E58">
              <w:rPr>
                <w:rFonts w:ascii="Arial Narrow" w:eastAsia="Times New Roman" w:hAnsi="Arial Narrow" w:cs="Times New Roman"/>
                <w:sz w:val="16"/>
                <w:szCs w:val="16"/>
                <w:lang w:eastAsia="it-IT"/>
              </w:rPr>
              <w:t>agricultural</w:t>
            </w:r>
            <w:proofErr w:type="spellEnd"/>
            <w:r w:rsidRPr="00AB4E58">
              <w:rPr>
                <w:rFonts w:ascii="Arial Narrow" w:eastAsia="Times New Roman" w:hAnsi="Arial Narrow" w:cs="Times New Roman"/>
                <w:sz w:val="16"/>
                <w:szCs w:val="16"/>
                <w:lang w:eastAsia="it-IT"/>
              </w:rPr>
              <w:t xml:space="preserve"> </w:t>
            </w:r>
            <w:proofErr w:type="spellStart"/>
            <w:r w:rsidRPr="00AB4E58">
              <w:rPr>
                <w:rFonts w:ascii="Arial Narrow" w:eastAsia="Times New Roman" w:hAnsi="Arial Narrow" w:cs="Times New Roman"/>
                <w:sz w:val="16"/>
                <w:szCs w:val="16"/>
                <w:lang w:eastAsia="it-IT"/>
              </w:rPr>
              <w:t>secondary</w:t>
            </w:r>
            <w:proofErr w:type="spellEnd"/>
            <w:r w:rsidRPr="00AB4E58">
              <w:rPr>
                <w:rFonts w:ascii="Arial Narrow" w:eastAsia="Times New Roman" w:hAnsi="Arial Narrow" w:cs="Times New Roman"/>
                <w:sz w:val="16"/>
                <w:szCs w:val="16"/>
                <w:lang w:eastAsia="it-IT"/>
              </w:rPr>
              <w:t xml:space="preserve"> activities</w:t>
            </w:r>
            <w:r w:rsidR="00960EA8">
              <w:rPr>
                <w:rFonts w:ascii="Arial Narrow" w:eastAsia="Times New Roman" w:hAnsi="Arial Narrow" w:cs="Times New Roman"/>
                <w:sz w:val="16"/>
                <w:szCs w:val="16"/>
                <w:lang w:eastAsia="it-IT"/>
              </w:rPr>
              <w:t xml:space="preserve"> </w:t>
            </w:r>
            <w:r w:rsidR="00960EA8" w:rsidRPr="00586510">
              <w:rPr>
                <w:rFonts w:ascii="Arial Narrow" w:eastAsia="Times New Roman" w:hAnsi="Arial Narrow" w:cs="Times New Roman"/>
                <w:sz w:val="16"/>
                <w:szCs w:val="16"/>
                <w:lang w:eastAsia="it-IT"/>
              </w:rPr>
              <w:t xml:space="preserve">(-) </w:t>
            </w:r>
            <w:r w:rsidR="00960EA8" w:rsidRPr="00586510">
              <w:rPr>
                <w:rFonts w:ascii="Arial Narrow" w:eastAsia="Times New Roman" w:hAnsi="Arial Narrow" w:cs="Times New Roman"/>
                <w:sz w:val="16"/>
                <w:szCs w:val="16"/>
                <w:vertAlign w:val="superscript"/>
                <w:lang w:eastAsia="it-IT"/>
              </w:rPr>
              <w:t>(1)</w:t>
            </w:r>
          </w:p>
        </w:tc>
        <w:tc>
          <w:tcPr>
            <w:tcW w:w="363" w:type="pct"/>
            <w:tcBorders>
              <w:top w:val="nil"/>
              <w:left w:val="nil"/>
              <w:bottom w:val="nil"/>
              <w:right w:val="nil"/>
            </w:tcBorders>
            <w:shd w:val="clear" w:color="auto" w:fill="D9D9D9" w:themeFill="background1" w:themeFillShade="D9"/>
            <w:noWrap/>
            <w:vAlign w:val="center"/>
            <w:hideMark/>
          </w:tcPr>
          <w:p w14:paraId="3D50F97B"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1.021</w:t>
            </w:r>
          </w:p>
        </w:tc>
        <w:tc>
          <w:tcPr>
            <w:tcW w:w="394" w:type="pct"/>
            <w:tcBorders>
              <w:top w:val="nil"/>
              <w:left w:val="nil"/>
              <w:bottom w:val="single" w:sz="4" w:space="0" w:color="auto"/>
              <w:right w:val="nil"/>
            </w:tcBorders>
            <w:shd w:val="clear" w:color="000000" w:fill="FFFFFF"/>
            <w:noWrap/>
            <w:vAlign w:val="center"/>
            <w:hideMark/>
          </w:tcPr>
          <w:p w14:paraId="667FC90F"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-1,2</w:t>
            </w:r>
          </w:p>
        </w:tc>
        <w:tc>
          <w:tcPr>
            <w:tcW w:w="425" w:type="pct"/>
            <w:tcBorders>
              <w:top w:val="nil"/>
              <w:left w:val="nil"/>
              <w:bottom w:val="single" w:sz="4" w:space="0" w:color="auto"/>
              <w:right w:val="nil"/>
            </w:tcBorders>
            <w:shd w:val="clear" w:color="auto" w:fill="D9D9D9" w:themeFill="background1" w:themeFillShade="D9"/>
            <w:noWrap/>
            <w:vAlign w:val="center"/>
            <w:hideMark/>
          </w:tcPr>
          <w:p w14:paraId="4F513B6F"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3,0</w:t>
            </w:r>
          </w:p>
        </w:tc>
        <w:tc>
          <w:tcPr>
            <w:tcW w:w="394" w:type="pct"/>
            <w:tcBorders>
              <w:top w:val="nil"/>
              <w:left w:val="nil"/>
              <w:bottom w:val="single" w:sz="4" w:space="0" w:color="auto"/>
              <w:right w:val="nil"/>
            </w:tcBorders>
            <w:shd w:val="clear" w:color="000000" w:fill="FFFFFF"/>
            <w:noWrap/>
            <w:vAlign w:val="center"/>
            <w:hideMark/>
          </w:tcPr>
          <w:p w14:paraId="7A61FC3E"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1,8</w:t>
            </w:r>
          </w:p>
        </w:tc>
        <w:tc>
          <w:tcPr>
            <w:tcW w:w="92" w:type="pct"/>
            <w:tcBorders>
              <w:top w:val="nil"/>
              <w:left w:val="nil"/>
              <w:bottom w:val="nil"/>
              <w:right w:val="nil"/>
            </w:tcBorders>
            <w:shd w:val="clear" w:color="000000" w:fill="FFFFFF"/>
            <w:noWrap/>
            <w:vAlign w:val="center"/>
            <w:hideMark/>
          </w:tcPr>
          <w:p w14:paraId="1C16DE72" w14:textId="77777777" w:rsidR="00960EA8" w:rsidRPr="00586510" w:rsidRDefault="00960EA8" w:rsidP="00463EB5">
            <w:pPr>
              <w:widowControl/>
              <w:autoSpaceDE/>
              <w:autoSpaceDN/>
              <w:spacing w:before="40" w:after="20"/>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 </w:t>
            </w:r>
          </w:p>
        </w:tc>
        <w:tc>
          <w:tcPr>
            <w:tcW w:w="344" w:type="pct"/>
            <w:tcBorders>
              <w:top w:val="nil"/>
              <w:left w:val="nil"/>
              <w:bottom w:val="nil"/>
              <w:right w:val="nil"/>
            </w:tcBorders>
            <w:shd w:val="clear" w:color="auto" w:fill="D9D9D9" w:themeFill="background1" w:themeFillShade="D9"/>
            <w:noWrap/>
            <w:vAlign w:val="center"/>
            <w:hideMark/>
          </w:tcPr>
          <w:p w14:paraId="34608213"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1.090</w:t>
            </w:r>
          </w:p>
        </w:tc>
        <w:tc>
          <w:tcPr>
            <w:tcW w:w="438" w:type="pct"/>
            <w:tcBorders>
              <w:top w:val="nil"/>
              <w:left w:val="nil"/>
              <w:bottom w:val="single" w:sz="4" w:space="0" w:color="auto"/>
              <w:right w:val="nil"/>
            </w:tcBorders>
            <w:shd w:val="clear" w:color="000000" w:fill="FFFFFF"/>
            <w:noWrap/>
            <w:vAlign w:val="center"/>
            <w:hideMark/>
          </w:tcPr>
          <w:p w14:paraId="756AD164"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-8,4</w:t>
            </w:r>
          </w:p>
        </w:tc>
        <w:tc>
          <w:tcPr>
            <w:tcW w:w="394" w:type="pct"/>
            <w:tcBorders>
              <w:top w:val="nil"/>
              <w:left w:val="nil"/>
              <w:bottom w:val="single" w:sz="4" w:space="0" w:color="auto"/>
              <w:right w:val="nil"/>
            </w:tcBorders>
            <w:shd w:val="clear" w:color="auto" w:fill="D9D9D9" w:themeFill="background1" w:themeFillShade="D9"/>
            <w:noWrap/>
            <w:vAlign w:val="center"/>
            <w:hideMark/>
          </w:tcPr>
          <w:p w14:paraId="1DEFD5E7"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16,5</w:t>
            </w:r>
          </w:p>
        </w:tc>
        <w:tc>
          <w:tcPr>
            <w:tcW w:w="442" w:type="pct"/>
            <w:tcBorders>
              <w:top w:val="nil"/>
              <w:left w:val="nil"/>
              <w:bottom w:val="single" w:sz="4" w:space="0" w:color="auto"/>
              <w:right w:val="nil"/>
            </w:tcBorders>
            <w:shd w:val="clear" w:color="000000" w:fill="FFFFFF"/>
            <w:noWrap/>
            <w:vAlign w:val="center"/>
            <w:hideMark/>
          </w:tcPr>
          <w:p w14:paraId="14EDBA0A"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w:t>
            </w:r>
            <w:r w:rsidRPr="00586510">
              <w:rPr>
                <w:rFonts w:ascii="Arial Narrow" w:eastAsia="Times New Roman" w:hAnsi="Arial Narrow" w:cs="Times New Roman"/>
                <w:sz w:val="16"/>
                <w:szCs w:val="16"/>
                <w:lang w:eastAsia="it-IT"/>
              </w:rPr>
              <w:t>6,7</w:t>
            </w:r>
          </w:p>
        </w:tc>
      </w:tr>
      <w:tr w:rsidR="00960EA8" w:rsidRPr="00586510" w14:paraId="73EBD803" w14:textId="77777777" w:rsidTr="00463EB5">
        <w:trPr>
          <w:trHeight w:val="238"/>
        </w:trPr>
        <w:tc>
          <w:tcPr>
            <w:tcW w:w="1716" w:type="pct"/>
            <w:tcBorders>
              <w:top w:val="nil"/>
              <w:left w:val="nil"/>
              <w:bottom w:val="nil"/>
              <w:right w:val="nil"/>
            </w:tcBorders>
            <w:shd w:val="clear" w:color="000000" w:fill="FFFFFF"/>
            <w:noWrap/>
            <w:vAlign w:val="center"/>
            <w:hideMark/>
          </w:tcPr>
          <w:p w14:paraId="43936006" w14:textId="706CEA8F" w:rsidR="00960EA8" w:rsidRPr="00586510" w:rsidRDefault="00D60DB3" w:rsidP="00463EB5">
            <w:pPr>
              <w:widowControl/>
              <w:autoSpaceDE/>
              <w:autoSpaceDN/>
              <w:spacing w:before="40" w:after="20"/>
              <w:rPr>
                <w:rFonts w:ascii="Arial Narrow" w:eastAsia="Times New Roman" w:hAnsi="Arial Narrow" w:cs="Times New Roman"/>
                <w:b/>
                <w:bCs/>
                <w:sz w:val="16"/>
                <w:szCs w:val="16"/>
                <w:lang w:eastAsia="it-IT"/>
              </w:rPr>
            </w:pPr>
            <w:proofErr w:type="spellStart"/>
            <w:r w:rsidRPr="00D60DB3">
              <w:rPr>
                <w:rFonts w:ascii="Arial Narrow" w:eastAsia="Times New Roman" w:hAnsi="Arial Narrow" w:cs="Times New Roman"/>
                <w:b/>
                <w:bCs/>
                <w:sz w:val="16"/>
                <w:szCs w:val="16"/>
                <w:lang w:eastAsia="it-IT"/>
              </w:rPr>
              <w:t>Agricultural</w:t>
            </w:r>
            <w:proofErr w:type="spellEnd"/>
            <w:r w:rsidRPr="00D60DB3">
              <w:rPr>
                <w:rFonts w:ascii="Arial Narrow" w:eastAsia="Times New Roman" w:hAnsi="Arial Narrow" w:cs="Times New Roman"/>
                <w:b/>
                <w:bCs/>
                <w:sz w:val="16"/>
                <w:szCs w:val="16"/>
                <w:lang w:eastAsia="it-IT"/>
              </w:rPr>
              <w:t xml:space="preserve"> </w:t>
            </w:r>
            <w:r>
              <w:rPr>
                <w:rFonts w:ascii="Arial Narrow" w:eastAsia="Times New Roman" w:hAnsi="Arial Narrow" w:cs="Times New Roman"/>
                <w:b/>
                <w:bCs/>
                <w:sz w:val="16"/>
                <w:szCs w:val="16"/>
                <w:lang w:eastAsia="it-IT"/>
              </w:rPr>
              <w:t>output</w:t>
            </w:r>
          </w:p>
        </w:tc>
        <w:tc>
          <w:tcPr>
            <w:tcW w:w="363" w:type="pct"/>
            <w:tcBorders>
              <w:top w:val="single" w:sz="4" w:space="0" w:color="auto"/>
              <w:left w:val="nil"/>
              <w:bottom w:val="nil"/>
              <w:right w:val="nil"/>
            </w:tcBorders>
            <w:shd w:val="clear" w:color="auto" w:fill="D9D9D9" w:themeFill="background1" w:themeFillShade="D9"/>
            <w:noWrap/>
            <w:vAlign w:val="center"/>
            <w:hideMark/>
          </w:tcPr>
          <w:p w14:paraId="07D79455"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56.679</w:t>
            </w:r>
          </w:p>
        </w:tc>
        <w:tc>
          <w:tcPr>
            <w:tcW w:w="394" w:type="pct"/>
            <w:tcBorders>
              <w:top w:val="nil"/>
              <w:left w:val="nil"/>
              <w:bottom w:val="nil"/>
              <w:right w:val="nil"/>
            </w:tcBorders>
            <w:shd w:val="clear" w:color="000000" w:fill="FFFFFF"/>
            <w:noWrap/>
            <w:vAlign w:val="center"/>
            <w:hideMark/>
          </w:tcPr>
          <w:p w14:paraId="746245A9"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-1,4</w:t>
            </w:r>
          </w:p>
        </w:tc>
        <w:tc>
          <w:tcPr>
            <w:tcW w:w="425" w:type="pct"/>
            <w:tcBorders>
              <w:top w:val="nil"/>
              <w:left w:val="nil"/>
              <w:bottom w:val="nil"/>
              <w:right w:val="nil"/>
            </w:tcBorders>
            <w:shd w:val="clear" w:color="auto" w:fill="D9D9D9" w:themeFill="background1" w:themeFillShade="D9"/>
            <w:noWrap/>
            <w:vAlign w:val="center"/>
            <w:hideMark/>
          </w:tcPr>
          <w:p w14:paraId="79175ADA"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+0,6</w:t>
            </w:r>
          </w:p>
        </w:tc>
        <w:tc>
          <w:tcPr>
            <w:tcW w:w="394" w:type="pct"/>
            <w:tcBorders>
              <w:top w:val="nil"/>
              <w:left w:val="nil"/>
              <w:bottom w:val="nil"/>
              <w:right w:val="nil"/>
            </w:tcBorders>
            <w:shd w:val="clear" w:color="000000" w:fill="FFFFFF"/>
            <w:noWrap/>
            <w:vAlign w:val="center"/>
            <w:hideMark/>
          </w:tcPr>
          <w:p w14:paraId="10056425"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-0,8</w:t>
            </w:r>
          </w:p>
        </w:tc>
        <w:tc>
          <w:tcPr>
            <w:tcW w:w="92" w:type="pct"/>
            <w:tcBorders>
              <w:top w:val="nil"/>
              <w:left w:val="nil"/>
              <w:bottom w:val="nil"/>
              <w:right w:val="nil"/>
            </w:tcBorders>
            <w:shd w:val="clear" w:color="000000" w:fill="FFFFFF"/>
            <w:noWrap/>
            <w:vAlign w:val="center"/>
            <w:hideMark/>
          </w:tcPr>
          <w:p w14:paraId="39DF982A"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 </w:t>
            </w:r>
          </w:p>
        </w:tc>
        <w:tc>
          <w:tcPr>
            <w:tcW w:w="344" w:type="pct"/>
            <w:tcBorders>
              <w:top w:val="single" w:sz="4" w:space="0" w:color="auto"/>
              <w:left w:val="nil"/>
              <w:bottom w:val="nil"/>
              <w:right w:val="nil"/>
            </w:tcBorders>
            <w:shd w:val="clear" w:color="auto" w:fill="D9D9D9" w:themeFill="background1" w:themeFillShade="D9"/>
            <w:noWrap/>
            <w:vAlign w:val="center"/>
            <w:hideMark/>
          </w:tcPr>
          <w:p w14:paraId="51DD49FD"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60.355</w:t>
            </w:r>
          </w:p>
        </w:tc>
        <w:tc>
          <w:tcPr>
            <w:tcW w:w="438" w:type="pct"/>
            <w:tcBorders>
              <w:top w:val="nil"/>
              <w:left w:val="nil"/>
              <w:bottom w:val="nil"/>
              <w:right w:val="nil"/>
            </w:tcBorders>
            <w:shd w:val="clear" w:color="000000" w:fill="FFFFFF"/>
            <w:noWrap/>
            <w:vAlign w:val="center"/>
            <w:hideMark/>
          </w:tcPr>
          <w:p w14:paraId="316C5ABC"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-0,1</w:t>
            </w:r>
          </w:p>
        </w:tc>
        <w:tc>
          <w:tcPr>
            <w:tcW w:w="394" w:type="pct"/>
            <w:tcBorders>
              <w:top w:val="nil"/>
              <w:left w:val="nil"/>
              <w:bottom w:val="nil"/>
              <w:right w:val="nil"/>
            </w:tcBorders>
            <w:shd w:val="clear" w:color="auto" w:fill="D9D9D9" w:themeFill="background1" w:themeFillShade="D9"/>
            <w:noWrap/>
            <w:vAlign w:val="center"/>
            <w:hideMark/>
          </w:tcPr>
          <w:p w14:paraId="24E1A063"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+6,6</w:t>
            </w:r>
          </w:p>
        </w:tc>
        <w:tc>
          <w:tcPr>
            <w:tcW w:w="442" w:type="pct"/>
            <w:tcBorders>
              <w:top w:val="nil"/>
              <w:left w:val="nil"/>
              <w:bottom w:val="nil"/>
              <w:right w:val="nil"/>
            </w:tcBorders>
            <w:shd w:val="clear" w:color="000000" w:fill="FFFFFF"/>
            <w:noWrap/>
            <w:vAlign w:val="center"/>
            <w:hideMark/>
          </w:tcPr>
          <w:p w14:paraId="7ED2B161"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+6,5</w:t>
            </w:r>
          </w:p>
        </w:tc>
      </w:tr>
      <w:tr w:rsidR="00960EA8" w:rsidRPr="00586510" w14:paraId="66AEDCD2" w14:textId="77777777" w:rsidTr="00463EB5">
        <w:trPr>
          <w:trHeight w:val="238"/>
        </w:trPr>
        <w:tc>
          <w:tcPr>
            <w:tcW w:w="1716" w:type="pct"/>
            <w:tcBorders>
              <w:top w:val="nil"/>
              <w:left w:val="nil"/>
              <w:bottom w:val="nil"/>
              <w:right w:val="nil"/>
            </w:tcBorders>
            <w:shd w:val="clear" w:color="000000" w:fill="FFFFFF"/>
            <w:noWrap/>
            <w:vAlign w:val="center"/>
            <w:hideMark/>
          </w:tcPr>
          <w:p w14:paraId="39CADC02" w14:textId="254C34CC" w:rsidR="00960EA8" w:rsidRPr="00586510" w:rsidRDefault="00F77AEB" w:rsidP="00463EB5">
            <w:pPr>
              <w:widowControl/>
              <w:autoSpaceDE/>
              <w:autoSpaceDN/>
              <w:spacing w:before="40" w:after="20"/>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I</w:t>
            </w:r>
            <w:r w:rsidR="00D60DB3">
              <w:rPr>
                <w:rFonts w:ascii="Arial Narrow" w:eastAsia="Times New Roman" w:hAnsi="Arial Narrow" w:cs="Times New Roman"/>
                <w:sz w:val="16"/>
                <w:szCs w:val="16"/>
                <w:lang w:eastAsia="it-IT"/>
              </w:rPr>
              <w:t xml:space="preserve">ntermediate </w:t>
            </w:r>
            <w:proofErr w:type="spellStart"/>
            <w:r>
              <w:rPr>
                <w:rFonts w:ascii="Arial Narrow" w:eastAsia="Times New Roman" w:hAnsi="Arial Narrow" w:cs="Times New Roman"/>
                <w:sz w:val="16"/>
                <w:szCs w:val="16"/>
                <w:lang w:eastAsia="it-IT"/>
              </w:rPr>
              <w:t>agricultural</w:t>
            </w:r>
            <w:proofErr w:type="spellEnd"/>
            <w:r>
              <w:rPr>
                <w:rFonts w:ascii="Arial Narrow" w:eastAsia="Times New Roman" w:hAnsi="Arial Narrow" w:cs="Times New Roman"/>
                <w:sz w:val="16"/>
                <w:szCs w:val="16"/>
                <w:lang w:eastAsia="it-IT"/>
              </w:rPr>
              <w:t xml:space="preserve"> </w:t>
            </w:r>
            <w:proofErr w:type="spellStart"/>
            <w:r w:rsidR="00D60DB3">
              <w:rPr>
                <w:rFonts w:ascii="Arial Narrow" w:eastAsia="Times New Roman" w:hAnsi="Arial Narrow" w:cs="Times New Roman"/>
                <w:sz w:val="16"/>
                <w:szCs w:val="16"/>
                <w:lang w:eastAsia="it-IT"/>
              </w:rPr>
              <w:t>consumption</w:t>
            </w:r>
            <w:proofErr w:type="spellEnd"/>
            <w:r w:rsidR="00960EA8">
              <w:rPr>
                <w:rFonts w:ascii="Arial Narrow" w:eastAsia="Times New Roman" w:hAnsi="Arial Narrow" w:cs="Times New Roman"/>
                <w:sz w:val="16"/>
                <w:szCs w:val="16"/>
                <w:lang w:eastAsia="it-IT"/>
              </w:rPr>
              <w:t xml:space="preserve"> </w:t>
            </w:r>
            <w:r w:rsidR="00960EA8">
              <w:rPr>
                <w:rFonts w:ascii="Arial Narrow" w:eastAsia="Times New Roman" w:hAnsi="Arial Narrow" w:cs="Times New Roman"/>
                <w:sz w:val="16"/>
                <w:szCs w:val="16"/>
                <w:vertAlign w:val="superscript"/>
                <w:lang w:eastAsia="it-IT"/>
              </w:rPr>
              <w:t>(2)</w:t>
            </w:r>
          </w:p>
        </w:tc>
        <w:tc>
          <w:tcPr>
            <w:tcW w:w="363" w:type="pct"/>
            <w:tcBorders>
              <w:top w:val="nil"/>
              <w:left w:val="nil"/>
              <w:bottom w:val="nil"/>
              <w:right w:val="nil"/>
            </w:tcBorders>
            <w:shd w:val="clear" w:color="auto" w:fill="D9D9D9" w:themeFill="background1" w:themeFillShade="D9"/>
            <w:noWrap/>
            <w:vAlign w:val="center"/>
            <w:hideMark/>
          </w:tcPr>
          <w:p w14:paraId="36670860"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26.157</w:t>
            </w:r>
          </w:p>
        </w:tc>
        <w:tc>
          <w:tcPr>
            <w:tcW w:w="394" w:type="pct"/>
            <w:tcBorders>
              <w:top w:val="nil"/>
              <w:left w:val="nil"/>
              <w:bottom w:val="nil"/>
              <w:right w:val="nil"/>
            </w:tcBorders>
            <w:shd w:val="clear" w:color="000000" w:fill="FFFFFF"/>
            <w:noWrap/>
            <w:vAlign w:val="center"/>
            <w:hideMark/>
          </w:tcPr>
          <w:p w14:paraId="29B927F0"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+2,6</w:t>
            </w:r>
          </w:p>
        </w:tc>
        <w:tc>
          <w:tcPr>
            <w:tcW w:w="425" w:type="pct"/>
            <w:tcBorders>
              <w:top w:val="nil"/>
              <w:left w:val="nil"/>
              <w:bottom w:val="nil"/>
              <w:right w:val="nil"/>
            </w:tcBorders>
            <w:shd w:val="clear" w:color="auto" w:fill="D9D9D9" w:themeFill="background1" w:themeFillShade="D9"/>
            <w:noWrap/>
            <w:vAlign w:val="center"/>
            <w:hideMark/>
          </w:tcPr>
          <w:p w14:paraId="3F3DEC97"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-0,8</w:t>
            </w:r>
          </w:p>
        </w:tc>
        <w:tc>
          <w:tcPr>
            <w:tcW w:w="394" w:type="pct"/>
            <w:tcBorders>
              <w:top w:val="nil"/>
              <w:left w:val="nil"/>
              <w:bottom w:val="nil"/>
              <w:right w:val="nil"/>
            </w:tcBorders>
            <w:shd w:val="clear" w:color="000000" w:fill="FFFFFF"/>
            <w:noWrap/>
            <w:vAlign w:val="center"/>
            <w:hideMark/>
          </w:tcPr>
          <w:p w14:paraId="45AA44DB"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+1,8</w:t>
            </w:r>
          </w:p>
        </w:tc>
        <w:tc>
          <w:tcPr>
            <w:tcW w:w="92" w:type="pct"/>
            <w:tcBorders>
              <w:top w:val="nil"/>
              <w:left w:val="nil"/>
              <w:bottom w:val="nil"/>
              <w:right w:val="nil"/>
            </w:tcBorders>
            <w:shd w:val="clear" w:color="000000" w:fill="FFFFFF"/>
            <w:noWrap/>
            <w:vAlign w:val="center"/>
            <w:hideMark/>
          </w:tcPr>
          <w:p w14:paraId="302063E5"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 </w:t>
            </w:r>
          </w:p>
        </w:tc>
        <w:tc>
          <w:tcPr>
            <w:tcW w:w="344" w:type="pct"/>
            <w:tcBorders>
              <w:top w:val="nil"/>
              <w:left w:val="nil"/>
              <w:bottom w:val="nil"/>
              <w:right w:val="nil"/>
            </w:tcBorders>
            <w:shd w:val="clear" w:color="auto" w:fill="D9D9D9" w:themeFill="background1" w:themeFillShade="D9"/>
            <w:noWrap/>
            <w:vAlign w:val="center"/>
            <w:hideMark/>
          </w:tcPr>
          <w:p w14:paraId="65A515F7"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28.530</w:t>
            </w:r>
          </w:p>
        </w:tc>
        <w:tc>
          <w:tcPr>
            <w:tcW w:w="438" w:type="pct"/>
            <w:tcBorders>
              <w:top w:val="nil"/>
              <w:left w:val="nil"/>
              <w:bottom w:val="nil"/>
              <w:right w:val="nil"/>
            </w:tcBorders>
            <w:shd w:val="clear" w:color="000000" w:fill="FFFFFF"/>
            <w:noWrap/>
            <w:vAlign w:val="center"/>
            <w:hideMark/>
          </w:tcPr>
          <w:p w14:paraId="09489367"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+0,4</w:t>
            </w:r>
          </w:p>
        </w:tc>
        <w:tc>
          <w:tcPr>
            <w:tcW w:w="394" w:type="pct"/>
            <w:tcBorders>
              <w:top w:val="nil"/>
              <w:left w:val="nil"/>
              <w:bottom w:val="nil"/>
              <w:right w:val="nil"/>
            </w:tcBorders>
            <w:shd w:val="clear" w:color="auto" w:fill="D9D9D9" w:themeFill="background1" w:themeFillShade="D9"/>
            <w:noWrap/>
            <w:vAlign w:val="center"/>
            <w:hideMark/>
          </w:tcPr>
          <w:p w14:paraId="404B94C2"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+8,7</w:t>
            </w:r>
          </w:p>
        </w:tc>
        <w:tc>
          <w:tcPr>
            <w:tcW w:w="442" w:type="pct"/>
            <w:tcBorders>
              <w:top w:val="nil"/>
              <w:left w:val="nil"/>
              <w:bottom w:val="nil"/>
              <w:right w:val="nil"/>
            </w:tcBorders>
            <w:shd w:val="clear" w:color="000000" w:fill="FFFFFF"/>
            <w:noWrap/>
            <w:vAlign w:val="center"/>
            <w:hideMark/>
          </w:tcPr>
          <w:p w14:paraId="2E96B51D"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+9,1</w:t>
            </w:r>
          </w:p>
        </w:tc>
      </w:tr>
      <w:tr w:rsidR="00960EA8" w:rsidRPr="00586510" w14:paraId="2BDA43BB" w14:textId="77777777" w:rsidTr="00463EB5">
        <w:trPr>
          <w:trHeight w:val="238"/>
        </w:trPr>
        <w:tc>
          <w:tcPr>
            <w:tcW w:w="1716" w:type="pct"/>
            <w:tcBorders>
              <w:top w:val="nil"/>
              <w:left w:val="nil"/>
              <w:bottom w:val="nil"/>
              <w:right w:val="nil"/>
            </w:tcBorders>
            <w:shd w:val="clear" w:color="000000" w:fill="FFFFFF"/>
            <w:noWrap/>
            <w:vAlign w:val="center"/>
            <w:hideMark/>
          </w:tcPr>
          <w:p w14:paraId="5D5A4279" w14:textId="7C3BE2B5" w:rsidR="00960EA8" w:rsidRPr="00586510" w:rsidRDefault="00CB7943" w:rsidP="00463EB5">
            <w:pPr>
              <w:widowControl/>
              <w:autoSpaceDE/>
              <w:autoSpaceDN/>
              <w:spacing w:before="40" w:after="20"/>
              <w:rPr>
                <w:rFonts w:ascii="Arial Narrow" w:eastAsia="Times New Roman" w:hAnsi="Arial Narrow" w:cs="Times New Roman"/>
                <w:b/>
                <w:bCs/>
                <w:sz w:val="16"/>
                <w:szCs w:val="16"/>
                <w:lang w:eastAsia="it-IT"/>
              </w:rPr>
            </w:pPr>
            <w:r>
              <w:rPr>
                <w:rFonts w:ascii="Arial Narrow" w:eastAsia="Times New Roman" w:hAnsi="Arial Narrow" w:cs="Times New Roman"/>
                <w:b/>
                <w:bCs/>
                <w:sz w:val="16"/>
                <w:szCs w:val="16"/>
                <w:lang w:eastAsia="it-IT"/>
              </w:rPr>
              <w:t>V</w:t>
            </w:r>
            <w:r w:rsidRPr="00CB7943">
              <w:rPr>
                <w:rFonts w:ascii="Arial Narrow" w:eastAsia="Times New Roman" w:hAnsi="Arial Narrow" w:cs="Times New Roman"/>
                <w:b/>
                <w:bCs/>
                <w:sz w:val="16"/>
                <w:szCs w:val="16"/>
                <w:lang w:eastAsia="it-IT"/>
              </w:rPr>
              <w:t xml:space="preserve">alue </w:t>
            </w:r>
            <w:proofErr w:type="spellStart"/>
            <w:r>
              <w:rPr>
                <w:rFonts w:ascii="Arial Narrow" w:eastAsia="Times New Roman" w:hAnsi="Arial Narrow" w:cs="Times New Roman"/>
                <w:b/>
                <w:bCs/>
                <w:sz w:val="16"/>
                <w:szCs w:val="16"/>
                <w:lang w:eastAsia="it-IT"/>
              </w:rPr>
              <w:t>a</w:t>
            </w:r>
            <w:r w:rsidRPr="00CB7943">
              <w:rPr>
                <w:rFonts w:ascii="Arial Narrow" w:eastAsia="Times New Roman" w:hAnsi="Arial Narrow" w:cs="Times New Roman"/>
                <w:b/>
                <w:bCs/>
                <w:sz w:val="16"/>
                <w:szCs w:val="16"/>
                <w:lang w:eastAsia="it-IT"/>
              </w:rPr>
              <w:t>dded</w:t>
            </w:r>
            <w:proofErr w:type="spellEnd"/>
            <w:r w:rsidRPr="00CB7943">
              <w:rPr>
                <w:rFonts w:ascii="Arial Narrow" w:eastAsia="Times New Roman" w:hAnsi="Arial Narrow" w:cs="Times New Roman"/>
                <w:b/>
                <w:bCs/>
                <w:sz w:val="16"/>
                <w:szCs w:val="16"/>
                <w:lang w:eastAsia="it-IT"/>
              </w:rPr>
              <w:t xml:space="preserve"> of </w:t>
            </w:r>
            <w:proofErr w:type="spellStart"/>
            <w:r w:rsidRPr="00CB7943">
              <w:rPr>
                <w:rFonts w:ascii="Arial Narrow" w:eastAsia="Times New Roman" w:hAnsi="Arial Narrow" w:cs="Times New Roman"/>
                <w:b/>
                <w:bCs/>
                <w:sz w:val="16"/>
                <w:szCs w:val="16"/>
                <w:lang w:eastAsia="it-IT"/>
              </w:rPr>
              <w:t>agriculture</w:t>
            </w:r>
            <w:proofErr w:type="spellEnd"/>
          </w:p>
        </w:tc>
        <w:tc>
          <w:tcPr>
            <w:tcW w:w="363" w:type="pct"/>
            <w:tcBorders>
              <w:top w:val="nil"/>
              <w:left w:val="nil"/>
              <w:bottom w:val="nil"/>
              <w:right w:val="nil"/>
            </w:tcBorders>
            <w:shd w:val="clear" w:color="auto" w:fill="D9D9D9" w:themeFill="background1" w:themeFillShade="D9"/>
            <w:noWrap/>
            <w:vAlign w:val="center"/>
            <w:hideMark/>
          </w:tcPr>
          <w:p w14:paraId="6AB50228"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30.522</w:t>
            </w:r>
          </w:p>
        </w:tc>
        <w:tc>
          <w:tcPr>
            <w:tcW w:w="394" w:type="pct"/>
            <w:tcBorders>
              <w:top w:val="nil"/>
              <w:left w:val="nil"/>
              <w:bottom w:val="single" w:sz="4" w:space="0" w:color="auto"/>
              <w:right w:val="nil"/>
            </w:tcBorders>
            <w:shd w:val="clear" w:color="000000" w:fill="FFFFFF"/>
            <w:noWrap/>
            <w:vAlign w:val="center"/>
            <w:hideMark/>
          </w:tcPr>
          <w:p w14:paraId="3D20AF71"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-4,6</w:t>
            </w:r>
          </w:p>
        </w:tc>
        <w:tc>
          <w:tcPr>
            <w:tcW w:w="425" w:type="pct"/>
            <w:tcBorders>
              <w:top w:val="nil"/>
              <w:left w:val="nil"/>
              <w:bottom w:val="single" w:sz="4" w:space="0" w:color="auto"/>
              <w:right w:val="nil"/>
            </w:tcBorders>
            <w:shd w:val="clear" w:color="auto" w:fill="D9D9D9" w:themeFill="background1" w:themeFillShade="D9"/>
            <w:noWrap/>
            <w:vAlign w:val="center"/>
            <w:hideMark/>
          </w:tcPr>
          <w:p w14:paraId="29F76602"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+1,8</w:t>
            </w:r>
          </w:p>
        </w:tc>
        <w:tc>
          <w:tcPr>
            <w:tcW w:w="394" w:type="pct"/>
            <w:tcBorders>
              <w:top w:val="nil"/>
              <w:left w:val="nil"/>
              <w:bottom w:val="single" w:sz="4" w:space="0" w:color="auto"/>
              <w:right w:val="nil"/>
            </w:tcBorders>
            <w:shd w:val="clear" w:color="000000" w:fill="FFFFFF"/>
            <w:noWrap/>
            <w:vAlign w:val="center"/>
            <w:hideMark/>
          </w:tcPr>
          <w:p w14:paraId="13111A0B"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-2,9</w:t>
            </w:r>
          </w:p>
        </w:tc>
        <w:tc>
          <w:tcPr>
            <w:tcW w:w="92" w:type="pct"/>
            <w:tcBorders>
              <w:top w:val="nil"/>
              <w:left w:val="nil"/>
              <w:bottom w:val="nil"/>
              <w:right w:val="nil"/>
            </w:tcBorders>
            <w:shd w:val="clear" w:color="000000" w:fill="FFFFFF"/>
            <w:noWrap/>
            <w:vAlign w:val="center"/>
            <w:hideMark/>
          </w:tcPr>
          <w:p w14:paraId="1220DE22"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 </w:t>
            </w:r>
          </w:p>
        </w:tc>
        <w:tc>
          <w:tcPr>
            <w:tcW w:w="344" w:type="pct"/>
            <w:tcBorders>
              <w:top w:val="nil"/>
              <w:left w:val="nil"/>
              <w:bottom w:val="nil"/>
              <w:right w:val="nil"/>
            </w:tcBorders>
            <w:shd w:val="clear" w:color="auto" w:fill="D9D9D9" w:themeFill="background1" w:themeFillShade="D9"/>
            <w:noWrap/>
            <w:vAlign w:val="center"/>
            <w:hideMark/>
          </w:tcPr>
          <w:p w14:paraId="11F6726E"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31.825</w:t>
            </w:r>
          </w:p>
        </w:tc>
        <w:tc>
          <w:tcPr>
            <w:tcW w:w="438" w:type="pct"/>
            <w:tcBorders>
              <w:top w:val="nil"/>
              <w:left w:val="nil"/>
              <w:bottom w:val="single" w:sz="4" w:space="0" w:color="auto"/>
              <w:right w:val="nil"/>
            </w:tcBorders>
            <w:shd w:val="clear" w:color="000000" w:fill="FFFFFF"/>
            <w:noWrap/>
            <w:vAlign w:val="center"/>
            <w:hideMark/>
          </w:tcPr>
          <w:p w14:paraId="3690A2A7"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-0,6</w:t>
            </w:r>
          </w:p>
        </w:tc>
        <w:tc>
          <w:tcPr>
            <w:tcW w:w="394" w:type="pct"/>
            <w:tcBorders>
              <w:top w:val="nil"/>
              <w:left w:val="nil"/>
              <w:bottom w:val="single" w:sz="4" w:space="0" w:color="auto"/>
              <w:right w:val="nil"/>
            </w:tcBorders>
            <w:shd w:val="clear" w:color="auto" w:fill="D9D9D9" w:themeFill="background1" w:themeFillShade="D9"/>
            <w:noWrap/>
            <w:vAlign w:val="center"/>
            <w:hideMark/>
          </w:tcPr>
          <w:p w14:paraId="65BCBF73"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+4,9</w:t>
            </w:r>
          </w:p>
        </w:tc>
        <w:tc>
          <w:tcPr>
            <w:tcW w:w="442" w:type="pct"/>
            <w:tcBorders>
              <w:top w:val="nil"/>
              <w:left w:val="nil"/>
              <w:bottom w:val="single" w:sz="4" w:space="0" w:color="auto"/>
              <w:right w:val="nil"/>
            </w:tcBorders>
            <w:shd w:val="clear" w:color="000000" w:fill="FFFFFF"/>
            <w:noWrap/>
            <w:vAlign w:val="center"/>
            <w:hideMark/>
          </w:tcPr>
          <w:p w14:paraId="1509965E"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+4,3</w:t>
            </w:r>
          </w:p>
        </w:tc>
      </w:tr>
      <w:tr w:rsidR="00960EA8" w:rsidRPr="00586510" w14:paraId="2D796EC7" w14:textId="77777777" w:rsidTr="00463EB5">
        <w:trPr>
          <w:trHeight w:val="238"/>
        </w:trPr>
        <w:tc>
          <w:tcPr>
            <w:tcW w:w="1716" w:type="pct"/>
            <w:tcBorders>
              <w:top w:val="single" w:sz="4" w:space="0" w:color="auto"/>
              <w:left w:val="nil"/>
              <w:bottom w:val="nil"/>
              <w:right w:val="nil"/>
            </w:tcBorders>
            <w:shd w:val="clear" w:color="000000" w:fill="FFFFFF"/>
            <w:noWrap/>
            <w:vAlign w:val="center"/>
            <w:hideMark/>
          </w:tcPr>
          <w:p w14:paraId="6F651D85" w14:textId="1400186E" w:rsidR="00960EA8" w:rsidRPr="00586510" w:rsidRDefault="00CB7943" w:rsidP="00463EB5">
            <w:pPr>
              <w:widowControl/>
              <w:autoSpaceDE/>
              <w:autoSpaceDN/>
              <w:spacing w:before="40" w:after="20"/>
              <w:rPr>
                <w:rFonts w:ascii="Arial Narrow" w:eastAsia="Times New Roman" w:hAnsi="Arial Narrow" w:cs="Times New Roman"/>
                <w:b/>
                <w:bCs/>
                <w:sz w:val="16"/>
                <w:szCs w:val="16"/>
                <w:lang w:eastAsia="it-IT"/>
              </w:rPr>
            </w:pPr>
            <w:proofErr w:type="spellStart"/>
            <w:r>
              <w:rPr>
                <w:rFonts w:ascii="Arial Narrow" w:eastAsia="Times New Roman" w:hAnsi="Arial Narrow" w:cs="Times New Roman"/>
                <w:b/>
                <w:bCs/>
                <w:sz w:val="16"/>
                <w:szCs w:val="16"/>
                <w:lang w:eastAsia="it-IT"/>
              </w:rPr>
              <w:t>Forestry</w:t>
            </w:r>
            <w:proofErr w:type="spellEnd"/>
            <w:r w:rsidR="00960EA8" w:rsidRPr="00586510">
              <w:rPr>
                <w:rFonts w:ascii="Arial Narrow" w:eastAsia="Times New Roman" w:hAnsi="Arial Narrow" w:cs="Times New Roman"/>
                <w:b/>
                <w:bCs/>
                <w:sz w:val="16"/>
                <w:szCs w:val="16"/>
                <w:lang w:eastAsia="it-IT"/>
              </w:rPr>
              <w:t xml:space="preserve"> </w:t>
            </w:r>
            <w:r>
              <w:rPr>
                <w:rFonts w:ascii="Arial Narrow" w:eastAsia="Times New Roman" w:hAnsi="Arial Narrow" w:cs="Times New Roman"/>
                <w:b/>
                <w:bCs/>
                <w:sz w:val="16"/>
                <w:szCs w:val="16"/>
                <w:lang w:eastAsia="it-IT"/>
              </w:rPr>
              <w:t>output</w:t>
            </w:r>
          </w:p>
        </w:tc>
        <w:tc>
          <w:tcPr>
            <w:tcW w:w="363" w:type="pct"/>
            <w:tcBorders>
              <w:top w:val="single" w:sz="4" w:space="0" w:color="auto"/>
              <w:left w:val="nil"/>
              <w:bottom w:val="nil"/>
              <w:right w:val="nil"/>
            </w:tcBorders>
            <w:shd w:val="clear" w:color="auto" w:fill="D9D9D9" w:themeFill="background1" w:themeFillShade="D9"/>
            <w:noWrap/>
            <w:vAlign w:val="center"/>
            <w:hideMark/>
          </w:tcPr>
          <w:p w14:paraId="152A6730"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2.556</w:t>
            </w:r>
          </w:p>
        </w:tc>
        <w:tc>
          <w:tcPr>
            <w:tcW w:w="394" w:type="pct"/>
            <w:tcBorders>
              <w:top w:val="nil"/>
              <w:left w:val="nil"/>
              <w:bottom w:val="nil"/>
              <w:right w:val="nil"/>
            </w:tcBorders>
            <w:shd w:val="clear" w:color="000000" w:fill="FFFFFF"/>
            <w:noWrap/>
            <w:vAlign w:val="center"/>
            <w:hideMark/>
          </w:tcPr>
          <w:p w14:paraId="16C55742"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-0,5</w:t>
            </w:r>
          </w:p>
        </w:tc>
        <w:tc>
          <w:tcPr>
            <w:tcW w:w="425" w:type="pct"/>
            <w:tcBorders>
              <w:top w:val="nil"/>
              <w:left w:val="nil"/>
              <w:bottom w:val="nil"/>
              <w:right w:val="nil"/>
            </w:tcBorders>
            <w:shd w:val="clear" w:color="auto" w:fill="D9D9D9" w:themeFill="background1" w:themeFillShade="D9"/>
            <w:noWrap/>
            <w:vAlign w:val="center"/>
            <w:hideMark/>
          </w:tcPr>
          <w:p w14:paraId="2BB14902"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+3,6</w:t>
            </w:r>
          </w:p>
        </w:tc>
        <w:tc>
          <w:tcPr>
            <w:tcW w:w="394" w:type="pct"/>
            <w:tcBorders>
              <w:top w:val="nil"/>
              <w:left w:val="nil"/>
              <w:bottom w:val="nil"/>
              <w:right w:val="nil"/>
            </w:tcBorders>
            <w:shd w:val="clear" w:color="000000" w:fill="FFFFFF"/>
            <w:noWrap/>
            <w:vAlign w:val="center"/>
            <w:hideMark/>
          </w:tcPr>
          <w:p w14:paraId="4B4A96E3"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+3,1</w:t>
            </w:r>
          </w:p>
        </w:tc>
        <w:tc>
          <w:tcPr>
            <w:tcW w:w="92" w:type="pct"/>
            <w:tcBorders>
              <w:top w:val="nil"/>
              <w:left w:val="nil"/>
              <w:bottom w:val="nil"/>
              <w:right w:val="nil"/>
            </w:tcBorders>
            <w:shd w:val="clear" w:color="000000" w:fill="FFFFFF"/>
            <w:noWrap/>
            <w:vAlign w:val="center"/>
            <w:hideMark/>
          </w:tcPr>
          <w:p w14:paraId="078B4F0C"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 </w:t>
            </w:r>
          </w:p>
        </w:tc>
        <w:tc>
          <w:tcPr>
            <w:tcW w:w="344" w:type="pct"/>
            <w:tcBorders>
              <w:top w:val="single" w:sz="4" w:space="0" w:color="auto"/>
              <w:left w:val="nil"/>
              <w:bottom w:val="nil"/>
              <w:right w:val="nil"/>
            </w:tcBorders>
            <w:shd w:val="clear" w:color="auto" w:fill="D9D9D9" w:themeFill="background1" w:themeFillShade="D9"/>
            <w:noWrap/>
            <w:vAlign w:val="center"/>
            <w:hideMark/>
          </w:tcPr>
          <w:p w14:paraId="066424E7"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2.652</w:t>
            </w:r>
          </w:p>
        </w:tc>
        <w:tc>
          <w:tcPr>
            <w:tcW w:w="438" w:type="pct"/>
            <w:tcBorders>
              <w:top w:val="nil"/>
              <w:left w:val="nil"/>
              <w:bottom w:val="nil"/>
              <w:right w:val="nil"/>
            </w:tcBorders>
            <w:shd w:val="clear" w:color="000000" w:fill="FFFFFF"/>
            <w:noWrap/>
            <w:vAlign w:val="center"/>
            <w:hideMark/>
          </w:tcPr>
          <w:p w14:paraId="4AE86578"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-5,3</w:t>
            </w:r>
          </w:p>
        </w:tc>
        <w:tc>
          <w:tcPr>
            <w:tcW w:w="394" w:type="pct"/>
            <w:tcBorders>
              <w:top w:val="nil"/>
              <w:left w:val="nil"/>
              <w:bottom w:val="nil"/>
              <w:right w:val="nil"/>
            </w:tcBorders>
            <w:shd w:val="clear" w:color="auto" w:fill="D9D9D9" w:themeFill="background1" w:themeFillShade="D9"/>
            <w:noWrap/>
            <w:vAlign w:val="center"/>
            <w:hideMark/>
          </w:tcPr>
          <w:p w14:paraId="5089853C"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+9,5</w:t>
            </w:r>
          </w:p>
        </w:tc>
        <w:tc>
          <w:tcPr>
            <w:tcW w:w="442" w:type="pct"/>
            <w:tcBorders>
              <w:top w:val="nil"/>
              <w:left w:val="nil"/>
              <w:bottom w:val="nil"/>
              <w:right w:val="nil"/>
            </w:tcBorders>
            <w:shd w:val="clear" w:color="000000" w:fill="FFFFFF"/>
            <w:noWrap/>
            <w:vAlign w:val="center"/>
            <w:hideMark/>
          </w:tcPr>
          <w:p w14:paraId="46C92411"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+3,8</w:t>
            </w:r>
          </w:p>
        </w:tc>
      </w:tr>
      <w:tr w:rsidR="00960EA8" w:rsidRPr="00586510" w14:paraId="7E811C7D" w14:textId="77777777" w:rsidTr="00463EB5">
        <w:trPr>
          <w:trHeight w:val="238"/>
        </w:trPr>
        <w:tc>
          <w:tcPr>
            <w:tcW w:w="1716" w:type="pct"/>
            <w:tcBorders>
              <w:top w:val="nil"/>
              <w:left w:val="nil"/>
              <w:bottom w:val="nil"/>
              <w:right w:val="nil"/>
            </w:tcBorders>
            <w:shd w:val="clear" w:color="000000" w:fill="FFFFFF"/>
            <w:noWrap/>
            <w:vAlign w:val="center"/>
            <w:hideMark/>
          </w:tcPr>
          <w:p w14:paraId="269B9087" w14:textId="7EFA4187" w:rsidR="00960EA8" w:rsidRPr="00586510" w:rsidRDefault="00CB7943" w:rsidP="00463EB5">
            <w:pPr>
              <w:widowControl/>
              <w:autoSpaceDE/>
              <w:autoSpaceDN/>
              <w:spacing w:before="40" w:after="20"/>
              <w:rPr>
                <w:rFonts w:ascii="Arial Narrow" w:eastAsia="Times New Roman" w:hAnsi="Arial Narrow" w:cs="Times New Roman"/>
                <w:sz w:val="16"/>
                <w:szCs w:val="16"/>
                <w:lang w:eastAsia="it-IT"/>
              </w:rPr>
            </w:pPr>
            <w:r w:rsidRPr="00CB7943">
              <w:rPr>
                <w:rFonts w:ascii="Arial Narrow" w:eastAsia="Times New Roman" w:hAnsi="Arial Narrow" w:cs="Times New Roman"/>
                <w:sz w:val="16"/>
                <w:szCs w:val="16"/>
                <w:lang w:eastAsia="it-IT"/>
              </w:rPr>
              <w:t xml:space="preserve">Intermediate </w:t>
            </w:r>
            <w:proofErr w:type="spellStart"/>
            <w:r w:rsidRPr="00CB7943">
              <w:rPr>
                <w:rFonts w:ascii="Arial Narrow" w:eastAsia="Times New Roman" w:hAnsi="Arial Narrow" w:cs="Times New Roman"/>
                <w:sz w:val="16"/>
                <w:szCs w:val="16"/>
                <w:lang w:eastAsia="it-IT"/>
              </w:rPr>
              <w:t>forestry</w:t>
            </w:r>
            <w:proofErr w:type="spellEnd"/>
            <w:r w:rsidRPr="00CB7943">
              <w:rPr>
                <w:rFonts w:ascii="Arial Narrow" w:eastAsia="Times New Roman" w:hAnsi="Arial Narrow" w:cs="Times New Roman"/>
                <w:sz w:val="16"/>
                <w:szCs w:val="16"/>
                <w:lang w:eastAsia="it-IT"/>
              </w:rPr>
              <w:t xml:space="preserve"> </w:t>
            </w:r>
            <w:proofErr w:type="spellStart"/>
            <w:r w:rsidRPr="00CB7943">
              <w:rPr>
                <w:rFonts w:ascii="Arial Narrow" w:eastAsia="Times New Roman" w:hAnsi="Arial Narrow" w:cs="Times New Roman"/>
                <w:sz w:val="16"/>
                <w:szCs w:val="16"/>
                <w:lang w:eastAsia="it-IT"/>
              </w:rPr>
              <w:t>consumption</w:t>
            </w:r>
            <w:proofErr w:type="spellEnd"/>
            <w:r w:rsidRPr="00CB7943">
              <w:rPr>
                <w:rFonts w:ascii="Arial Narrow" w:eastAsia="Times New Roman" w:hAnsi="Arial Narrow" w:cs="Times New Roman"/>
                <w:sz w:val="16"/>
                <w:szCs w:val="16"/>
                <w:lang w:eastAsia="it-IT"/>
              </w:rPr>
              <w:t xml:space="preserve"> </w:t>
            </w:r>
            <w:r w:rsidR="00960EA8">
              <w:rPr>
                <w:rFonts w:ascii="Arial Narrow" w:eastAsia="Times New Roman" w:hAnsi="Arial Narrow" w:cs="Times New Roman"/>
                <w:sz w:val="16"/>
                <w:szCs w:val="16"/>
                <w:vertAlign w:val="superscript"/>
                <w:lang w:eastAsia="it-IT"/>
              </w:rPr>
              <w:t>(2)</w:t>
            </w:r>
          </w:p>
        </w:tc>
        <w:tc>
          <w:tcPr>
            <w:tcW w:w="363" w:type="pct"/>
            <w:tcBorders>
              <w:top w:val="nil"/>
              <w:left w:val="nil"/>
              <w:bottom w:val="nil"/>
              <w:right w:val="nil"/>
            </w:tcBorders>
            <w:shd w:val="clear" w:color="auto" w:fill="D9D9D9" w:themeFill="background1" w:themeFillShade="D9"/>
            <w:noWrap/>
            <w:vAlign w:val="center"/>
            <w:hideMark/>
          </w:tcPr>
          <w:p w14:paraId="3904426A"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444</w:t>
            </w:r>
          </w:p>
        </w:tc>
        <w:tc>
          <w:tcPr>
            <w:tcW w:w="394" w:type="pct"/>
            <w:tcBorders>
              <w:top w:val="nil"/>
              <w:left w:val="nil"/>
              <w:bottom w:val="nil"/>
              <w:right w:val="nil"/>
            </w:tcBorders>
            <w:shd w:val="clear" w:color="000000" w:fill="FFFFFF"/>
            <w:noWrap/>
            <w:vAlign w:val="center"/>
            <w:hideMark/>
          </w:tcPr>
          <w:p w14:paraId="7374BF43"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-10,3</w:t>
            </w:r>
          </w:p>
        </w:tc>
        <w:tc>
          <w:tcPr>
            <w:tcW w:w="425" w:type="pct"/>
            <w:tcBorders>
              <w:top w:val="nil"/>
              <w:left w:val="nil"/>
              <w:bottom w:val="nil"/>
              <w:right w:val="nil"/>
            </w:tcBorders>
            <w:shd w:val="clear" w:color="auto" w:fill="D9D9D9" w:themeFill="background1" w:themeFillShade="D9"/>
            <w:noWrap/>
            <w:vAlign w:val="center"/>
            <w:hideMark/>
          </w:tcPr>
          <w:p w14:paraId="60DA569D"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+10,0</w:t>
            </w:r>
          </w:p>
        </w:tc>
        <w:tc>
          <w:tcPr>
            <w:tcW w:w="394" w:type="pct"/>
            <w:tcBorders>
              <w:top w:val="nil"/>
              <w:left w:val="nil"/>
              <w:bottom w:val="nil"/>
              <w:right w:val="nil"/>
            </w:tcBorders>
            <w:shd w:val="clear" w:color="000000" w:fill="FFFFFF"/>
            <w:noWrap/>
            <w:vAlign w:val="center"/>
            <w:hideMark/>
          </w:tcPr>
          <w:p w14:paraId="3339A6D1"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-1,3</w:t>
            </w:r>
          </w:p>
        </w:tc>
        <w:tc>
          <w:tcPr>
            <w:tcW w:w="92" w:type="pct"/>
            <w:tcBorders>
              <w:top w:val="nil"/>
              <w:left w:val="nil"/>
              <w:bottom w:val="nil"/>
              <w:right w:val="nil"/>
            </w:tcBorders>
            <w:shd w:val="clear" w:color="000000" w:fill="FFFFFF"/>
            <w:noWrap/>
            <w:vAlign w:val="center"/>
            <w:hideMark/>
          </w:tcPr>
          <w:p w14:paraId="45C17B57"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 </w:t>
            </w:r>
          </w:p>
        </w:tc>
        <w:tc>
          <w:tcPr>
            <w:tcW w:w="344" w:type="pct"/>
            <w:tcBorders>
              <w:top w:val="nil"/>
              <w:left w:val="nil"/>
              <w:bottom w:val="nil"/>
              <w:right w:val="nil"/>
            </w:tcBorders>
            <w:shd w:val="clear" w:color="auto" w:fill="D9D9D9" w:themeFill="background1" w:themeFillShade="D9"/>
            <w:noWrap/>
            <w:vAlign w:val="center"/>
            <w:hideMark/>
          </w:tcPr>
          <w:p w14:paraId="2AA58329"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390</w:t>
            </w:r>
          </w:p>
        </w:tc>
        <w:tc>
          <w:tcPr>
            <w:tcW w:w="438" w:type="pct"/>
            <w:tcBorders>
              <w:top w:val="nil"/>
              <w:left w:val="nil"/>
              <w:bottom w:val="nil"/>
              <w:right w:val="nil"/>
            </w:tcBorders>
            <w:shd w:val="clear" w:color="000000" w:fill="FFFFFF"/>
            <w:noWrap/>
            <w:vAlign w:val="center"/>
            <w:hideMark/>
          </w:tcPr>
          <w:p w14:paraId="2AA58B78"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-15,2</w:t>
            </w:r>
          </w:p>
        </w:tc>
        <w:tc>
          <w:tcPr>
            <w:tcW w:w="394" w:type="pct"/>
            <w:tcBorders>
              <w:top w:val="nil"/>
              <w:left w:val="nil"/>
              <w:bottom w:val="nil"/>
              <w:right w:val="nil"/>
            </w:tcBorders>
            <w:shd w:val="clear" w:color="auto" w:fill="D9D9D9" w:themeFill="background1" w:themeFillShade="D9"/>
            <w:noWrap/>
            <w:vAlign w:val="center"/>
            <w:hideMark/>
          </w:tcPr>
          <w:p w14:paraId="2BE450B0"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+3,6</w:t>
            </w:r>
          </w:p>
        </w:tc>
        <w:tc>
          <w:tcPr>
            <w:tcW w:w="442" w:type="pct"/>
            <w:tcBorders>
              <w:top w:val="nil"/>
              <w:left w:val="nil"/>
              <w:bottom w:val="nil"/>
              <w:right w:val="nil"/>
            </w:tcBorders>
            <w:shd w:val="clear" w:color="000000" w:fill="FFFFFF"/>
            <w:noWrap/>
            <w:vAlign w:val="center"/>
            <w:hideMark/>
          </w:tcPr>
          <w:p w14:paraId="70F83E76"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-12,2</w:t>
            </w:r>
          </w:p>
        </w:tc>
      </w:tr>
      <w:tr w:rsidR="00960EA8" w:rsidRPr="00586510" w14:paraId="2D77AA5F" w14:textId="77777777" w:rsidTr="00463EB5">
        <w:trPr>
          <w:trHeight w:val="238"/>
        </w:trPr>
        <w:tc>
          <w:tcPr>
            <w:tcW w:w="1716" w:type="pct"/>
            <w:tcBorders>
              <w:top w:val="nil"/>
              <w:left w:val="nil"/>
              <w:bottom w:val="single" w:sz="4" w:space="0" w:color="auto"/>
              <w:right w:val="nil"/>
            </w:tcBorders>
            <w:shd w:val="clear" w:color="000000" w:fill="FFFFFF"/>
            <w:noWrap/>
            <w:vAlign w:val="center"/>
            <w:hideMark/>
          </w:tcPr>
          <w:p w14:paraId="3A2EEFB5" w14:textId="4779A5DF" w:rsidR="00960EA8" w:rsidRPr="00586510" w:rsidRDefault="00CB7943" w:rsidP="00463EB5">
            <w:pPr>
              <w:widowControl/>
              <w:autoSpaceDE/>
              <w:autoSpaceDN/>
              <w:spacing w:before="40" w:after="20"/>
              <w:rPr>
                <w:rFonts w:ascii="Arial Narrow" w:eastAsia="Times New Roman" w:hAnsi="Arial Narrow" w:cs="Times New Roman"/>
                <w:b/>
                <w:bCs/>
                <w:sz w:val="16"/>
                <w:szCs w:val="16"/>
                <w:lang w:eastAsia="it-IT"/>
              </w:rPr>
            </w:pPr>
            <w:r>
              <w:rPr>
                <w:rFonts w:ascii="Arial Narrow" w:eastAsia="Times New Roman" w:hAnsi="Arial Narrow" w:cs="Times New Roman"/>
                <w:b/>
                <w:bCs/>
                <w:sz w:val="16"/>
                <w:szCs w:val="16"/>
                <w:lang w:eastAsia="it-IT"/>
              </w:rPr>
              <w:t>V</w:t>
            </w:r>
            <w:r w:rsidRPr="00CB7943">
              <w:rPr>
                <w:rFonts w:ascii="Arial Narrow" w:eastAsia="Times New Roman" w:hAnsi="Arial Narrow" w:cs="Times New Roman"/>
                <w:b/>
                <w:bCs/>
                <w:sz w:val="16"/>
                <w:szCs w:val="16"/>
                <w:lang w:eastAsia="it-IT"/>
              </w:rPr>
              <w:t xml:space="preserve">alue </w:t>
            </w:r>
            <w:proofErr w:type="spellStart"/>
            <w:r>
              <w:rPr>
                <w:rFonts w:ascii="Arial Narrow" w:eastAsia="Times New Roman" w:hAnsi="Arial Narrow" w:cs="Times New Roman"/>
                <w:b/>
                <w:bCs/>
                <w:sz w:val="16"/>
                <w:szCs w:val="16"/>
                <w:lang w:eastAsia="it-IT"/>
              </w:rPr>
              <w:t>a</w:t>
            </w:r>
            <w:r w:rsidRPr="00CB7943">
              <w:rPr>
                <w:rFonts w:ascii="Arial Narrow" w:eastAsia="Times New Roman" w:hAnsi="Arial Narrow" w:cs="Times New Roman"/>
                <w:b/>
                <w:bCs/>
                <w:sz w:val="16"/>
                <w:szCs w:val="16"/>
                <w:lang w:eastAsia="it-IT"/>
              </w:rPr>
              <w:t>dded</w:t>
            </w:r>
            <w:proofErr w:type="spellEnd"/>
            <w:r w:rsidRPr="00CB7943">
              <w:rPr>
                <w:rFonts w:ascii="Arial Narrow" w:eastAsia="Times New Roman" w:hAnsi="Arial Narrow" w:cs="Times New Roman"/>
                <w:b/>
                <w:bCs/>
                <w:sz w:val="16"/>
                <w:szCs w:val="16"/>
                <w:lang w:eastAsia="it-IT"/>
              </w:rPr>
              <w:t xml:space="preserve"> of </w:t>
            </w:r>
            <w:proofErr w:type="spellStart"/>
            <w:r w:rsidRPr="00CB7943">
              <w:rPr>
                <w:rFonts w:ascii="Arial Narrow" w:eastAsia="Times New Roman" w:hAnsi="Arial Narrow" w:cs="Times New Roman"/>
                <w:b/>
                <w:bCs/>
                <w:sz w:val="16"/>
                <w:szCs w:val="16"/>
                <w:lang w:eastAsia="it-IT"/>
              </w:rPr>
              <w:t>forestry</w:t>
            </w:r>
            <w:proofErr w:type="spellEnd"/>
          </w:p>
        </w:tc>
        <w:tc>
          <w:tcPr>
            <w:tcW w:w="363" w:type="pct"/>
            <w:tcBorders>
              <w:top w:val="nil"/>
              <w:left w:val="nil"/>
              <w:bottom w:val="nil"/>
              <w:right w:val="nil"/>
            </w:tcBorders>
            <w:shd w:val="clear" w:color="auto" w:fill="D9D9D9" w:themeFill="background1" w:themeFillShade="D9"/>
            <w:noWrap/>
            <w:vAlign w:val="center"/>
            <w:hideMark/>
          </w:tcPr>
          <w:p w14:paraId="35AEB5D1"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2.112</w:t>
            </w:r>
          </w:p>
        </w:tc>
        <w:tc>
          <w:tcPr>
            <w:tcW w:w="394" w:type="pct"/>
            <w:tcBorders>
              <w:top w:val="nil"/>
              <w:left w:val="nil"/>
              <w:bottom w:val="single" w:sz="4" w:space="0" w:color="auto"/>
              <w:right w:val="nil"/>
            </w:tcBorders>
            <w:shd w:val="clear" w:color="000000" w:fill="FFFFFF"/>
            <w:noWrap/>
            <w:vAlign w:val="center"/>
            <w:hideMark/>
          </w:tcPr>
          <w:p w14:paraId="0A81DC36"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+1,7</w:t>
            </w:r>
          </w:p>
        </w:tc>
        <w:tc>
          <w:tcPr>
            <w:tcW w:w="425" w:type="pct"/>
            <w:tcBorders>
              <w:top w:val="nil"/>
              <w:left w:val="nil"/>
              <w:bottom w:val="single" w:sz="4" w:space="0" w:color="auto"/>
              <w:right w:val="nil"/>
            </w:tcBorders>
            <w:shd w:val="clear" w:color="auto" w:fill="D9D9D9" w:themeFill="background1" w:themeFillShade="D9"/>
            <w:noWrap/>
            <w:vAlign w:val="center"/>
            <w:hideMark/>
          </w:tcPr>
          <w:p w14:paraId="32E9A975"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+2,3</w:t>
            </w:r>
          </w:p>
        </w:tc>
        <w:tc>
          <w:tcPr>
            <w:tcW w:w="394" w:type="pct"/>
            <w:tcBorders>
              <w:top w:val="nil"/>
              <w:left w:val="nil"/>
              <w:bottom w:val="single" w:sz="4" w:space="0" w:color="auto"/>
              <w:right w:val="nil"/>
            </w:tcBorders>
            <w:shd w:val="clear" w:color="000000" w:fill="FFFFFF"/>
            <w:noWrap/>
            <w:vAlign w:val="center"/>
            <w:hideMark/>
          </w:tcPr>
          <w:p w14:paraId="4916BCED"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+4,1</w:t>
            </w:r>
          </w:p>
        </w:tc>
        <w:tc>
          <w:tcPr>
            <w:tcW w:w="92" w:type="pct"/>
            <w:tcBorders>
              <w:top w:val="nil"/>
              <w:left w:val="nil"/>
              <w:bottom w:val="nil"/>
              <w:right w:val="nil"/>
            </w:tcBorders>
            <w:shd w:val="clear" w:color="000000" w:fill="FFFFFF"/>
            <w:noWrap/>
            <w:vAlign w:val="center"/>
            <w:hideMark/>
          </w:tcPr>
          <w:p w14:paraId="085ABE9F"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 </w:t>
            </w:r>
          </w:p>
        </w:tc>
        <w:tc>
          <w:tcPr>
            <w:tcW w:w="344" w:type="pct"/>
            <w:tcBorders>
              <w:top w:val="nil"/>
              <w:left w:val="nil"/>
              <w:bottom w:val="nil"/>
              <w:right w:val="nil"/>
            </w:tcBorders>
            <w:shd w:val="clear" w:color="auto" w:fill="D9D9D9" w:themeFill="background1" w:themeFillShade="D9"/>
            <w:noWrap/>
            <w:vAlign w:val="center"/>
            <w:hideMark/>
          </w:tcPr>
          <w:p w14:paraId="1C4F8A2B"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2.262</w:t>
            </w:r>
          </w:p>
        </w:tc>
        <w:tc>
          <w:tcPr>
            <w:tcW w:w="438" w:type="pct"/>
            <w:tcBorders>
              <w:top w:val="nil"/>
              <w:left w:val="nil"/>
              <w:bottom w:val="single" w:sz="4" w:space="0" w:color="auto"/>
              <w:right w:val="nil"/>
            </w:tcBorders>
            <w:shd w:val="clear" w:color="000000" w:fill="FFFFFF"/>
            <w:noWrap/>
            <w:vAlign w:val="center"/>
            <w:hideMark/>
          </w:tcPr>
          <w:p w14:paraId="32745423"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-3,2</w:t>
            </w:r>
          </w:p>
        </w:tc>
        <w:tc>
          <w:tcPr>
            <w:tcW w:w="394" w:type="pct"/>
            <w:tcBorders>
              <w:top w:val="nil"/>
              <w:left w:val="nil"/>
              <w:bottom w:val="single" w:sz="4" w:space="0" w:color="auto"/>
              <w:right w:val="nil"/>
            </w:tcBorders>
            <w:shd w:val="clear" w:color="auto" w:fill="D9D9D9" w:themeFill="background1" w:themeFillShade="D9"/>
            <w:noWrap/>
            <w:vAlign w:val="center"/>
            <w:hideMark/>
          </w:tcPr>
          <w:p w14:paraId="33CC8541"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+10,6</w:t>
            </w:r>
          </w:p>
        </w:tc>
        <w:tc>
          <w:tcPr>
            <w:tcW w:w="442" w:type="pct"/>
            <w:tcBorders>
              <w:top w:val="nil"/>
              <w:left w:val="nil"/>
              <w:bottom w:val="single" w:sz="4" w:space="0" w:color="auto"/>
              <w:right w:val="nil"/>
            </w:tcBorders>
            <w:shd w:val="clear" w:color="000000" w:fill="FFFFFF"/>
            <w:noWrap/>
            <w:vAlign w:val="center"/>
            <w:hideMark/>
          </w:tcPr>
          <w:p w14:paraId="4820CD7A"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+7,1</w:t>
            </w:r>
          </w:p>
        </w:tc>
      </w:tr>
      <w:tr w:rsidR="00960EA8" w:rsidRPr="00586510" w14:paraId="1D303998" w14:textId="77777777" w:rsidTr="00463EB5">
        <w:trPr>
          <w:trHeight w:val="238"/>
        </w:trPr>
        <w:tc>
          <w:tcPr>
            <w:tcW w:w="1716" w:type="pct"/>
            <w:tcBorders>
              <w:top w:val="nil"/>
              <w:left w:val="nil"/>
              <w:bottom w:val="nil"/>
              <w:right w:val="nil"/>
            </w:tcBorders>
            <w:shd w:val="clear" w:color="000000" w:fill="FFFFFF"/>
            <w:noWrap/>
            <w:vAlign w:val="center"/>
            <w:hideMark/>
          </w:tcPr>
          <w:p w14:paraId="62CFCB50" w14:textId="11B23A7A" w:rsidR="00960EA8" w:rsidRPr="00586510" w:rsidRDefault="00CB7943" w:rsidP="00463EB5">
            <w:pPr>
              <w:widowControl/>
              <w:autoSpaceDE/>
              <w:autoSpaceDN/>
              <w:spacing w:before="40" w:after="20"/>
              <w:rPr>
                <w:rFonts w:ascii="Arial Narrow" w:eastAsia="Times New Roman" w:hAnsi="Arial Narrow" w:cs="Times New Roman"/>
                <w:b/>
                <w:bCs/>
                <w:sz w:val="16"/>
                <w:szCs w:val="16"/>
                <w:lang w:eastAsia="it-IT"/>
              </w:rPr>
            </w:pPr>
            <w:r w:rsidRPr="00CB7943">
              <w:rPr>
                <w:rFonts w:ascii="Arial Narrow" w:eastAsia="Times New Roman" w:hAnsi="Arial Narrow" w:cs="Times New Roman"/>
                <w:b/>
                <w:bCs/>
                <w:sz w:val="16"/>
                <w:szCs w:val="16"/>
                <w:lang w:eastAsia="it-IT"/>
              </w:rPr>
              <w:t>Fishing</w:t>
            </w:r>
            <w:r>
              <w:rPr>
                <w:rFonts w:ascii="Arial Narrow" w:eastAsia="Times New Roman" w:hAnsi="Arial Narrow" w:cs="Times New Roman"/>
                <w:b/>
                <w:bCs/>
                <w:sz w:val="16"/>
                <w:szCs w:val="16"/>
                <w:lang w:eastAsia="it-IT"/>
              </w:rPr>
              <w:t xml:space="preserve"> output</w:t>
            </w:r>
          </w:p>
        </w:tc>
        <w:tc>
          <w:tcPr>
            <w:tcW w:w="363" w:type="pct"/>
            <w:tcBorders>
              <w:top w:val="single" w:sz="4" w:space="0" w:color="auto"/>
              <w:left w:val="nil"/>
              <w:bottom w:val="nil"/>
              <w:right w:val="nil"/>
            </w:tcBorders>
            <w:shd w:val="clear" w:color="auto" w:fill="D9D9D9" w:themeFill="background1" w:themeFillShade="D9"/>
            <w:noWrap/>
            <w:vAlign w:val="center"/>
            <w:hideMark/>
          </w:tcPr>
          <w:p w14:paraId="58B79CDE"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1.258</w:t>
            </w:r>
          </w:p>
        </w:tc>
        <w:tc>
          <w:tcPr>
            <w:tcW w:w="394" w:type="pct"/>
            <w:tcBorders>
              <w:top w:val="nil"/>
              <w:left w:val="nil"/>
              <w:bottom w:val="nil"/>
              <w:right w:val="nil"/>
            </w:tcBorders>
            <w:shd w:val="clear" w:color="000000" w:fill="FFFFFF"/>
            <w:noWrap/>
            <w:vAlign w:val="center"/>
            <w:hideMark/>
          </w:tcPr>
          <w:p w14:paraId="1709E491"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-19,9</w:t>
            </w:r>
          </w:p>
        </w:tc>
        <w:tc>
          <w:tcPr>
            <w:tcW w:w="425" w:type="pct"/>
            <w:tcBorders>
              <w:top w:val="nil"/>
              <w:left w:val="nil"/>
              <w:bottom w:val="nil"/>
              <w:right w:val="nil"/>
            </w:tcBorders>
            <w:shd w:val="clear" w:color="auto" w:fill="D9D9D9" w:themeFill="background1" w:themeFillShade="D9"/>
            <w:noWrap/>
            <w:vAlign w:val="center"/>
            <w:hideMark/>
          </w:tcPr>
          <w:p w14:paraId="71924213"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-1,8</w:t>
            </w:r>
          </w:p>
        </w:tc>
        <w:tc>
          <w:tcPr>
            <w:tcW w:w="394" w:type="pct"/>
            <w:tcBorders>
              <w:top w:val="nil"/>
              <w:left w:val="nil"/>
              <w:bottom w:val="nil"/>
              <w:right w:val="nil"/>
            </w:tcBorders>
            <w:shd w:val="clear" w:color="000000" w:fill="FFFFFF"/>
            <w:noWrap/>
            <w:vAlign w:val="center"/>
            <w:hideMark/>
          </w:tcPr>
          <w:p w14:paraId="12FDC3F9"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-21,3</w:t>
            </w:r>
          </w:p>
        </w:tc>
        <w:tc>
          <w:tcPr>
            <w:tcW w:w="92" w:type="pct"/>
            <w:tcBorders>
              <w:top w:val="nil"/>
              <w:left w:val="nil"/>
              <w:bottom w:val="nil"/>
              <w:right w:val="nil"/>
            </w:tcBorders>
            <w:shd w:val="clear" w:color="000000" w:fill="FFFFFF"/>
            <w:noWrap/>
            <w:vAlign w:val="center"/>
            <w:hideMark/>
          </w:tcPr>
          <w:p w14:paraId="2C53DEAE"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 </w:t>
            </w:r>
          </w:p>
        </w:tc>
        <w:tc>
          <w:tcPr>
            <w:tcW w:w="344" w:type="pct"/>
            <w:tcBorders>
              <w:top w:val="single" w:sz="4" w:space="0" w:color="auto"/>
              <w:left w:val="nil"/>
              <w:bottom w:val="nil"/>
              <w:right w:val="nil"/>
            </w:tcBorders>
            <w:shd w:val="clear" w:color="auto" w:fill="D9D9D9" w:themeFill="background1" w:themeFillShade="D9"/>
            <w:noWrap/>
            <w:vAlign w:val="center"/>
            <w:hideMark/>
          </w:tcPr>
          <w:p w14:paraId="28928E08"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1.283</w:t>
            </w:r>
          </w:p>
        </w:tc>
        <w:tc>
          <w:tcPr>
            <w:tcW w:w="438" w:type="pct"/>
            <w:tcBorders>
              <w:top w:val="nil"/>
              <w:left w:val="nil"/>
              <w:bottom w:val="nil"/>
              <w:right w:val="nil"/>
            </w:tcBorders>
            <w:shd w:val="clear" w:color="000000" w:fill="FFFFFF"/>
            <w:noWrap/>
            <w:vAlign w:val="center"/>
            <w:hideMark/>
          </w:tcPr>
          <w:p w14:paraId="195F9410"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-1,8</w:t>
            </w:r>
          </w:p>
        </w:tc>
        <w:tc>
          <w:tcPr>
            <w:tcW w:w="394" w:type="pct"/>
            <w:tcBorders>
              <w:top w:val="nil"/>
              <w:left w:val="nil"/>
              <w:bottom w:val="nil"/>
              <w:right w:val="nil"/>
            </w:tcBorders>
            <w:shd w:val="clear" w:color="auto" w:fill="D9D9D9" w:themeFill="background1" w:themeFillShade="D9"/>
            <w:noWrap/>
            <w:vAlign w:val="center"/>
            <w:hideMark/>
          </w:tcPr>
          <w:p w14:paraId="02BFE469"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+3,9</w:t>
            </w:r>
          </w:p>
        </w:tc>
        <w:tc>
          <w:tcPr>
            <w:tcW w:w="442" w:type="pct"/>
            <w:tcBorders>
              <w:top w:val="nil"/>
              <w:left w:val="nil"/>
              <w:bottom w:val="nil"/>
              <w:right w:val="nil"/>
            </w:tcBorders>
            <w:shd w:val="clear" w:color="000000" w:fill="FFFFFF"/>
            <w:noWrap/>
            <w:vAlign w:val="center"/>
            <w:hideMark/>
          </w:tcPr>
          <w:p w14:paraId="16AA4546"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+2,1</w:t>
            </w:r>
          </w:p>
        </w:tc>
      </w:tr>
      <w:tr w:rsidR="00960EA8" w:rsidRPr="00586510" w14:paraId="4A118C4B" w14:textId="77777777" w:rsidTr="00463EB5">
        <w:trPr>
          <w:trHeight w:val="238"/>
        </w:trPr>
        <w:tc>
          <w:tcPr>
            <w:tcW w:w="1716" w:type="pct"/>
            <w:tcBorders>
              <w:top w:val="nil"/>
              <w:left w:val="nil"/>
              <w:bottom w:val="nil"/>
              <w:right w:val="nil"/>
            </w:tcBorders>
            <w:shd w:val="clear" w:color="000000" w:fill="FFFFFF"/>
            <w:noWrap/>
            <w:vAlign w:val="center"/>
            <w:hideMark/>
          </w:tcPr>
          <w:p w14:paraId="5E1E384F" w14:textId="7B546663" w:rsidR="00960EA8" w:rsidRPr="00586510" w:rsidRDefault="00CB7943" w:rsidP="00463EB5">
            <w:pPr>
              <w:widowControl/>
              <w:autoSpaceDE/>
              <w:autoSpaceDN/>
              <w:spacing w:before="40" w:after="20"/>
              <w:rPr>
                <w:rFonts w:ascii="Arial Narrow" w:eastAsia="Times New Roman" w:hAnsi="Arial Narrow" w:cs="Times New Roman"/>
                <w:sz w:val="16"/>
                <w:szCs w:val="16"/>
                <w:lang w:eastAsia="it-IT"/>
              </w:rPr>
            </w:pPr>
            <w:r w:rsidRPr="00CB7943">
              <w:rPr>
                <w:rFonts w:ascii="Arial Narrow" w:eastAsia="Times New Roman" w:hAnsi="Arial Narrow" w:cs="Times New Roman"/>
                <w:sz w:val="16"/>
                <w:szCs w:val="16"/>
                <w:lang w:eastAsia="it-IT"/>
              </w:rPr>
              <w:t xml:space="preserve">Intermediate fishing </w:t>
            </w:r>
            <w:proofErr w:type="spellStart"/>
            <w:r w:rsidRPr="00CB7943">
              <w:rPr>
                <w:rFonts w:ascii="Arial Narrow" w:eastAsia="Times New Roman" w:hAnsi="Arial Narrow" w:cs="Times New Roman"/>
                <w:sz w:val="16"/>
                <w:szCs w:val="16"/>
                <w:lang w:eastAsia="it-IT"/>
              </w:rPr>
              <w:t>consumption</w:t>
            </w:r>
            <w:proofErr w:type="spellEnd"/>
            <w:r w:rsidRPr="00CB7943">
              <w:rPr>
                <w:rFonts w:ascii="Arial Narrow" w:eastAsia="Times New Roman" w:hAnsi="Arial Narrow" w:cs="Times New Roman"/>
                <w:sz w:val="16"/>
                <w:szCs w:val="16"/>
                <w:lang w:eastAsia="it-IT"/>
              </w:rPr>
              <w:t xml:space="preserve"> </w:t>
            </w:r>
            <w:r w:rsidR="00960EA8">
              <w:rPr>
                <w:rFonts w:ascii="Arial Narrow" w:eastAsia="Times New Roman" w:hAnsi="Arial Narrow" w:cs="Times New Roman"/>
                <w:sz w:val="16"/>
                <w:szCs w:val="16"/>
                <w:vertAlign w:val="superscript"/>
                <w:lang w:eastAsia="it-IT"/>
              </w:rPr>
              <w:t>(2)</w:t>
            </w:r>
          </w:p>
        </w:tc>
        <w:tc>
          <w:tcPr>
            <w:tcW w:w="363" w:type="pct"/>
            <w:tcBorders>
              <w:top w:val="nil"/>
              <w:left w:val="nil"/>
              <w:bottom w:val="nil"/>
              <w:right w:val="nil"/>
            </w:tcBorders>
            <w:shd w:val="clear" w:color="auto" w:fill="D9D9D9" w:themeFill="background1" w:themeFillShade="D9"/>
            <w:noWrap/>
            <w:vAlign w:val="center"/>
            <w:hideMark/>
          </w:tcPr>
          <w:p w14:paraId="48632277"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588</w:t>
            </w:r>
          </w:p>
        </w:tc>
        <w:tc>
          <w:tcPr>
            <w:tcW w:w="394" w:type="pct"/>
            <w:tcBorders>
              <w:top w:val="nil"/>
              <w:left w:val="nil"/>
              <w:bottom w:val="nil"/>
              <w:right w:val="nil"/>
            </w:tcBorders>
            <w:shd w:val="clear" w:color="000000" w:fill="FFFFFF"/>
            <w:noWrap/>
            <w:vAlign w:val="center"/>
            <w:hideMark/>
          </w:tcPr>
          <w:p w14:paraId="1E2DFB0F"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-12,7</w:t>
            </w:r>
          </w:p>
        </w:tc>
        <w:tc>
          <w:tcPr>
            <w:tcW w:w="425" w:type="pct"/>
            <w:tcBorders>
              <w:top w:val="nil"/>
              <w:left w:val="nil"/>
              <w:bottom w:val="nil"/>
              <w:right w:val="nil"/>
            </w:tcBorders>
            <w:shd w:val="clear" w:color="auto" w:fill="D9D9D9" w:themeFill="background1" w:themeFillShade="D9"/>
            <w:noWrap/>
            <w:vAlign w:val="center"/>
            <w:hideMark/>
          </w:tcPr>
          <w:p w14:paraId="65054165"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-13,9</w:t>
            </w:r>
          </w:p>
        </w:tc>
        <w:tc>
          <w:tcPr>
            <w:tcW w:w="394" w:type="pct"/>
            <w:tcBorders>
              <w:top w:val="nil"/>
              <w:left w:val="nil"/>
              <w:bottom w:val="nil"/>
              <w:right w:val="nil"/>
            </w:tcBorders>
            <w:shd w:val="clear" w:color="000000" w:fill="FFFFFF"/>
            <w:noWrap/>
            <w:vAlign w:val="center"/>
            <w:hideMark/>
          </w:tcPr>
          <w:p w14:paraId="15AA9C75"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-24,8</w:t>
            </w:r>
          </w:p>
        </w:tc>
        <w:tc>
          <w:tcPr>
            <w:tcW w:w="92" w:type="pct"/>
            <w:tcBorders>
              <w:top w:val="nil"/>
              <w:left w:val="nil"/>
              <w:bottom w:val="nil"/>
              <w:right w:val="nil"/>
            </w:tcBorders>
            <w:shd w:val="clear" w:color="000000" w:fill="FFFFFF"/>
            <w:noWrap/>
            <w:vAlign w:val="center"/>
            <w:hideMark/>
          </w:tcPr>
          <w:p w14:paraId="4D40E309"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 </w:t>
            </w:r>
          </w:p>
        </w:tc>
        <w:tc>
          <w:tcPr>
            <w:tcW w:w="344" w:type="pct"/>
            <w:tcBorders>
              <w:top w:val="nil"/>
              <w:left w:val="nil"/>
              <w:bottom w:val="nil"/>
              <w:right w:val="nil"/>
            </w:tcBorders>
            <w:shd w:val="clear" w:color="auto" w:fill="D9D9D9" w:themeFill="background1" w:themeFillShade="D9"/>
            <w:noWrap/>
            <w:vAlign w:val="center"/>
            <w:hideMark/>
          </w:tcPr>
          <w:p w14:paraId="4D52A264"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615</w:t>
            </w:r>
          </w:p>
        </w:tc>
        <w:tc>
          <w:tcPr>
            <w:tcW w:w="438" w:type="pct"/>
            <w:tcBorders>
              <w:top w:val="nil"/>
              <w:left w:val="nil"/>
              <w:bottom w:val="nil"/>
              <w:right w:val="nil"/>
            </w:tcBorders>
            <w:shd w:val="clear" w:color="000000" w:fill="FFFFFF"/>
            <w:noWrap/>
            <w:vAlign w:val="center"/>
            <w:hideMark/>
          </w:tcPr>
          <w:p w14:paraId="762CB329"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-0,5</w:t>
            </w:r>
          </w:p>
        </w:tc>
        <w:tc>
          <w:tcPr>
            <w:tcW w:w="394" w:type="pct"/>
            <w:tcBorders>
              <w:top w:val="nil"/>
              <w:left w:val="nil"/>
              <w:bottom w:val="nil"/>
              <w:right w:val="nil"/>
            </w:tcBorders>
            <w:shd w:val="clear" w:color="auto" w:fill="D9D9D9" w:themeFill="background1" w:themeFillShade="D9"/>
            <w:noWrap/>
            <w:vAlign w:val="center"/>
            <w:hideMark/>
          </w:tcPr>
          <w:p w14:paraId="2BE22E1F"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+5,0</w:t>
            </w:r>
          </w:p>
        </w:tc>
        <w:tc>
          <w:tcPr>
            <w:tcW w:w="442" w:type="pct"/>
            <w:tcBorders>
              <w:top w:val="nil"/>
              <w:left w:val="nil"/>
              <w:bottom w:val="nil"/>
              <w:right w:val="nil"/>
            </w:tcBorders>
            <w:shd w:val="clear" w:color="000000" w:fill="FFFFFF"/>
            <w:noWrap/>
            <w:vAlign w:val="center"/>
            <w:hideMark/>
          </w:tcPr>
          <w:p w14:paraId="1F10296A"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+4,5</w:t>
            </w:r>
          </w:p>
        </w:tc>
      </w:tr>
      <w:tr w:rsidR="00960EA8" w:rsidRPr="00586510" w14:paraId="1F98AE10" w14:textId="77777777" w:rsidTr="00463EB5">
        <w:trPr>
          <w:trHeight w:val="238"/>
        </w:trPr>
        <w:tc>
          <w:tcPr>
            <w:tcW w:w="1716" w:type="pct"/>
            <w:tcBorders>
              <w:top w:val="nil"/>
              <w:left w:val="nil"/>
              <w:bottom w:val="single" w:sz="4" w:space="0" w:color="auto"/>
              <w:right w:val="nil"/>
            </w:tcBorders>
            <w:shd w:val="clear" w:color="000000" w:fill="FFFFFF"/>
            <w:noWrap/>
            <w:vAlign w:val="center"/>
            <w:hideMark/>
          </w:tcPr>
          <w:p w14:paraId="1E3FE959" w14:textId="39A9E7F9" w:rsidR="00960EA8" w:rsidRPr="00586510" w:rsidRDefault="00F77AEB" w:rsidP="00463EB5">
            <w:pPr>
              <w:widowControl/>
              <w:autoSpaceDE/>
              <w:autoSpaceDN/>
              <w:spacing w:before="40" w:after="20"/>
              <w:rPr>
                <w:rFonts w:ascii="Arial Narrow" w:eastAsia="Times New Roman" w:hAnsi="Arial Narrow" w:cs="Times New Roman"/>
                <w:b/>
                <w:bCs/>
                <w:sz w:val="16"/>
                <w:szCs w:val="16"/>
                <w:lang w:eastAsia="it-IT"/>
              </w:rPr>
            </w:pPr>
            <w:r>
              <w:rPr>
                <w:rFonts w:ascii="Arial Narrow" w:eastAsia="Times New Roman" w:hAnsi="Arial Narrow" w:cs="Times New Roman"/>
                <w:b/>
                <w:bCs/>
                <w:sz w:val="16"/>
                <w:szCs w:val="16"/>
                <w:lang w:eastAsia="it-IT"/>
              </w:rPr>
              <w:t>V</w:t>
            </w:r>
            <w:r w:rsidRPr="00F77AEB">
              <w:rPr>
                <w:rFonts w:ascii="Arial Narrow" w:eastAsia="Times New Roman" w:hAnsi="Arial Narrow" w:cs="Times New Roman"/>
                <w:b/>
                <w:bCs/>
                <w:sz w:val="16"/>
                <w:szCs w:val="16"/>
                <w:lang w:eastAsia="it-IT"/>
              </w:rPr>
              <w:t xml:space="preserve">alue </w:t>
            </w:r>
            <w:proofErr w:type="spellStart"/>
            <w:r>
              <w:rPr>
                <w:rFonts w:ascii="Arial Narrow" w:eastAsia="Times New Roman" w:hAnsi="Arial Narrow" w:cs="Times New Roman"/>
                <w:b/>
                <w:bCs/>
                <w:sz w:val="16"/>
                <w:szCs w:val="16"/>
                <w:lang w:eastAsia="it-IT"/>
              </w:rPr>
              <w:t>a</w:t>
            </w:r>
            <w:r w:rsidRPr="00F77AEB">
              <w:rPr>
                <w:rFonts w:ascii="Arial Narrow" w:eastAsia="Times New Roman" w:hAnsi="Arial Narrow" w:cs="Times New Roman"/>
                <w:b/>
                <w:bCs/>
                <w:sz w:val="16"/>
                <w:szCs w:val="16"/>
                <w:lang w:eastAsia="it-IT"/>
              </w:rPr>
              <w:t>dded</w:t>
            </w:r>
            <w:proofErr w:type="spellEnd"/>
            <w:r w:rsidRPr="00F77AEB">
              <w:rPr>
                <w:rFonts w:ascii="Arial Narrow" w:eastAsia="Times New Roman" w:hAnsi="Arial Narrow" w:cs="Times New Roman"/>
                <w:b/>
                <w:bCs/>
                <w:sz w:val="16"/>
                <w:szCs w:val="16"/>
                <w:lang w:eastAsia="it-IT"/>
              </w:rPr>
              <w:t xml:space="preserve"> of fishing</w:t>
            </w:r>
          </w:p>
        </w:tc>
        <w:tc>
          <w:tcPr>
            <w:tcW w:w="363" w:type="pct"/>
            <w:tcBorders>
              <w:top w:val="nil"/>
              <w:left w:val="nil"/>
              <w:bottom w:val="nil"/>
              <w:right w:val="nil"/>
            </w:tcBorders>
            <w:shd w:val="clear" w:color="auto" w:fill="D9D9D9" w:themeFill="background1" w:themeFillShade="D9"/>
            <w:noWrap/>
            <w:vAlign w:val="center"/>
            <w:hideMark/>
          </w:tcPr>
          <w:p w14:paraId="14E7B57B"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670</w:t>
            </w:r>
          </w:p>
        </w:tc>
        <w:tc>
          <w:tcPr>
            <w:tcW w:w="394" w:type="pct"/>
            <w:tcBorders>
              <w:top w:val="nil"/>
              <w:left w:val="nil"/>
              <w:bottom w:val="single" w:sz="4" w:space="0" w:color="auto"/>
              <w:right w:val="nil"/>
            </w:tcBorders>
            <w:shd w:val="clear" w:color="000000" w:fill="FFFFFF"/>
            <w:noWrap/>
            <w:vAlign w:val="center"/>
            <w:hideMark/>
          </w:tcPr>
          <w:p w14:paraId="1829E15D"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-26,8</w:t>
            </w:r>
          </w:p>
        </w:tc>
        <w:tc>
          <w:tcPr>
            <w:tcW w:w="425" w:type="pct"/>
            <w:tcBorders>
              <w:top w:val="nil"/>
              <w:left w:val="nil"/>
              <w:bottom w:val="single" w:sz="4" w:space="0" w:color="auto"/>
              <w:right w:val="nil"/>
            </w:tcBorders>
            <w:shd w:val="clear" w:color="auto" w:fill="D9D9D9" w:themeFill="background1" w:themeFillShade="D9"/>
            <w:noWrap/>
            <w:vAlign w:val="center"/>
            <w:hideMark/>
          </w:tcPr>
          <w:p w14:paraId="19B770AC"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+12,0</w:t>
            </w:r>
          </w:p>
        </w:tc>
        <w:tc>
          <w:tcPr>
            <w:tcW w:w="394" w:type="pct"/>
            <w:tcBorders>
              <w:top w:val="nil"/>
              <w:left w:val="nil"/>
              <w:bottom w:val="single" w:sz="4" w:space="0" w:color="auto"/>
              <w:right w:val="nil"/>
            </w:tcBorders>
            <w:shd w:val="clear" w:color="000000" w:fill="FFFFFF"/>
            <w:noWrap/>
            <w:vAlign w:val="center"/>
            <w:hideMark/>
          </w:tcPr>
          <w:p w14:paraId="2D6A3FB1"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-18,0</w:t>
            </w:r>
          </w:p>
        </w:tc>
        <w:tc>
          <w:tcPr>
            <w:tcW w:w="92" w:type="pct"/>
            <w:tcBorders>
              <w:top w:val="nil"/>
              <w:left w:val="nil"/>
              <w:bottom w:val="nil"/>
              <w:right w:val="nil"/>
            </w:tcBorders>
            <w:shd w:val="clear" w:color="000000" w:fill="FFFFFF"/>
            <w:noWrap/>
            <w:vAlign w:val="center"/>
            <w:hideMark/>
          </w:tcPr>
          <w:p w14:paraId="601A2E88"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 </w:t>
            </w:r>
          </w:p>
        </w:tc>
        <w:tc>
          <w:tcPr>
            <w:tcW w:w="344" w:type="pct"/>
            <w:tcBorders>
              <w:top w:val="nil"/>
              <w:left w:val="nil"/>
              <w:bottom w:val="nil"/>
              <w:right w:val="nil"/>
            </w:tcBorders>
            <w:shd w:val="clear" w:color="auto" w:fill="D9D9D9" w:themeFill="background1" w:themeFillShade="D9"/>
            <w:noWrap/>
            <w:vAlign w:val="center"/>
            <w:hideMark/>
          </w:tcPr>
          <w:p w14:paraId="67781150"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669</w:t>
            </w:r>
          </w:p>
        </w:tc>
        <w:tc>
          <w:tcPr>
            <w:tcW w:w="438" w:type="pct"/>
            <w:tcBorders>
              <w:top w:val="nil"/>
              <w:left w:val="nil"/>
              <w:bottom w:val="single" w:sz="4" w:space="0" w:color="auto"/>
              <w:right w:val="nil"/>
            </w:tcBorders>
            <w:shd w:val="clear" w:color="000000" w:fill="FFFFFF"/>
            <w:noWrap/>
            <w:vAlign w:val="center"/>
            <w:hideMark/>
          </w:tcPr>
          <w:p w14:paraId="043D1836"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-2,9</w:t>
            </w:r>
          </w:p>
        </w:tc>
        <w:tc>
          <w:tcPr>
            <w:tcW w:w="394" w:type="pct"/>
            <w:tcBorders>
              <w:top w:val="nil"/>
              <w:left w:val="nil"/>
              <w:bottom w:val="single" w:sz="4" w:space="0" w:color="auto"/>
              <w:right w:val="nil"/>
            </w:tcBorders>
            <w:shd w:val="clear" w:color="auto" w:fill="D9D9D9" w:themeFill="background1" w:themeFillShade="D9"/>
            <w:noWrap/>
            <w:vAlign w:val="center"/>
            <w:hideMark/>
          </w:tcPr>
          <w:p w14:paraId="36D6838B"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+2,9</w:t>
            </w:r>
          </w:p>
        </w:tc>
        <w:tc>
          <w:tcPr>
            <w:tcW w:w="442" w:type="pct"/>
            <w:tcBorders>
              <w:top w:val="nil"/>
              <w:left w:val="nil"/>
              <w:bottom w:val="single" w:sz="4" w:space="0" w:color="auto"/>
              <w:right w:val="nil"/>
            </w:tcBorders>
            <w:shd w:val="clear" w:color="000000" w:fill="FFFFFF"/>
            <w:noWrap/>
            <w:vAlign w:val="center"/>
            <w:hideMark/>
          </w:tcPr>
          <w:p w14:paraId="5E81409D"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-0,1</w:t>
            </w:r>
          </w:p>
        </w:tc>
      </w:tr>
      <w:tr w:rsidR="00960EA8" w:rsidRPr="00586510" w14:paraId="542C2BAC" w14:textId="77777777" w:rsidTr="00463EB5">
        <w:trPr>
          <w:trHeight w:val="238"/>
        </w:trPr>
        <w:tc>
          <w:tcPr>
            <w:tcW w:w="1716" w:type="pct"/>
            <w:tcBorders>
              <w:top w:val="nil"/>
              <w:left w:val="nil"/>
              <w:bottom w:val="nil"/>
              <w:right w:val="nil"/>
            </w:tcBorders>
            <w:shd w:val="clear" w:color="000000" w:fill="FFFFFF"/>
            <w:noWrap/>
            <w:vAlign w:val="center"/>
            <w:hideMark/>
          </w:tcPr>
          <w:p w14:paraId="3F5A6C49" w14:textId="6362198A" w:rsidR="00960EA8" w:rsidRPr="00F77AEB" w:rsidRDefault="00F77AEB" w:rsidP="00463EB5">
            <w:pPr>
              <w:widowControl/>
              <w:autoSpaceDE/>
              <w:autoSpaceDN/>
              <w:spacing w:before="40" w:after="20"/>
              <w:rPr>
                <w:rFonts w:ascii="Arial Narrow" w:eastAsia="Times New Roman" w:hAnsi="Arial Narrow" w:cs="Times New Roman"/>
                <w:b/>
                <w:bCs/>
                <w:sz w:val="16"/>
                <w:szCs w:val="16"/>
                <w:lang w:val="en-US" w:eastAsia="it-IT"/>
              </w:rPr>
            </w:pPr>
            <w:r w:rsidRPr="00F77AEB">
              <w:rPr>
                <w:rFonts w:ascii="Arial Narrow" w:eastAsia="Times New Roman" w:hAnsi="Arial Narrow" w:cs="Times New Roman"/>
                <w:b/>
                <w:bCs/>
                <w:sz w:val="16"/>
                <w:szCs w:val="16"/>
                <w:lang w:val="en-US" w:eastAsia="it-IT"/>
              </w:rPr>
              <w:t xml:space="preserve">Agriculture, </w:t>
            </w:r>
            <w:proofErr w:type="gramStart"/>
            <w:r w:rsidRPr="00F77AEB">
              <w:rPr>
                <w:rFonts w:ascii="Arial Narrow" w:eastAsia="Times New Roman" w:hAnsi="Arial Narrow" w:cs="Times New Roman"/>
                <w:b/>
                <w:bCs/>
                <w:sz w:val="16"/>
                <w:szCs w:val="16"/>
                <w:lang w:val="en-US" w:eastAsia="it-IT"/>
              </w:rPr>
              <w:t>forestry</w:t>
            </w:r>
            <w:proofErr w:type="gramEnd"/>
            <w:r w:rsidRPr="00F77AEB">
              <w:rPr>
                <w:rFonts w:ascii="Arial Narrow" w:eastAsia="Times New Roman" w:hAnsi="Arial Narrow" w:cs="Times New Roman"/>
                <w:b/>
                <w:bCs/>
                <w:sz w:val="16"/>
                <w:szCs w:val="16"/>
                <w:lang w:val="en-US" w:eastAsia="it-IT"/>
              </w:rPr>
              <w:t xml:space="preserve"> and fishing </w:t>
            </w:r>
            <w:r>
              <w:rPr>
                <w:rFonts w:ascii="Arial Narrow" w:eastAsia="Times New Roman" w:hAnsi="Arial Narrow" w:cs="Times New Roman"/>
                <w:b/>
                <w:bCs/>
                <w:sz w:val="16"/>
                <w:szCs w:val="16"/>
                <w:lang w:val="en-US" w:eastAsia="it-IT"/>
              </w:rPr>
              <w:t>output</w:t>
            </w:r>
          </w:p>
        </w:tc>
        <w:tc>
          <w:tcPr>
            <w:tcW w:w="363" w:type="pct"/>
            <w:tcBorders>
              <w:top w:val="single" w:sz="4" w:space="0" w:color="auto"/>
              <w:left w:val="nil"/>
              <w:bottom w:val="nil"/>
              <w:right w:val="nil"/>
            </w:tcBorders>
            <w:shd w:val="clear" w:color="auto" w:fill="D9D9D9" w:themeFill="background1" w:themeFillShade="D9"/>
            <w:noWrap/>
            <w:vAlign w:val="center"/>
            <w:hideMark/>
          </w:tcPr>
          <w:p w14:paraId="0AF90982"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60.493</w:t>
            </w:r>
          </w:p>
        </w:tc>
        <w:tc>
          <w:tcPr>
            <w:tcW w:w="394" w:type="pct"/>
            <w:tcBorders>
              <w:top w:val="nil"/>
              <w:left w:val="nil"/>
              <w:bottom w:val="nil"/>
              <w:right w:val="nil"/>
            </w:tcBorders>
            <w:shd w:val="clear" w:color="auto" w:fill="auto"/>
            <w:noWrap/>
            <w:vAlign w:val="center"/>
            <w:hideMark/>
          </w:tcPr>
          <w:p w14:paraId="0EEE83AA"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-1,8</w:t>
            </w:r>
          </w:p>
        </w:tc>
        <w:tc>
          <w:tcPr>
            <w:tcW w:w="425" w:type="pct"/>
            <w:tcBorders>
              <w:top w:val="nil"/>
              <w:left w:val="nil"/>
              <w:bottom w:val="nil"/>
              <w:right w:val="nil"/>
            </w:tcBorders>
            <w:shd w:val="clear" w:color="auto" w:fill="D9D9D9" w:themeFill="background1" w:themeFillShade="D9"/>
            <w:noWrap/>
            <w:vAlign w:val="center"/>
            <w:hideMark/>
          </w:tcPr>
          <w:p w14:paraId="6F3DD683"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+0,7</w:t>
            </w:r>
          </w:p>
        </w:tc>
        <w:tc>
          <w:tcPr>
            <w:tcW w:w="394" w:type="pct"/>
            <w:tcBorders>
              <w:top w:val="nil"/>
              <w:left w:val="nil"/>
              <w:bottom w:val="nil"/>
              <w:right w:val="nil"/>
            </w:tcBorders>
            <w:shd w:val="clear" w:color="auto" w:fill="auto"/>
            <w:noWrap/>
            <w:vAlign w:val="center"/>
            <w:hideMark/>
          </w:tcPr>
          <w:p w14:paraId="325B63EA"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-1,2</w:t>
            </w:r>
          </w:p>
        </w:tc>
        <w:tc>
          <w:tcPr>
            <w:tcW w:w="92" w:type="pct"/>
            <w:tcBorders>
              <w:top w:val="nil"/>
              <w:left w:val="nil"/>
              <w:bottom w:val="nil"/>
              <w:right w:val="nil"/>
            </w:tcBorders>
            <w:shd w:val="clear" w:color="auto" w:fill="auto"/>
            <w:noWrap/>
            <w:vAlign w:val="center"/>
            <w:hideMark/>
          </w:tcPr>
          <w:p w14:paraId="7714D974"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p>
        </w:tc>
        <w:tc>
          <w:tcPr>
            <w:tcW w:w="344" w:type="pct"/>
            <w:tcBorders>
              <w:top w:val="single" w:sz="4" w:space="0" w:color="auto"/>
              <w:left w:val="nil"/>
              <w:bottom w:val="nil"/>
              <w:right w:val="nil"/>
            </w:tcBorders>
            <w:shd w:val="clear" w:color="auto" w:fill="D9D9D9" w:themeFill="background1" w:themeFillShade="D9"/>
            <w:noWrap/>
            <w:vAlign w:val="center"/>
            <w:hideMark/>
          </w:tcPr>
          <w:p w14:paraId="75E721FC"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64.290</w:t>
            </w:r>
          </w:p>
        </w:tc>
        <w:tc>
          <w:tcPr>
            <w:tcW w:w="438" w:type="pct"/>
            <w:tcBorders>
              <w:top w:val="nil"/>
              <w:left w:val="nil"/>
              <w:bottom w:val="nil"/>
              <w:right w:val="nil"/>
            </w:tcBorders>
            <w:shd w:val="clear" w:color="auto" w:fill="auto"/>
            <w:noWrap/>
            <w:vAlign w:val="center"/>
            <w:hideMark/>
          </w:tcPr>
          <w:p w14:paraId="3F0FC1A6"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-0,4</w:t>
            </w:r>
          </w:p>
        </w:tc>
        <w:tc>
          <w:tcPr>
            <w:tcW w:w="394" w:type="pct"/>
            <w:tcBorders>
              <w:top w:val="nil"/>
              <w:left w:val="nil"/>
              <w:bottom w:val="nil"/>
              <w:right w:val="nil"/>
            </w:tcBorders>
            <w:shd w:val="clear" w:color="auto" w:fill="D9D9D9" w:themeFill="background1" w:themeFillShade="D9"/>
            <w:noWrap/>
            <w:vAlign w:val="center"/>
            <w:hideMark/>
          </w:tcPr>
          <w:p w14:paraId="5A84D5F2"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+6,7</w:t>
            </w:r>
          </w:p>
        </w:tc>
        <w:tc>
          <w:tcPr>
            <w:tcW w:w="442" w:type="pct"/>
            <w:tcBorders>
              <w:top w:val="nil"/>
              <w:left w:val="nil"/>
              <w:bottom w:val="nil"/>
              <w:right w:val="nil"/>
            </w:tcBorders>
            <w:shd w:val="clear" w:color="auto" w:fill="auto"/>
            <w:noWrap/>
            <w:vAlign w:val="center"/>
            <w:hideMark/>
          </w:tcPr>
          <w:p w14:paraId="35107A2F"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+6,3</w:t>
            </w:r>
          </w:p>
        </w:tc>
      </w:tr>
      <w:tr w:rsidR="00960EA8" w:rsidRPr="00586510" w14:paraId="3865FBB6" w14:textId="77777777" w:rsidTr="00463EB5">
        <w:trPr>
          <w:trHeight w:val="238"/>
        </w:trPr>
        <w:tc>
          <w:tcPr>
            <w:tcW w:w="1716" w:type="pct"/>
            <w:tcBorders>
              <w:top w:val="nil"/>
              <w:left w:val="nil"/>
              <w:right w:val="nil"/>
            </w:tcBorders>
            <w:shd w:val="clear" w:color="000000" w:fill="FFFFFF"/>
            <w:noWrap/>
            <w:vAlign w:val="center"/>
            <w:hideMark/>
          </w:tcPr>
          <w:p w14:paraId="3D945414" w14:textId="4BCC23B0" w:rsidR="00960EA8" w:rsidRPr="00586510" w:rsidRDefault="00F77AEB" w:rsidP="00463EB5">
            <w:pPr>
              <w:widowControl/>
              <w:autoSpaceDE/>
              <w:autoSpaceDN/>
              <w:spacing w:before="40" w:after="20"/>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Total intermediate</w:t>
            </w:r>
            <w:r w:rsidR="00960EA8" w:rsidRPr="00586510">
              <w:rPr>
                <w:rFonts w:ascii="Arial Narrow" w:eastAsia="Times New Roman" w:hAnsi="Arial Narrow" w:cs="Times New Roman"/>
                <w:sz w:val="16"/>
                <w:szCs w:val="16"/>
                <w:lang w:eastAsia="it-IT"/>
              </w:rPr>
              <w:t xml:space="preserve"> </w:t>
            </w:r>
            <w:proofErr w:type="spellStart"/>
            <w:r>
              <w:rPr>
                <w:rFonts w:ascii="Arial Narrow" w:eastAsia="Times New Roman" w:hAnsi="Arial Narrow" w:cs="Times New Roman"/>
                <w:sz w:val="16"/>
                <w:szCs w:val="16"/>
                <w:lang w:eastAsia="it-IT"/>
              </w:rPr>
              <w:t>consumption</w:t>
            </w:r>
            <w:proofErr w:type="spellEnd"/>
            <w:r>
              <w:rPr>
                <w:rFonts w:ascii="Arial Narrow" w:eastAsia="Times New Roman" w:hAnsi="Arial Narrow" w:cs="Times New Roman"/>
                <w:sz w:val="16"/>
                <w:szCs w:val="16"/>
                <w:lang w:eastAsia="it-IT"/>
              </w:rPr>
              <w:t xml:space="preserve"> </w:t>
            </w:r>
            <w:r w:rsidR="00960EA8">
              <w:rPr>
                <w:rFonts w:ascii="Arial Narrow" w:eastAsia="Times New Roman" w:hAnsi="Arial Narrow" w:cs="Times New Roman"/>
                <w:sz w:val="16"/>
                <w:szCs w:val="16"/>
                <w:vertAlign w:val="superscript"/>
                <w:lang w:eastAsia="it-IT"/>
              </w:rPr>
              <w:t>(2)</w:t>
            </w:r>
          </w:p>
        </w:tc>
        <w:tc>
          <w:tcPr>
            <w:tcW w:w="363" w:type="pct"/>
            <w:tcBorders>
              <w:top w:val="nil"/>
              <w:left w:val="nil"/>
              <w:right w:val="nil"/>
            </w:tcBorders>
            <w:shd w:val="clear" w:color="auto" w:fill="D9D9D9" w:themeFill="background1" w:themeFillShade="D9"/>
            <w:noWrap/>
            <w:vAlign w:val="center"/>
            <w:hideMark/>
          </w:tcPr>
          <w:p w14:paraId="7E6A60FF"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27.189</w:t>
            </w:r>
          </w:p>
        </w:tc>
        <w:tc>
          <w:tcPr>
            <w:tcW w:w="394" w:type="pct"/>
            <w:tcBorders>
              <w:top w:val="nil"/>
              <w:left w:val="nil"/>
              <w:right w:val="nil"/>
            </w:tcBorders>
            <w:shd w:val="clear" w:color="000000" w:fill="FFFFFF"/>
            <w:noWrap/>
            <w:vAlign w:val="center"/>
            <w:hideMark/>
          </w:tcPr>
          <w:p w14:paraId="52181FC1"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+1,9</w:t>
            </w:r>
          </w:p>
        </w:tc>
        <w:tc>
          <w:tcPr>
            <w:tcW w:w="425" w:type="pct"/>
            <w:tcBorders>
              <w:top w:val="nil"/>
              <w:left w:val="nil"/>
              <w:right w:val="nil"/>
            </w:tcBorders>
            <w:shd w:val="clear" w:color="auto" w:fill="D9D9D9" w:themeFill="background1" w:themeFillShade="D9"/>
            <w:noWrap/>
            <w:vAlign w:val="center"/>
            <w:hideMark/>
          </w:tcPr>
          <w:p w14:paraId="0287188B"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-1,0</w:t>
            </w:r>
          </w:p>
        </w:tc>
        <w:tc>
          <w:tcPr>
            <w:tcW w:w="394" w:type="pct"/>
            <w:tcBorders>
              <w:top w:val="nil"/>
              <w:left w:val="nil"/>
              <w:right w:val="nil"/>
            </w:tcBorders>
            <w:shd w:val="clear" w:color="000000" w:fill="FFFFFF"/>
            <w:noWrap/>
            <w:vAlign w:val="center"/>
            <w:hideMark/>
          </w:tcPr>
          <w:p w14:paraId="13C52F6A"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+0,9</w:t>
            </w:r>
          </w:p>
        </w:tc>
        <w:tc>
          <w:tcPr>
            <w:tcW w:w="92" w:type="pct"/>
            <w:tcBorders>
              <w:top w:val="nil"/>
              <w:left w:val="nil"/>
              <w:right w:val="nil"/>
            </w:tcBorders>
            <w:shd w:val="clear" w:color="000000" w:fill="FFFFFF"/>
            <w:noWrap/>
            <w:vAlign w:val="center"/>
            <w:hideMark/>
          </w:tcPr>
          <w:p w14:paraId="0EB8C1B7"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 </w:t>
            </w:r>
          </w:p>
        </w:tc>
        <w:tc>
          <w:tcPr>
            <w:tcW w:w="344" w:type="pct"/>
            <w:tcBorders>
              <w:top w:val="nil"/>
              <w:left w:val="nil"/>
              <w:right w:val="nil"/>
            </w:tcBorders>
            <w:shd w:val="clear" w:color="auto" w:fill="D9D9D9" w:themeFill="background1" w:themeFillShade="D9"/>
            <w:noWrap/>
            <w:vAlign w:val="center"/>
            <w:hideMark/>
          </w:tcPr>
          <w:p w14:paraId="60EC498B" w14:textId="011AD57D"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29.5</w:t>
            </w:r>
            <w:r w:rsidR="0087538A">
              <w:rPr>
                <w:rFonts w:ascii="Arial Narrow" w:eastAsia="Times New Roman" w:hAnsi="Arial Narrow" w:cs="Times New Roman"/>
                <w:sz w:val="16"/>
                <w:szCs w:val="16"/>
                <w:lang w:eastAsia="it-IT"/>
              </w:rPr>
              <w:t>3</w:t>
            </w:r>
            <w:r w:rsidR="0014153F">
              <w:rPr>
                <w:rFonts w:ascii="Arial Narrow" w:eastAsia="Times New Roman" w:hAnsi="Arial Narrow" w:cs="Times New Roman"/>
                <w:sz w:val="16"/>
                <w:szCs w:val="16"/>
                <w:lang w:eastAsia="it-IT"/>
              </w:rPr>
              <w:t>4</w:t>
            </w:r>
          </w:p>
        </w:tc>
        <w:tc>
          <w:tcPr>
            <w:tcW w:w="438" w:type="pct"/>
            <w:tcBorders>
              <w:top w:val="nil"/>
              <w:left w:val="nil"/>
              <w:right w:val="nil"/>
            </w:tcBorders>
            <w:shd w:val="clear" w:color="000000" w:fill="FFFFFF"/>
            <w:noWrap/>
            <w:vAlign w:val="center"/>
            <w:hideMark/>
          </w:tcPr>
          <w:p w14:paraId="63CE3EF2"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+0,1</w:t>
            </w:r>
          </w:p>
        </w:tc>
        <w:tc>
          <w:tcPr>
            <w:tcW w:w="394" w:type="pct"/>
            <w:tcBorders>
              <w:top w:val="nil"/>
              <w:left w:val="nil"/>
              <w:right w:val="nil"/>
            </w:tcBorders>
            <w:shd w:val="clear" w:color="auto" w:fill="D9D9D9" w:themeFill="background1" w:themeFillShade="D9"/>
            <w:noWrap/>
            <w:vAlign w:val="center"/>
            <w:hideMark/>
          </w:tcPr>
          <w:p w14:paraId="7A51C7DE"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+8,5</w:t>
            </w:r>
          </w:p>
        </w:tc>
        <w:tc>
          <w:tcPr>
            <w:tcW w:w="442" w:type="pct"/>
            <w:tcBorders>
              <w:top w:val="nil"/>
              <w:left w:val="nil"/>
              <w:right w:val="nil"/>
            </w:tcBorders>
            <w:shd w:val="clear" w:color="000000" w:fill="FFFFFF"/>
            <w:noWrap/>
            <w:vAlign w:val="center"/>
            <w:hideMark/>
          </w:tcPr>
          <w:p w14:paraId="2E6D7674" w14:textId="77777777" w:rsidR="00960EA8" w:rsidRPr="00586510" w:rsidRDefault="00960EA8" w:rsidP="00463EB5">
            <w:pPr>
              <w:widowControl/>
              <w:autoSpaceDE/>
              <w:autoSpaceDN/>
              <w:spacing w:before="40" w:after="20"/>
              <w:jc w:val="right"/>
              <w:rPr>
                <w:rFonts w:ascii="Arial Narrow" w:eastAsia="Times New Roman" w:hAnsi="Arial Narrow" w:cs="Times New Roman"/>
                <w:sz w:val="16"/>
                <w:szCs w:val="16"/>
                <w:lang w:eastAsia="it-IT"/>
              </w:rPr>
            </w:pPr>
            <w:r w:rsidRPr="00586510">
              <w:rPr>
                <w:rFonts w:ascii="Arial Narrow" w:eastAsia="Times New Roman" w:hAnsi="Arial Narrow" w:cs="Times New Roman"/>
                <w:sz w:val="16"/>
                <w:szCs w:val="16"/>
                <w:lang w:eastAsia="it-IT"/>
              </w:rPr>
              <w:t>+8,6</w:t>
            </w:r>
          </w:p>
        </w:tc>
      </w:tr>
      <w:tr w:rsidR="00960EA8" w:rsidRPr="00586510" w14:paraId="5D673173" w14:textId="77777777" w:rsidTr="00463EB5">
        <w:trPr>
          <w:trHeight w:val="238"/>
        </w:trPr>
        <w:tc>
          <w:tcPr>
            <w:tcW w:w="1716" w:type="pct"/>
            <w:tcBorders>
              <w:top w:val="nil"/>
              <w:left w:val="nil"/>
              <w:bottom w:val="single" w:sz="4" w:space="0" w:color="auto"/>
              <w:right w:val="nil"/>
            </w:tcBorders>
            <w:shd w:val="clear" w:color="000000" w:fill="FFFFFF"/>
            <w:noWrap/>
            <w:vAlign w:val="center"/>
            <w:hideMark/>
          </w:tcPr>
          <w:p w14:paraId="3B76381B" w14:textId="18EBC457" w:rsidR="00960EA8" w:rsidRPr="00F77AEB" w:rsidRDefault="00F77AEB" w:rsidP="00463EB5">
            <w:pPr>
              <w:widowControl/>
              <w:autoSpaceDE/>
              <w:autoSpaceDN/>
              <w:spacing w:before="40" w:after="20"/>
              <w:rPr>
                <w:rFonts w:ascii="Arial Narrow" w:eastAsia="Times New Roman" w:hAnsi="Arial Narrow" w:cs="Times New Roman"/>
                <w:b/>
                <w:bCs/>
                <w:sz w:val="16"/>
                <w:szCs w:val="16"/>
                <w:lang w:val="en-US" w:eastAsia="it-IT"/>
              </w:rPr>
            </w:pPr>
            <w:r>
              <w:rPr>
                <w:rFonts w:ascii="Arial Narrow" w:eastAsia="Times New Roman" w:hAnsi="Arial Narrow" w:cs="Times New Roman"/>
                <w:b/>
                <w:bCs/>
                <w:sz w:val="16"/>
                <w:szCs w:val="16"/>
                <w:lang w:val="en-US" w:eastAsia="it-IT"/>
              </w:rPr>
              <w:t>V</w:t>
            </w:r>
            <w:r w:rsidRPr="00F77AEB">
              <w:rPr>
                <w:rFonts w:ascii="Arial Narrow" w:eastAsia="Times New Roman" w:hAnsi="Arial Narrow" w:cs="Times New Roman"/>
                <w:b/>
                <w:bCs/>
                <w:sz w:val="16"/>
                <w:szCs w:val="16"/>
                <w:lang w:val="en-US" w:eastAsia="it-IT"/>
              </w:rPr>
              <w:t xml:space="preserve">alue </w:t>
            </w:r>
            <w:r>
              <w:rPr>
                <w:rFonts w:ascii="Arial Narrow" w:eastAsia="Times New Roman" w:hAnsi="Arial Narrow" w:cs="Times New Roman"/>
                <w:b/>
                <w:bCs/>
                <w:sz w:val="16"/>
                <w:szCs w:val="16"/>
                <w:lang w:val="en-US" w:eastAsia="it-IT"/>
              </w:rPr>
              <w:t>a</w:t>
            </w:r>
            <w:r w:rsidRPr="00F77AEB">
              <w:rPr>
                <w:rFonts w:ascii="Arial Narrow" w:eastAsia="Times New Roman" w:hAnsi="Arial Narrow" w:cs="Times New Roman"/>
                <w:b/>
                <w:bCs/>
                <w:sz w:val="16"/>
                <w:szCs w:val="16"/>
                <w:lang w:val="en-US" w:eastAsia="it-IT"/>
              </w:rPr>
              <w:t xml:space="preserve">dded of Agriculture, </w:t>
            </w:r>
            <w:proofErr w:type="gramStart"/>
            <w:r w:rsidRPr="00F77AEB">
              <w:rPr>
                <w:rFonts w:ascii="Arial Narrow" w:eastAsia="Times New Roman" w:hAnsi="Arial Narrow" w:cs="Times New Roman"/>
                <w:b/>
                <w:bCs/>
                <w:sz w:val="16"/>
                <w:szCs w:val="16"/>
                <w:lang w:val="en-US" w:eastAsia="it-IT"/>
              </w:rPr>
              <w:t>forestry</w:t>
            </w:r>
            <w:proofErr w:type="gramEnd"/>
            <w:r w:rsidRPr="00F77AEB">
              <w:rPr>
                <w:rFonts w:ascii="Arial Narrow" w:eastAsia="Times New Roman" w:hAnsi="Arial Narrow" w:cs="Times New Roman"/>
                <w:b/>
                <w:bCs/>
                <w:sz w:val="16"/>
                <w:szCs w:val="16"/>
                <w:lang w:val="en-US" w:eastAsia="it-IT"/>
              </w:rPr>
              <w:t xml:space="preserve"> and fishing</w:t>
            </w:r>
            <w:r w:rsidR="00960EA8" w:rsidRPr="00F77AEB">
              <w:rPr>
                <w:rFonts w:ascii="Arial Narrow" w:eastAsia="Times New Roman" w:hAnsi="Arial Narrow" w:cs="Times New Roman"/>
                <w:b/>
                <w:bCs/>
                <w:sz w:val="16"/>
                <w:szCs w:val="16"/>
                <w:lang w:val="en-US" w:eastAsia="it-IT"/>
              </w:rPr>
              <w:t xml:space="preserve"> </w:t>
            </w:r>
          </w:p>
        </w:tc>
        <w:tc>
          <w:tcPr>
            <w:tcW w:w="363" w:type="pct"/>
            <w:tcBorders>
              <w:top w:val="nil"/>
              <w:left w:val="nil"/>
              <w:bottom w:val="single" w:sz="4" w:space="0" w:color="auto"/>
              <w:right w:val="nil"/>
            </w:tcBorders>
            <w:shd w:val="clear" w:color="auto" w:fill="D9D9D9" w:themeFill="background1" w:themeFillShade="D9"/>
            <w:noWrap/>
            <w:vAlign w:val="center"/>
            <w:hideMark/>
          </w:tcPr>
          <w:p w14:paraId="4153261F"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33.303</w:t>
            </w:r>
          </w:p>
        </w:tc>
        <w:tc>
          <w:tcPr>
            <w:tcW w:w="394" w:type="pct"/>
            <w:tcBorders>
              <w:top w:val="nil"/>
              <w:left w:val="nil"/>
              <w:bottom w:val="single" w:sz="4" w:space="0" w:color="auto"/>
              <w:right w:val="nil"/>
            </w:tcBorders>
            <w:shd w:val="clear" w:color="auto" w:fill="auto"/>
            <w:noWrap/>
            <w:vAlign w:val="center"/>
            <w:hideMark/>
          </w:tcPr>
          <w:p w14:paraId="2DEA4396"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-4,7</w:t>
            </w:r>
          </w:p>
        </w:tc>
        <w:tc>
          <w:tcPr>
            <w:tcW w:w="425" w:type="pct"/>
            <w:tcBorders>
              <w:top w:val="nil"/>
              <w:left w:val="nil"/>
              <w:bottom w:val="single" w:sz="4" w:space="0" w:color="auto"/>
              <w:right w:val="nil"/>
            </w:tcBorders>
            <w:shd w:val="clear" w:color="auto" w:fill="D9D9D9" w:themeFill="background1" w:themeFillShade="D9"/>
            <w:noWrap/>
            <w:vAlign w:val="center"/>
            <w:hideMark/>
          </w:tcPr>
          <w:p w14:paraId="0F2FA08B"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+2,0</w:t>
            </w:r>
          </w:p>
        </w:tc>
        <w:tc>
          <w:tcPr>
            <w:tcW w:w="394" w:type="pct"/>
            <w:tcBorders>
              <w:top w:val="nil"/>
              <w:left w:val="nil"/>
              <w:bottom w:val="single" w:sz="4" w:space="0" w:color="auto"/>
              <w:right w:val="nil"/>
            </w:tcBorders>
            <w:shd w:val="clear" w:color="auto" w:fill="auto"/>
            <w:noWrap/>
            <w:vAlign w:val="center"/>
            <w:hideMark/>
          </w:tcPr>
          <w:p w14:paraId="312EC02D"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-2,8</w:t>
            </w:r>
          </w:p>
        </w:tc>
        <w:tc>
          <w:tcPr>
            <w:tcW w:w="92" w:type="pct"/>
            <w:tcBorders>
              <w:top w:val="nil"/>
              <w:left w:val="nil"/>
              <w:bottom w:val="single" w:sz="4" w:space="0" w:color="auto"/>
              <w:right w:val="nil"/>
            </w:tcBorders>
            <w:shd w:val="clear" w:color="auto" w:fill="auto"/>
            <w:noWrap/>
            <w:vAlign w:val="center"/>
            <w:hideMark/>
          </w:tcPr>
          <w:p w14:paraId="698F435B"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p>
        </w:tc>
        <w:tc>
          <w:tcPr>
            <w:tcW w:w="344" w:type="pct"/>
            <w:tcBorders>
              <w:top w:val="nil"/>
              <w:left w:val="nil"/>
              <w:bottom w:val="single" w:sz="4" w:space="0" w:color="auto"/>
              <w:right w:val="nil"/>
            </w:tcBorders>
            <w:shd w:val="clear" w:color="auto" w:fill="D9D9D9" w:themeFill="background1" w:themeFillShade="D9"/>
            <w:noWrap/>
            <w:vAlign w:val="center"/>
            <w:hideMark/>
          </w:tcPr>
          <w:p w14:paraId="3817DF10"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34.756</w:t>
            </w:r>
          </w:p>
        </w:tc>
        <w:tc>
          <w:tcPr>
            <w:tcW w:w="438" w:type="pct"/>
            <w:tcBorders>
              <w:top w:val="nil"/>
              <w:left w:val="nil"/>
              <w:bottom w:val="single" w:sz="4" w:space="0" w:color="auto"/>
              <w:right w:val="nil"/>
            </w:tcBorders>
            <w:shd w:val="clear" w:color="auto" w:fill="auto"/>
            <w:noWrap/>
            <w:vAlign w:val="center"/>
            <w:hideMark/>
          </w:tcPr>
          <w:p w14:paraId="06D53CF6"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-0,8</w:t>
            </w:r>
          </w:p>
        </w:tc>
        <w:tc>
          <w:tcPr>
            <w:tcW w:w="394" w:type="pct"/>
            <w:tcBorders>
              <w:top w:val="nil"/>
              <w:left w:val="nil"/>
              <w:bottom w:val="single" w:sz="4" w:space="0" w:color="auto"/>
              <w:right w:val="nil"/>
            </w:tcBorders>
            <w:shd w:val="clear" w:color="auto" w:fill="D9D9D9" w:themeFill="background1" w:themeFillShade="D9"/>
            <w:noWrap/>
            <w:vAlign w:val="center"/>
            <w:hideMark/>
          </w:tcPr>
          <w:p w14:paraId="3D905C2B"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+5,2</w:t>
            </w:r>
          </w:p>
        </w:tc>
        <w:tc>
          <w:tcPr>
            <w:tcW w:w="442" w:type="pct"/>
            <w:tcBorders>
              <w:top w:val="nil"/>
              <w:left w:val="nil"/>
              <w:bottom w:val="single" w:sz="4" w:space="0" w:color="auto"/>
              <w:right w:val="nil"/>
            </w:tcBorders>
            <w:shd w:val="clear" w:color="auto" w:fill="auto"/>
            <w:noWrap/>
            <w:vAlign w:val="center"/>
            <w:hideMark/>
          </w:tcPr>
          <w:p w14:paraId="662CBD4D" w14:textId="77777777" w:rsidR="00960EA8" w:rsidRPr="00586510" w:rsidRDefault="00960EA8" w:rsidP="00463EB5">
            <w:pPr>
              <w:widowControl/>
              <w:autoSpaceDE/>
              <w:autoSpaceDN/>
              <w:spacing w:before="40" w:after="20"/>
              <w:jc w:val="right"/>
              <w:rPr>
                <w:rFonts w:ascii="Arial Narrow" w:eastAsia="Times New Roman" w:hAnsi="Arial Narrow" w:cs="Times New Roman"/>
                <w:b/>
                <w:bCs/>
                <w:sz w:val="16"/>
                <w:szCs w:val="16"/>
                <w:lang w:eastAsia="it-IT"/>
              </w:rPr>
            </w:pPr>
            <w:r w:rsidRPr="00586510">
              <w:rPr>
                <w:rFonts w:ascii="Arial Narrow" w:eastAsia="Times New Roman" w:hAnsi="Arial Narrow" w:cs="Times New Roman"/>
                <w:b/>
                <w:bCs/>
                <w:sz w:val="16"/>
                <w:szCs w:val="16"/>
                <w:lang w:eastAsia="it-IT"/>
              </w:rPr>
              <w:t>+4,4</w:t>
            </w:r>
          </w:p>
        </w:tc>
      </w:tr>
    </w:tbl>
    <w:p w14:paraId="0CE793C9" w14:textId="0D366A55" w:rsidR="00963B8A" w:rsidRPr="00463EB5" w:rsidRDefault="00AB4E58" w:rsidP="00463EB5">
      <w:pPr>
        <w:pStyle w:val="Paragrafoelenco"/>
        <w:numPr>
          <w:ilvl w:val="0"/>
          <w:numId w:val="31"/>
        </w:numPr>
        <w:spacing w:before="60"/>
        <w:ind w:left="284" w:right="-34" w:hanging="284"/>
        <w:jc w:val="both"/>
        <w:outlineLvl w:val="1"/>
        <w:rPr>
          <w:rFonts w:ascii="Arial" w:hAnsi="Arial" w:cs="Arial"/>
          <w:iCs/>
          <w:noProof/>
          <w:sz w:val="15"/>
          <w:szCs w:val="15"/>
          <w:lang w:val="en-US"/>
        </w:rPr>
      </w:pPr>
      <w:r w:rsidRPr="00463EB5">
        <w:rPr>
          <w:rFonts w:ascii="Arial" w:hAnsi="Arial" w:cs="Arial"/>
          <w:iCs/>
          <w:noProof/>
          <w:sz w:val="15"/>
          <w:szCs w:val="15"/>
          <w:lang w:val="en-US"/>
        </w:rPr>
        <w:t>Non-agricultural secondary activities carried out in the agricultural sector are mainly: agritourism, processing of milk, fruit and meat, production of renewable energy (highlighted with a (+) sign). Agricultural secondary activities carried out by non-agricultural sectors, mainly related to crops and livestock, are carried out, for example, by commercial enterprises (highlighted with a (-) sign).</w:t>
      </w:r>
    </w:p>
    <w:p w14:paraId="47682ED1" w14:textId="41FD2CC1" w:rsidR="00960EA8" w:rsidRPr="00463EB5" w:rsidRDefault="00D60DB3" w:rsidP="00D60DB3">
      <w:pPr>
        <w:pStyle w:val="Paragrafoelenco"/>
        <w:numPr>
          <w:ilvl w:val="0"/>
          <w:numId w:val="31"/>
        </w:numPr>
        <w:ind w:left="284" w:right="-34" w:hanging="284"/>
        <w:jc w:val="both"/>
        <w:outlineLvl w:val="1"/>
        <w:rPr>
          <w:rFonts w:ascii="Arial" w:hAnsi="Arial" w:cs="Arial"/>
          <w:iCs/>
          <w:noProof/>
          <w:sz w:val="15"/>
          <w:szCs w:val="15"/>
          <w:lang w:val="en-US"/>
        </w:rPr>
      </w:pPr>
      <w:r w:rsidRPr="00463EB5">
        <w:rPr>
          <w:rFonts w:ascii="Arial" w:hAnsi="Arial" w:cs="Arial"/>
          <w:iCs/>
          <w:noProof/>
          <w:sz w:val="15"/>
          <w:szCs w:val="15"/>
          <w:lang w:val="en-US"/>
        </w:rPr>
        <w:t>Intermediate consumption includes indirectly measured financial intermediation services, i.e. the cost incurred for the intermediation service, implicit in the interest flows received and paid by economic operators</w:t>
      </w:r>
      <w:r w:rsidR="00960EA8" w:rsidRPr="00463EB5">
        <w:rPr>
          <w:rFonts w:ascii="Arial" w:hAnsi="Arial" w:cs="Arial"/>
          <w:iCs/>
          <w:noProof/>
          <w:sz w:val="15"/>
          <w:szCs w:val="15"/>
          <w:lang w:val="en-US"/>
        </w:rPr>
        <w:t>.</w:t>
      </w:r>
    </w:p>
    <w:p w14:paraId="03E370B9" w14:textId="77777777" w:rsidR="00960EA8" w:rsidRPr="00D60DB3" w:rsidRDefault="00960EA8" w:rsidP="00960EA8">
      <w:pPr>
        <w:pStyle w:val="Paragrafoelenco"/>
        <w:spacing w:before="99"/>
        <w:ind w:left="284" w:right="-36" w:firstLine="0"/>
        <w:jc w:val="both"/>
        <w:outlineLvl w:val="1"/>
        <w:rPr>
          <w:rFonts w:ascii="Arial" w:hAnsi="Arial" w:cs="Arial"/>
          <w:iCs/>
          <w:noProof/>
          <w:sz w:val="15"/>
          <w:szCs w:val="15"/>
          <w:lang w:val="en-US"/>
        </w:rPr>
      </w:pPr>
    </w:p>
    <w:p w14:paraId="27A46D25" w14:textId="77777777" w:rsidR="007916BD" w:rsidRPr="0016267A" w:rsidRDefault="007916BD" w:rsidP="00960EA8">
      <w:pPr>
        <w:widowControl/>
        <w:suppressAutoHyphens/>
        <w:autoSpaceDE/>
        <w:spacing w:after="80"/>
        <w:jc w:val="both"/>
        <w:textAlignment w:val="baseline"/>
        <w:rPr>
          <w:rFonts w:ascii="Trebuchet MS" w:eastAsia="Times New Roman" w:hAnsi="Trebuchet MS" w:cs="Arial"/>
          <w:color w:val="595959" w:themeColor="text1" w:themeTint="A6"/>
          <w:sz w:val="8"/>
          <w:szCs w:val="20"/>
          <w:lang w:val="en-US" w:eastAsia="it-IT"/>
        </w:rPr>
      </w:pPr>
    </w:p>
    <w:p w14:paraId="6B0EB452" w14:textId="0BA857EB" w:rsidR="00F26CD2" w:rsidRPr="00084694" w:rsidRDefault="0016267A" w:rsidP="00463EB5">
      <w:pPr>
        <w:spacing w:after="120"/>
        <w:ind w:right="-34"/>
        <w:outlineLvl w:val="1"/>
        <w:rPr>
          <w:color w:val="595959" w:themeColor="text1" w:themeTint="A6"/>
          <w:spacing w:val="14"/>
          <w:w w:val="80"/>
          <w:sz w:val="21"/>
          <w:szCs w:val="21"/>
          <w:lang w:val="en-US"/>
        </w:rPr>
      </w:pPr>
      <w:r w:rsidRPr="00084694">
        <w:rPr>
          <w:rFonts w:ascii="Arial Narrow" w:hAnsi="Arial Narrow" w:cs="Arial"/>
          <w:b/>
          <w:iCs/>
          <w:noProof/>
          <w:color w:val="595959" w:themeColor="text1" w:themeTint="A6"/>
          <w:lang w:val="en-US"/>
        </w:rPr>
        <w:t>TABLE</w:t>
      </w:r>
      <w:r w:rsidR="00F63715" w:rsidRPr="00084694">
        <w:rPr>
          <w:rFonts w:ascii="Arial Narrow" w:hAnsi="Arial Narrow" w:cs="Arial"/>
          <w:b/>
          <w:iCs/>
          <w:noProof/>
          <w:color w:val="595959" w:themeColor="text1" w:themeTint="A6"/>
          <w:lang w:val="en-US"/>
        </w:rPr>
        <w:t xml:space="preserve"> </w:t>
      </w:r>
      <w:r w:rsidR="000B5A54" w:rsidRPr="00084694">
        <w:rPr>
          <w:rFonts w:ascii="Arial Narrow" w:hAnsi="Arial Narrow" w:cs="Arial"/>
          <w:b/>
          <w:iCs/>
          <w:noProof/>
          <w:color w:val="595959" w:themeColor="text1" w:themeTint="A6"/>
          <w:lang w:val="en-US"/>
        </w:rPr>
        <w:t>2</w:t>
      </w:r>
      <w:r w:rsidR="000146B8" w:rsidRPr="00084694">
        <w:rPr>
          <w:rFonts w:ascii="Arial Narrow" w:hAnsi="Arial Narrow" w:cs="Arial"/>
          <w:b/>
          <w:iCs/>
          <w:noProof/>
          <w:color w:val="595959" w:themeColor="text1" w:themeTint="A6"/>
          <w:lang w:val="en-US"/>
        </w:rPr>
        <w:t xml:space="preserve">. </w:t>
      </w:r>
      <w:r w:rsidR="00084694" w:rsidRPr="00084694">
        <w:rPr>
          <w:rFonts w:ascii="Arial Narrow" w:hAnsi="Arial Narrow" w:cs="Arial"/>
          <w:b/>
          <w:iCs/>
          <w:noProof/>
          <w:color w:val="595959" w:themeColor="text1" w:themeTint="A6"/>
          <w:lang w:val="en-US"/>
        </w:rPr>
        <w:t>VALUE ADDED AT BASIC PRICES BY SECTOR OF ECONOMIC ACTIVITY IN ITALY</w:t>
      </w:r>
      <w:r w:rsidR="000146B8" w:rsidRPr="00084694">
        <w:rPr>
          <w:rFonts w:ascii="Arial Narrow" w:hAnsi="Arial Narrow" w:cs="Arial"/>
          <w:b/>
          <w:iCs/>
          <w:noProof/>
          <w:color w:val="595959" w:themeColor="text1" w:themeTint="A6"/>
          <w:sz w:val="20"/>
          <w:szCs w:val="20"/>
          <w:lang w:val="en-US"/>
        </w:rPr>
        <w:t xml:space="preserve">. </w:t>
      </w:r>
      <w:r w:rsidR="00960EA8" w:rsidRPr="00084694">
        <w:rPr>
          <w:rFonts w:ascii="Arial Narrow" w:hAnsi="Arial Narrow" w:cs="Arial"/>
          <w:b/>
          <w:iCs/>
          <w:noProof/>
          <w:color w:val="595959" w:themeColor="text1" w:themeTint="A6"/>
          <w:sz w:val="20"/>
          <w:szCs w:val="20"/>
          <w:lang w:val="en-US"/>
        </w:rPr>
        <w:br/>
      </w:r>
      <w:r w:rsidR="00084694" w:rsidRPr="00084694">
        <w:rPr>
          <w:rFonts w:ascii="Arial Narrow" w:hAnsi="Arial Narrow" w:cs="Arial"/>
          <w:iCs/>
          <w:noProof/>
          <w:color w:val="595959" w:themeColor="text1" w:themeTint="A6"/>
          <w:sz w:val="20"/>
          <w:szCs w:val="20"/>
          <w:lang w:val="en-US"/>
        </w:rPr>
        <w:t>Years 2020 and 2021, current values in millions of euros and percentage changes</w:t>
      </w:r>
    </w:p>
    <w:tbl>
      <w:tblPr>
        <w:tblW w:w="4998" w:type="pct"/>
        <w:tblLayout w:type="fixed"/>
        <w:tblCellMar>
          <w:left w:w="70" w:type="dxa"/>
          <w:right w:w="70" w:type="dxa"/>
        </w:tblCellMar>
        <w:tblLook w:val="04A0" w:firstRow="1" w:lastRow="0" w:firstColumn="1" w:lastColumn="0" w:noHBand="0" w:noVBand="1"/>
      </w:tblPr>
      <w:tblGrid>
        <w:gridCol w:w="2761"/>
        <w:gridCol w:w="925"/>
        <w:gridCol w:w="850"/>
        <w:gridCol w:w="850"/>
        <w:gridCol w:w="713"/>
        <w:gridCol w:w="193"/>
        <w:gridCol w:w="844"/>
        <w:gridCol w:w="808"/>
        <w:gridCol w:w="848"/>
        <w:gridCol w:w="846"/>
      </w:tblGrid>
      <w:tr w:rsidR="000146B8" w:rsidRPr="0002296B" w14:paraId="4C1274DB" w14:textId="77777777" w:rsidTr="002E4CB4">
        <w:trPr>
          <w:trHeight w:val="238"/>
        </w:trPr>
        <w:tc>
          <w:tcPr>
            <w:tcW w:w="1432" w:type="pct"/>
            <w:vMerge w:val="restart"/>
            <w:tcBorders>
              <w:top w:val="single" w:sz="4" w:space="0" w:color="000000"/>
              <w:left w:val="nil"/>
              <w:bottom w:val="single" w:sz="4" w:space="0" w:color="000000"/>
              <w:right w:val="nil"/>
            </w:tcBorders>
            <w:shd w:val="clear" w:color="000000" w:fill="FFFFFF"/>
            <w:noWrap/>
            <w:vAlign w:val="center"/>
            <w:hideMark/>
          </w:tcPr>
          <w:p w14:paraId="38D9D04C" w14:textId="78869B52" w:rsidR="0002296B" w:rsidRPr="00BA2C89" w:rsidRDefault="00084694" w:rsidP="00463EB5">
            <w:pPr>
              <w:widowControl/>
              <w:autoSpaceDE/>
              <w:autoSpaceDN/>
              <w:spacing w:before="40" w:after="20"/>
              <w:rPr>
                <w:rFonts w:ascii="Arial Narrow" w:eastAsia="Times New Roman" w:hAnsi="Arial Narrow" w:cs="Times New Roman"/>
                <w:b/>
                <w:bCs/>
                <w:sz w:val="18"/>
                <w:szCs w:val="18"/>
                <w:lang w:eastAsia="it-IT"/>
              </w:rPr>
            </w:pPr>
            <w:r w:rsidRPr="00084694">
              <w:rPr>
                <w:rFonts w:ascii="Arial Narrow" w:eastAsia="Times New Roman" w:hAnsi="Arial Narrow" w:cs="Times New Roman"/>
                <w:b/>
                <w:bCs/>
                <w:sz w:val="18"/>
                <w:szCs w:val="18"/>
                <w:lang w:eastAsia="it-IT"/>
              </w:rPr>
              <w:t>ECONOMIC ACTIVITIES</w:t>
            </w:r>
          </w:p>
        </w:tc>
        <w:tc>
          <w:tcPr>
            <w:tcW w:w="1732" w:type="pct"/>
            <w:gridSpan w:val="4"/>
            <w:tcBorders>
              <w:top w:val="single" w:sz="4" w:space="0" w:color="auto"/>
              <w:left w:val="nil"/>
              <w:bottom w:val="single" w:sz="4" w:space="0" w:color="auto"/>
              <w:right w:val="nil"/>
            </w:tcBorders>
            <w:shd w:val="clear" w:color="auto" w:fill="D9D9D9" w:themeFill="background1" w:themeFillShade="D9"/>
            <w:vAlign w:val="center"/>
            <w:hideMark/>
          </w:tcPr>
          <w:p w14:paraId="1718D88A" w14:textId="77777777" w:rsidR="0002296B" w:rsidRPr="00BA2C89" w:rsidRDefault="0002296B" w:rsidP="00463EB5">
            <w:pPr>
              <w:widowControl/>
              <w:autoSpaceDE/>
              <w:autoSpaceDN/>
              <w:spacing w:before="40" w:after="20"/>
              <w:jc w:val="center"/>
              <w:rPr>
                <w:rFonts w:ascii="Arial Narrow" w:eastAsia="Times New Roman" w:hAnsi="Arial Narrow" w:cs="Times New Roman"/>
                <w:b/>
                <w:bCs/>
                <w:color w:val="000000"/>
                <w:sz w:val="18"/>
                <w:szCs w:val="18"/>
                <w:lang w:eastAsia="it-IT"/>
              </w:rPr>
            </w:pPr>
            <w:r w:rsidRPr="00BA2C89">
              <w:rPr>
                <w:rFonts w:ascii="Arial Narrow" w:eastAsia="Times New Roman" w:hAnsi="Arial Narrow" w:cs="Times New Roman"/>
                <w:b/>
                <w:bCs/>
                <w:color w:val="000000"/>
                <w:sz w:val="18"/>
                <w:szCs w:val="18"/>
                <w:lang w:eastAsia="it-IT"/>
              </w:rPr>
              <w:t>2020</w:t>
            </w:r>
          </w:p>
        </w:tc>
        <w:tc>
          <w:tcPr>
            <w:tcW w:w="100" w:type="pct"/>
            <w:tcBorders>
              <w:left w:val="nil"/>
              <w:bottom w:val="nil"/>
              <w:right w:val="nil"/>
            </w:tcBorders>
            <w:shd w:val="clear" w:color="auto" w:fill="auto"/>
            <w:vAlign w:val="center"/>
            <w:hideMark/>
          </w:tcPr>
          <w:p w14:paraId="2F37F34F" w14:textId="77777777" w:rsidR="0002296B" w:rsidRPr="00BA2C89" w:rsidRDefault="0002296B" w:rsidP="00463EB5">
            <w:pPr>
              <w:widowControl/>
              <w:autoSpaceDE/>
              <w:autoSpaceDN/>
              <w:spacing w:before="40" w:after="20"/>
              <w:jc w:val="center"/>
              <w:rPr>
                <w:rFonts w:ascii="Arial Narrow" w:eastAsia="Times New Roman" w:hAnsi="Arial Narrow" w:cs="Times New Roman"/>
                <w:b/>
                <w:bCs/>
                <w:color w:val="000000"/>
                <w:sz w:val="18"/>
                <w:szCs w:val="18"/>
                <w:lang w:eastAsia="it-IT"/>
              </w:rPr>
            </w:pPr>
          </w:p>
        </w:tc>
        <w:tc>
          <w:tcPr>
            <w:tcW w:w="1737" w:type="pct"/>
            <w:gridSpan w:val="4"/>
            <w:tcBorders>
              <w:top w:val="single" w:sz="4" w:space="0" w:color="auto"/>
              <w:left w:val="nil"/>
              <w:bottom w:val="single" w:sz="4" w:space="0" w:color="auto"/>
              <w:right w:val="nil"/>
            </w:tcBorders>
            <w:shd w:val="clear" w:color="auto" w:fill="D9D9D9" w:themeFill="background1" w:themeFillShade="D9"/>
            <w:vAlign w:val="center"/>
            <w:hideMark/>
          </w:tcPr>
          <w:p w14:paraId="107DFAFD" w14:textId="77777777" w:rsidR="0002296B" w:rsidRPr="00BA2C89" w:rsidRDefault="0002296B" w:rsidP="00463EB5">
            <w:pPr>
              <w:widowControl/>
              <w:autoSpaceDE/>
              <w:autoSpaceDN/>
              <w:spacing w:before="40" w:after="20"/>
              <w:jc w:val="center"/>
              <w:rPr>
                <w:rFonts w:ascii="Arial Narrow" w:eastAsia="Times New Roman" w:hAnsi="Arial Narrow" w:cs="Times New Roman"/>
                <w:b/>
                <w:bCs/>
                <w:color w:val="000000"/>
                <w:sz w:val="18"/>
                <w:szCs w:val="18"/>
                <w:lang w:eastAsia="it-IT"/>
              </w:rPr>
            </w:pPr>
            <w:r w:rsidRPr="00BA2C89">
              <w:rPr>
                <w:rFonts w:ascii="Arial Narrow" w:eastAsia="Times New Roman" w:hAnsi="Arial Narrow" w:cs="Times New Roman"/>
                <w:b/>
                <w:bCs/>
                <w:color w:val="000000"/>
                <w:sz w:val="18"/>
                <w:szCs w:val="18"/>
                <w:lang w:eastAsia="it-IT"/>
              </w:rPr>
              <w:t>2021</w:t>
            </w:r>
          </w:p>
        </w:tc>
      </w:tr>
      <w:tr w:rsidR="000146B8" w:rsidRPr="00463EB5" w14:paraId="0E9D5411" w14:textId="77777777" w:rsidTr="000146B8">
        <w:trPr>
          <w:trHeight w:val="238"/>
        </w:trPr>
        <w:tc>
          <w:tcPr>
            <w:tcW w:w="1432" w:type="pct"/>
            <w:vMerge/>
            <w:tcBorders>
              <w:top w:val="single" w:sz="4" w:space="0" w:color="000000"/>
              <w:left w:val="nil"/>
              <w:bottom w:val="single" w:sz="4" w:space="0" w:color="000000"/>
              <w:right w:val="nil"/>
            </w:tcBorders>
            <w:vAlign w:val="center"/>
            <w:hideMark/>
          </w:tcPr>
          <w:p w14:paraId="7B19D131" w14:textId="77777777" w:rsidR="0002296B" w:rsidRPr="0002296B" w:rsidRDefault="0002296B" w:rsidP="00463EB5">
            <w:pPr>
              <w:widowControl/>
              <w:autoSpaceDE/>
              <w:autoSpaceDN/>
              <w:spacing w:before="40" w:after="20"/>
              <w:rPr>
                <w:rFonts w:ascii="Arial Narrow" w:eastAsia="Times New Roman" w:hAnsi="Arial Narrow" w:cs="Times New Roman"/>
                <w:b/>
                <w:bCs/>
                <w:sz w:val="16"/>
                <w:szCs w:val="16"/>
                <w:lang w:eastAsia="it-IT"/>
              </w:rPr>
            </w:pPr>
          </w:p>
        </w:tc>
        <w:tc>
          <w:tcPr>
            <w:tcW w:w="480" w:type="pct"/>
            <w:vMerge w:val="restart"/>
            <w:tcBorders>
              <w:top w:val="nil"/>
              <w:left w:val="nil"/>
              <w:bottom w:val="single" w:sz="4" w:space="0" w:color="000000"/>
              <w:right w:val="nil"/>
            </w:tcBorders>
            <w:shd w:val="clear" w:color="auto" w:fill="auto"/>
            <w:vAlign w:val="center"/>
            <w:hideMark/>
          </w:tcPr>
          <w:p w14:paraId="287B4AA0" w14:textId="0E159885" w:rsidR="0002296B" w:rsidRPr="0002296B" w:rsidRDefault="00084694" w:rsidP="00463EB5">
            <w:pPr>
              <w:widowControl/>
              <w:autoSpaceDE/>
              <w:autoSpaceDN/>
              <w:spacing w:before="40" w:after="20"/>
              <w:jc w:val="right"/>
              <w:rPr>
                <w:rFonts w:ascii="Arial Narrow" w:eastAsia="Times New Roman" w:hAnsi="Arial Narrow" w:cs="Times New Roman"/>
                <w:color w:val="000000"/>
                <w:sz w:val="16"/>
                <w:szCs w:val="16"/>
                <w:lang w:eastAsia="it-IT"/>
              </w:rPr>
            </w:pPr>
            <w:proofErr w:type="spellStart"/>
            <w:r w:rsidRPr="00084694">
              <w:rPr>
                <w:rFonts w:ascii="Arial Narrow" w:eastAsia="Times New Roman" w:hAnsi="Arial Narrow" w:cs="Times New Roman"/>
                <w:color w:val="000000"/>
                <w:sz w:val="16"/>
                <w:szCs w:val="16"/>
                <w:lang w:eastAsia="it-IT"/>
              </w:rPr>
              <w:t>Millions</w:t>
            </w:r>
            <w:proofErr w:type="spellEnd"/>
            <w:r w:rsidRPr="00084694">
              <w:rPr>
                <w:rFonts w:ascii="Arial Narrow" w:eastAsia="Times New Roman" w:hAnsi="Arial Narrow" w:cs="Times New Roman"/>
                <w:color w:val="000000"/>
                <w:sz w:val="16"/>
                <w:szCs w:val="16"/>
                <w:lang w:eastAsia="it-IT"/>
              </w:rPr>
              <w:t xml:space="preserve"> of </w:t>
            </w:r>
            <w:proofErr w:type="spellStart"/>
            <w:r w:rsidRPr="00084694">
              <w:rPr>
                <w:rFonts w:ascii="Arial Narrow" w:eastAsia="Times New Roman" w:hAnsi="Arial Narrow" w:cs="Times New Roman"/>
                <w:color w:val="000000"/>
                <w:sz w:val="16"/>
                <w:szCs w:val="16"/>
                <w:lang w:eastAsia="it-IT"/>
              </w:rPr>
              <w:t>current</w:t>
            </w:r>
            <w:proofErr w:type="spellEnd"/>
            <w:r w:rsidRPr="00084694">
              <w:rPr>
                <w:rFonts w:ascii="Arial Narrow" w:eastAsia="Times New Roman" w:hAnsi="Arial Narrow" w:cs="Times New Roman"/>
                <w:color w:val="000000"/>
                <w:sz w:val="16"/>
                <w:szCs w:val="16"/>
                <w:lang w:eastAsia="it-IT"/>
              </w:rPr>
              <w:t xml:space="preserve"> euro</w:t>
            </w:r>
          </w:p>
        </w:tc>
        <w:tc>
          <w:tcPr>
            <w:tcW w:w="441" w:type="pct"/>
            <w:vMerge w:val="restart"/>
            <w:tcBorders>
              <w:top w:val="nil"/>
              <w:left w:val="nil"/>
              <w:bottom w:val="single" w:sz="4" w:space="0" w:color="000000"/>
              <w:right w:val="nil"/>
            </w:tcBorders>
            <w:shd w:val="clear" w:color="auto" w:fill="auto"/>
            <w:vAlign w:val="center"/>
            <w:hideMark/>
          </w:tcPr>
          <w:p w14:paraId="1CEA9F7D" w14:textId="37D3EA90" w:rsidR="0002296B" w:rsidRPr="0002296B" w:rsidRDefault="00084694" w:rsidP="00463EB5">
            <w:pPr>
              <w:widowControl/>
              <w:autoSpaceDE/>
              <w:autoSpaceDN/>
              <w:spacing w:before="40" w:after="20"/>
              <w:jc w:val="right"/>
              <w:rPr>
                <w:rFonts w:ascii="Arial Narrow" w:eastAsia="Times New Roman" w:hAnsi="Arial Narrow" w:cs="Times New Roman"/>
                <w:color w:val="000000"/>
                <w:sz w:val="16"/>
                <w:szCs w:val="16"/>
                <w:lang w:eastAsia="it-IT"/>
              </w:rPr>
            </w:pPr>
            <w:proofErr w:type="spellStart"/>
            <w:r w:rsidRPr="00084694">
              <w:rPr>
                <w:rFonts w:ascii="Arial Narrow" w:eastAsia="Times New Roman" w:hAnsi="Arial Narrow" w:cs="Times New Roman"/>
                <w:color w:val="000000"/>
                <w:sz w:val="16"/>
                <w:szCs w:val="16"/>
                <w:lang w:eastAsia="it-IT"/>
              </w:rPr>
              <w:t>Changes</w:t>
            </w:r>
            <w:proofErr w:type="spellEnd"/>
            <w:r w:rsidRPr="00084694">
              <w:rPr>
                <w:rFonts w:ascii="Arial Narrow" w:eastAsia="Times New Roman" w:hAnsi="Arial Narrow" w:cs="Times New Roman"/>
                <w:color w:val="000000"/>
                <w:sz w:val="16"/>
                <w:szCs w:val="16"/>
                <w:lang w:eastAsia="it-IT"/>
              </w:rPr>
              <w:t xml:space="preserve"> % in Value</w:t>
            </w:r>
          </w:p>
        </w:tc>
        <w:tc>
          <w:tcPr>
            <w:tcW w:w="441" w:type="pct"/>
            <w:vMerge w:val="restart"/>
            <w:tcBorders>
              <w:top w:val="nil"/>
              <w:left w:val="nil"/>
              <w:bottom w:val="nil"/>
              <w:right w:val="nil"/>
            </w:tcBorders>
            <w:shd w:val="clear" w:color="auto" w:fill="auto"/>
            <w:vAlign w:val="center"/>
            <w:hideMark/>
          </w:tcPr>
          <w:p w14:paraId="6FF53D33" w14:textId="417B2A86" w:rsidR="0002296B" w:rsidRPr="0002296B" w:rsidRDefault="00084694" w:rsidP="00463EB5">
            <w:pPr>
              <w:widowControl/>
              <w:autoSpaceDE/>
              <w:autoSpaceDN/>
              <w:spacing w:before="40" w:after="20"/>
              <w:jc w:val="right"/>
              <w:rPr>
                <w:rFonts w:ascii="Arial Narrow" w:eastAsia="Times New Roman" w:hAnsi="Arial Narrow" w:cs="Times New Roman"/>
                <w:color w:val="000000"/>
                <w:sz w:val="16"/>
                <w:szCs w:val="16"/>
                <w:lang w:eastAsia="it-IT"/>
              </w:rPr>
            </w:pPr>
            <w:proofErr w:type="spellStart"/>
            <w:r w:rsidRPr="00084694">
              <w:rPr>
                <w:rFonts w:ascii="Arial Narrow" w:eastAsia="Times New Roman" w:hAnsi="Arial Narrow" w:cs="Times New Roman"/>
                <w:color w:val="000000"/>
                <w:sz w:val="16"/>
                <w:szCs w:val="16"/>
                <w:lang w:eastAsia="it-IT"/>
              </w:rPr>
              <w:t>Changes</w:t>
            </w:r>
            <w:proofErr w:type="spellEnd"/>
            <w:r w:rsidRPr="00084694">
              <w:rPr>
                <w:rFonts w:ascii="Arial Narrow" w:eastAsia="Times New Roman" w:hAnsi="Arial Narrow" w:cs="Times New Roman"/>
                <w:color w:val="000000"/>
                <w:sz w:val="16"/>
                <w:szCs w:val="16"/>
                <w:lang w:eastAsia="it-IT"/>
              </w:rPr>
              <w:t xml:space="preserve"> % in Volume</w:t>
            </w:r>
          </w:p>
        </w:tc>
        <w:tc>
          <w:tcPr>
            <w:tcW w:w="369" w:type="pct"/>
            <w:vMerge w:val="restart"/>
            <w:tcBorders>
              <w:top w:val="nil"/>
              <w:left w:val="nil"/>
              <w:bottom w:val="nil"/>
              <w:right w:val="nil"/>
            </w:tcBorders>
            <w:shd w:val="clear" w:color="auto" w:fill="auto"/>
            <w:vAlign w:val="center"/>
            <w:hideMark/>
          </w:tcPr>
          <w:p w14:paraId="2E39AF9C" w14:textId="0639F3E5" w:rsidR="0002296B" w:rsidRPr="00084694" w:rsidRDefault="00084694" w:rsidP="00463EB5">
            <w:pPr>
              <w:widowControl/>
              <w:autoSpaceDE/>
              <w:autoSpaceDN/>
              <w:spacing w:before="40" w:after="20"/>
              <w:jc w:val="right"/>
              <w:rPr>
                <w:rFonts w:ascii="Arial Narrow" w:eastAsia="Times New Roman" w:hAnsi="Arial Narrow" w:cs="Times New Roman"/>
                <w:color w:val="000000"/>
                <w:sz w:val="16"/>
                <w:szCs w:val="16"/>
                <w:lang w:val="en-US" w:eastAsia="it-IT"/>
              </w:rPr>
            </w:pPr>
            <w:r>
              <w:rPr>
                <w:rFonts w:ascii="Arial Narrow" w:eastAsia="Times New Roman" w:hAnsi="Arial Narrow" w:cs="Times New Roman"/>
                <w:color w:val="000000"/>
                <w:sz w:val="16"/>
                <w:szCs w:val="16"/>
                <w:lang w:val="en-US" w:eastAsia="it-IT"/>
              </w:rPr>
              <w:t>%</w:t>
            </w:r>
            <w:r w:rsidRPr="00084694">
              <w:rPr>
                <w:rFonts w:ascii="Arial Narrow" w:eastAsia="Times New Roman" w:hAnsi="Arial Narrow" w:cs="Times New Roman"/>
                <w:color w:val="000000"/>
                <w:sz w:val="16"/>
                <w:szCs w:val="16"/>
                <w:lang w:val="en-US" w:eastAsia="it-IT"/>
              </w:rPr>
              <w:t xml:space="preserve"> </w:t>
            </w:r>
            <w:proofErr w:type="gramStart"/>
            <w:r w:rsidRPr="00084694">
              <w:rPr>
                <w:rFonts w:ascii="Arial Narrow" w:eastAsia="Times New Roman" w:hAnsi="Arial Narrow" w:cs="Times New Roman"/>
                <w:color w:val="000000"/>
                <w:sz w:val="16"/>
                <w:szCs w:val="16"/>
                <w:lang w:val="en-US" w:eastAsia="it-IT"/>
              </w:rPr>
              <w:t>share</w:t>
            </w:r>
            <w:proofErr w:type="gramEnd"/>
            <w:r w:rsidRPr="00084694">
              <w:rPr>
                <w:rFonts w:ascii="Arial Narrow" w:eastAsia="Times New Roman" w:hAnsi="Arial Narrow" w:cs="Times New Roman"/>
                <w:color w:val="000000"/>
                <w:sz w:val="16"/>
                <w:szCs w:val="16"/>
                <w:lang w:val="en-US" w:eastAsia="it-IT"/>
              </w:rPr>
              <w:t xml:space="preserve"> of the total economy</w:t>
            </w:r>
          </w:p>
        </w:tc>
        <w:tc>
          <w:tcPr>
            <w:tcW w:w="100" w:type="pct"/>
            <w:tcBorders>
              <w:top w:val="nil"/>
              <w:left w:val="nil"/>
              <w:bottom w:val="nil"/>
              <w:right w:val="nil"/>
            </w:tcBorders>
            <w:shd w:val="clear" w:color="auto" w:fill="auto"/>
            <w:vAlign w:val="center"/>
            <w:hideMark/>
          </w:tcPr>
          <w:p w14:paraId="7612C4AB" w14:textId="77777777" w:rsidR="0002296B" w:rsidRPr="00084694" w:rsidRDefault="0002296B" w:rsidP="00463EB5">
            <w:pPr>
              <w:widowControl/>
              <w:autoSpaceDE/>
              <w:autoSpaceDN/>
              <w:spacing w:before="40" w:after="20"/>
              <w:jc w:val="right"/>
              <w:rPr>
                <w:rFonts w:ascii="Arial Narrow" w:eastAsia="Times New Roman" w:hAnsi="Arial Narrow" w:cs="Times New Roman"/>
                <w:color w:val="000000"/>
                <w:sz w:val="16"/>
                <w:szCs w:val="16"/>
                <w:lang w:val="en-US" w:eastAsia="it-IT"/>
              </w:rPr>
            </w:pPr>
          </w:p>
        </w:tc>
        <w:tc>
          <w:tcPr>
            <w:tcW w:w="438" w:type="pct"/>
            <w:vMerge w:val="restart"/>
            <w:tcBorders>
              <w:top w:val="nil"/>
              <w:left w:val="nil"/>
              <w:bottom w:val="single" w:sz="4" w:space="0" w:color="000000"/>
              <w:right w:val="nil"/>
            </w:tcBorders>
            <w:shd w:val="clear" w:color="auto" w:fill="auto"/>
            <w:vAlign w:val="center"/>
            <w:hideMark/>
          </w:tcPr>
          <w:p w14:paraId="490FBB86" w14:textId="4D4C777E" w:rsidR="0002296B" w:rsidRPr="0002296B" w:rsidRDefault="00084694" w:rsidP="00463EB5">
            <w:pPr>
              <w:widowControl/>
              <w:autoSpaceDE/>
              <w:autoSpaceDN/>
              <w:spacing w:before="40" w:after="20"/>
              <w:jc w:val="right"/>
              <w:rPr>
                <w:rFonts w:ascii="Arial Narrow" w:eastAsia="Times New Roman" w:hAnsi="Arial Narrow" w:cs="Times New Roman"/>
                <w:color w:val="000000"/>
                <w:sz w:val="16"/>
                <w:szCs w:val="16"/>
                <w:lang w:eastAsia="it-IT"/>
              </w:rPr>
            </w:pPr>
            <w:proofErr w:type="spellStart"/>
            <w:r w:rsidRPr="00084694">
              <w:rPr>
                <w:rFonts w:ascii="Arial Narrow" w:eastAsia="Times New Roman" w:hAnsi="Arial Narrow" w:cs="Times New Roman"/>
                <w:color w:val="000000"/>
                <w:sz w:val="16"/>
                <w:szCs w:val="16"/>
                <w:lang w:eastAsia="it-IT"/>
              </w:rPr>
              <w:t>Millions</w:t>
            </w:r>
            <w:proofErr w:type="spellEnd"/>
            <w:r w:rsidRPr="00084694">
              <w:rPr>
                <w:rFonts w:ascii="Arial Narrow" w:eastAsia="Times New Roman" w:hAnsi="Arial Narrow" w:cs="Times New Roman"/>
                <w:color w:val="000000"/>
                <w:sz w:val="16"/>
                <w:szCs w:val="16"/>
                <w:lang w:eastAsia="it-IT"/>
              </w:rPr>
              <w:t xml:space="preserve"> of </w:t>
            </w:r>
            <w:proofErr w:type="spellStart"/>
            <w:r w:rsidRPr="00084694">
              <w:rPr>
                <w:rFonts w:ascii="Arial Narrow" w:eastAsia="Times New Roman" w:hAnsi="Arial Narrow" w:cs="Times New Roman"/>
                <w:color w:val="000000"/>
                <w:sz w:val="16"/>
                <w:szCs w:val="16"/>
                <w:lang w:eastAsia="it-IT"/>
              </w:rPr>
              <w:t>current</w:t>
            </w:r>
            <w:proofErr w:type="spellEnd"/>
            <w:r w:rsidRPr="00084694">
              <w:rPr>
                <w:rFonts w:ascii="Arial Narrow" w:eastAsia="Times New Roman" w:hAnsi="Arial Narrow" w:cs="Times New Roman"/>
                <w:color w:val="000000"/>
                <w:sz w:val="16"/>
                <w:szCs w:val="16"/>
                <w:lang w:eastAsia="it-IT"/>
              </w:rPr>
              <w:t xml:space="preserve"> euro</w:t>
            </w:r>
          </w:p>
        </w:tc>
        <w:tc>
          <w:tcPr>
            <w:tcW w:w="419" w:type="pct"/>
            <w:vMerge w:val="restart"/>
            <w:tcBorders>
              <w:top w:val="nil"/>
              <w:left w:val="nil"/>
              <w:bottom w:val="single" w:sz="4" w:space="0" w:color="000000"/>
              <w:right w:val="nil"/>
            </w:tcBorders>
            <w:shd w:val="clear" w:color="auto" w:fill="auto"/>
            <w:vAlign w:val="center"/>
            <w:hideMark/>
          </w:tcPr>
          <w:p w14:paraId="7B99D0A1" w14:textId="11483ABA" w:rsidR="0002296B" w:rsidRPr="0002296B" w:rsidRDefault="00084694" w:rsidP="00463EB5">
            <w:pPr>
              <w:widowControl/>
              <w:autoSpaceDE/>
              <w:autoSpaceDN/>
              <w:spacing w:before="40" w:after="20"/>
              <w:jc w:val="right"/>
              <w:rPr>
                <w:rFonts w:ascii="Arial Narrow" w:eastAsia="Times New Roman" w:hAnsi="Arial Narrow" w:cs="Times New Roman"/>
                <w:color w:val="000000"/>
                <w:sz w:val="16"/>
                <w:szCs w:val="16"/>
                <w:lang w:eastAsia="it-IT"/>
              </w:rPr>
            </w:pPr>
            <w:proofErr w:type="spellStart"/>
            <w:r w:rsidRPr="00084694">
              <w:rPr>
                <w:rFonts w:ascii="Arial Narrow" w:eastAsia="Times New Roman" w:hAnsi="Arial Narrow" w:cs="Times New Roman"/>
                <w:color w:val="000000"/>
                <w:sz w:val="16"/>
                <w:szCs w:val="16"/>
                <w:lang w:eastAsia="it-IT"/>
              </w:rPr>
              <w:t>Changes</w:t>
            </w:r>
            <w:proofErr w:type="spellEnd"/>
            <w:r w:rsidRPr="00084694">
              <w:rPr>
                <w:rFonts w:ascii="Arial Narrow" w:eastAsia="Times New Roman" w:hAnsi="Arial Narrow" w:cs="Times New Roman"/>
                <w:color w:val="000000"/>
                <w:sz w:val="16"/>
                <w:szCs w:val="16"/>
                <w:lang w:eastAsia="it-IT"/>
              </w:rPr>
              <w:t xml:space="preserve"> % in Value</w:t>
            </w:r>
          </w:p>
        </w:tc>
        <w:tc>
          <w:tcPr>
            <w:tcW w:w="440" w:type="pct"/>
            <w:vMerge w:val="restart"/>
            <w:tcBorders>
              <w:top w:val="nil"/>
              <w:left w:val="nil"/>
              <w:bottom w:val="nil"/>
              <w:right w:val="nil"/>
            </w:tcBorders>
            <w:shd w:val="clear" w:color="auto" w:fill="auto"/>
            <w:vAlign w:val="center"/>
            <w:hideMark/>
          </w:tcPr>
          <w:p w14:paraId="56E59F3B" w14:textId="696F5038" w:rsidR="0002296B" w:rsidRPr="0002296B" w:rsidRDefault="00084694" w:rsidP="00463EB5">
            <w:pPr>
              <w:widowControl/>
              <w:autoSpaceDE/>
              <w:autoSpaceDN/>
              <w:spacing w:before="40" w:after="20"/>
              <w:jc w:val="right"/>
              <w:rPr>
                <w:rFonts w:ascii="Arial Narrow" w:eastAsia="Times New Roman" w:hAnsi="Arial Narrow" w:cs="Times New Roman"/>
                <w:color w:val="000000"/>
                <w:sz w:val="16"/>
                <w:szCs w:val="16"/>
                <w:lang w:eastAsia="it-IT"/>
              </w:rPr>
            </w:pPr>
            <w:proofErr w:type="spellStart"/>
            <w:r w:rsidRPr="00084694">
              <w:rPr>
                <w:rFonts w:ascii="Arial Narrow" w:eastAsia="Times New Roman" w:hAnsi="Arial Narrow" w:cs="Times New Roman"/>
                <w:color w:val="000000"/>
                <w:sz w:val="16"/>
                <w:szCs w:val="16"/>
                <w:lang w:eastAsia="it-IT"/>
              </w:rPr>
              <w:t>Changes</w:t>
            </w:r>
            <w:proofErr w:type="spellEnd"/>
            <w:r w:rsidRPr="00084694">
              <w:rPr>
                <w:rFonts w:ascii="Arial Narrow" w:eastAsia="Times New Roman" w:hAnsi="Arial Narrow" w:cs="Times New Roman"/>
                <w:color w:val="000000"/>
                <w:sz w:val="16"/>
                <w:szCs w:val="16"/>
                <w:lang w:eastAsia="it-IT"/>
              </w:rPr>
              <w:t xml:space="preserve"> % in Volume</w:t>
            </w:r>
          </w:p>
        </w:tc>
        <w:tc>
          <w:tcPr>
            <w:tcW w:w="440" w:type="pct"/>
            <w:vMerge w:val="restart"/>
            <w:tcBorders>
              <w:top w:val="nil"/>
              <w:left w:val="nil"/>
              <w:bottom w:val="nil"/>
              <w:right w:val="nil"/>
            </w:tcBorders>
            <w:shd w:val="clear" w:color="auto" w:fill="auto"/>
            <w:vAlign w:val="center"/>
            <w:hideMark/>
          </w:tcPr>
          <w:p w14:paraId="421A8641" w14:textId="20CDC47A" w:rsidR="0002296B" w:rsidRPr="00084694" w:rsidRDefault="00084694" w:rsidP="00463EB5">
            <w:pPr>
              <w:widowControl/>
              <w:autoSpaceDE/>
              <w:autoSpaceDN/>
              <w:spacing w:before="40" w:after="20"/>
              <w:jc w:val="right"/>
              <w:rPr>
                <w:rFonts w:ascii="Arial Narrow" w:eastAsia="Times New Roman" w:hAnsi="Arial Narrow" w:cs="Times New Roman"/>
                <w:color w:val="000000"/>
                <w:sz w:val="16"/>
                <w:szCs w:val="16"/>
                <w:lang w:val="en-US" w:eastAsia="it-IT"/>
              </w:rPr>
            </w:pPr>
            <w:r w:rsidRPr="00084694">
              <w:rPr>
                <w:rFonts w:ascii="Arial Narrow" w:eastAsia="Times New Roman" w:hAnsi="Arial Narrow" w:cs="Times New Roman"/>
                <w:color w:val="000000"/>
                <w:sz w:val="16"/>
                <w:szCs w:val="16"/>
                <w:lang w:val="en-US" w:eastAsia="it-IT"/>
              </w:rPr>
              <w:t xml:space="preserve">% </w:t>
            </w:r>
            <w:proofErr w:type="gramStart"/>
            <w:r w:rsidRPr="00084694">
              <w:rPr>
                <w:rFonts w:ascii="Arial Narrow" w:eastAsia="Times New Roman" w:hAnsi="Arial Narrow" w:cs="Times New Roman"/>
                <w:color w:val="000000"/>
                <w:sz w:val="16"/>
                <w:szCs w:val="16"/>
                <w:lang w:val="en-US" w:eastAsia="it-IT"/>
              </w:rPr>
              <w:t>share</w:t>
            </w:r>
            <w:proofErr w:type="gramEnd"/>
            <w:r w:rsidRPr="00084694">
              <w:rPr>
                <w:rFonts w:ascii="Arial Narrow" w:eastAsia="Times New Roman" w:hAnsi="Arial Narrow" w:cs="Times New Roman"/>
                <w:color w:val="000000"/>
                <w:sz w:val="16"/>
                <w:szCs w:val="16"/>
                <w:lang w:val="en-US" w:eastAsia="it-IT"/>
              </w:rPr>
              <w:t xml:space="preserve"> of the total economy</w:t>
            </w:r>
          </w:p>
        </w:tc>
      </w:tr>
      <w:tr w:rsidR="000146B8" w:rsidRPr="00463EB5" w14:paraId="006691A2" w14:textId="77777777" w:rsidTr="000146B8">
        <w:trPr>
          <w:trHeight w:val="238"/>
        </w:trPr>
        <w:tc>
          <w:tcPr>
            <w:tcW w:w="1432" w:type="pct"/>
            <w:vMerge/>
            <w:tcBorders>
              <w:top w:val="single" w:sz="4" w:space="0" w:color="000000"/>
              <w:left w:val="nil"/>
              <w:bottom w:val="single" w:sz="4" w:space="0" w:color="000000"/>
              <w:right w:val="nil"/>
            </w:tcBorders>
            <w:vAlign w:val="center"/>
            <w:hideMark/>
          </w:tcPr>
          <w:p w14:paraId="44AECB98" w14:textId="77777777" w:rsidR="0002296B" w:rsidRPr="00084694" w:rsidRDefault="0002296B" w:rsidP="00463EB5">
            <w:pPr>
              <w:widowControl/>
              <w:autoSpaceDE/>
              <w:autoSpaceDN/>
              <w:spacing w:before="40" w:after="20"/>
              <w:rPr>
                <w:rFonts w:ascii="Arial Narrow" w:eastAsia="Times New Roman" w:hAnsi="Arial Narrow" w:cs="Times New Roman"/>
                <w:b/>
                <w:bCs/>
                <w:sz w:val="16"/>
                <w:szCs w:val="16"/>
                <w:lang w:val="en-US" w:eastAsia="it-IT"/>
              </w:rPr>
            </w:pPr>
          </w:p>
        </w:tc>
        <w:tc>
          <w:tcPr>
            <w:tcW w:w="480" w:type="pct"/>
            <w:vMerge/>
            <w:tcBorders>
              <w:top w:val="nil"/>
              <w:left w:val="nil"/>
              <w:bottom w:val="single" w:sz="4" w:space="0" w:color="000000"/>
              <w:right w:val="nil"/>
            </w:tcBorders>
            <w:vAlign w:val="center"/>
            <w:hideMark/>
          </w:tcPr>
          <w:p w14:paraId="00C561A3" w14:textId="77777777" w:rsidR="0002296B" w:rsidRPr="00084694" w:rsidRDefault="0002296B" w:rsidP="00463EB5">
            <w:pPr>
              <w:widowControl/>
              <w:autoSpaceDE/>
              <w:autoSpaceDN/>
              <w:spacing w:before="40" w:after="20"/>
              <w:rPr>
                <w:rFonts w:ascii="Arial Narrow" w:eastAsia="Times New Roman" w:hAnsi="Arial Narrow" w:cs="Times New Roman"/>
                <w:color w:val="000000"/>
                <w:sz w:val="16"/>
                <w:szCs w:val="16"/>
                <w:lang w:val="en-US" w:eastAsia="it-IT"/>
              </w:rPr>
            </w:pPr>
          </w:p>
        </w:tc>
        <w:tc>
          <w:tcPr>
            <w:tcW w:w="441" w:type="pct"/>
            <w:vMerge/>
            <w:tcBorders>
              <w:top w:val="nil"/>
              <w:left w:val="nil"/>
              <w:bottom w:val="single" w:sz="4" w:space="0" w:color="000000"/>
              <w:right w:val="nil"/>
            </w:tcBorders>
            <w:vAlign w:val="center"/>
            <w:hideMark/>
          </w:tcPr>
          <w:p w14:paraId="2F3F4E68" w14:textId="77777777" w:rsidR="0002296B" w:rsidRPr="00084694" w:rsidRDefault="0002296B" w:rsidP="00463EB5">
            <w:pPr>
              <w:widowControl/>
              <w:autoSpaceDE/>
              <w:autoSpaceDN/>
              <w:spacing w:before="40" w:after="20"/>
              <w:rPr>
                <w:rFonts w:ascii="Arial Narrow" w:eastAsia="Times New Roman" w:hAnsi="Arial Narrow" w:cs="Times New Roman"/>
                <w:color w:val="000000"/>
                <w:sz w:val="16"/>
                <w:szCs w:val="16"/>
                <w:lang w:val="en-US" w:eastAsia="it-IT"/>
              </w:rPr>
            </w:pPr>
          </w:p>
        </w:tc>
        <w:tc>
          <w:tcPr>
            <w:tcW w:w="441" w:type="pct"/>
            <w:vMerge/>
            <w:tcBorders>
              <w:top w:val="nil"/>
              <w:left w:val="nil"/>
              <w:bottom w:val="nil"/>
              <w:right w:val="nil"/>
            </w:tcBorders>
            <w:vAlign w:val="center"/>
            <w:hideMark/>
          </w:tcPr>
          <w:p w14:paraId="2AAFBB5C" w14:textId="77777777" w:rsidR="0002296B" w:rsidRPr="00084694" w:rsidRDefault="0002296B" w:rsidP="00463EB5">
            <w:pPr>
              <w:widowControl/>
              <w:autoSpaceDE/>
              <w:autoSpaceDN/>
              <w:spacing w:before="40" w:after="20"/>
              <w:rPr>
                <w:rFonts w:ascii="Arial Narrow" w:eastAsia="Times New Roman" w:hAnsi="Arial Narrow" w:cs="Times New Roman"/>
                <w:color w:val="000000"/>
                <w:sz w:val="16"/>
                <w:szCs w:val="16"/>
                <w:lang w:val="en-US" w:eastAsia="it-IT"/>
              </w:rPr>
            </w:pPr>
          </w:p>
        </w:tc>
        <w:tc>
          <w:tcPr>
            <w:tcW w:w="369" w:type="pct"/>
            <w:vMerge/>
            <w:tcBorders>
              <w:top w:val="nil"/>
              <w:left w:val="nil"/>
              <w:bottom w:val="nil"/>
              <w:right w:val="nil"/>
            </w:tcBorders>
            <w:vAlign w:val="center"/>
            <w:hideMark/>
          </w:tcPr>
          <w:p w14:paraId="32B373A7" w14:textId="77777777" w:rsidR="0002296B" w:rsidRPr="00084694" w:rsidRDefault="0002296B" w:rsidP="00463EB5">
            <w:pPr>
              <w:widowControl/>
              <w:autoSpaceDE/>
              <w:autoSpaceDN/>
              <w:spacing w:before="40" w:after="20"/>
              <w:rPr>
                <w:rFonts w:ascii="Arial Narrow" w:eastAsia="Times New Roman" w:hAnsi="Arial Narrow" w:cs="Times New Roman"/>
                <w:color w:val="000000"/>
                <w:sz w:val="16"/>
                <w:szCs w:val="16"/>
                <w:lang w:val="en-US" w:eastAsia="it-IT"/>
              </w:rPr>
            </w:pPr>
          </w:p>
        </w:tc>
        <w:tc>
          <w:tcPr>
            <w:tcW w:w="100" w:type="pct"/>
            <w:tcBorders>
              <w:top w:val="nil"/>
              <w:left w:val="nil"/>
              <w:bottom w:val="nil"/>
              <w:right w:val="nil"/>
            </w:tcBorders>
            <w:shd w:val="clear" w:color="auto" w:fill="auto"/>
            <w:vAlign w:val="center"/>
            <w:hideMark/>
          </w:tcPr>
          <w:p w14:paraId="2968AAD8" w14:textId="77777777" w:rsidR="0002296B" w:rsidRPr="00084694" w:rsidRDefault="0002296B" w:rsidP="00463EB5">
            <w:pPr>
              <w:widowControl/>
              <w:autoSpaceDE/>
              <w:autoSpaceDN/>
              <w:spacing w:before="40" w:after="20"/>
              <w:jc w:val="right"/>
              <w:rPr>
                <w:rFonts w:ascii="Arial Narrow" w:eastAsia="Times New Roman" w:hAnsi="Arial Narrow" w:cs="Times New Roman"/>
                <w:color w:val="000000"/>
                <w:sz w:val="16"/>
                <w:szCs w:val="16"/>
                <w:lang w:val="en-US" w:eastAsia="it-IT"/>
              </w:rPr>
            </w:pPr>
          </w:p>
        </w:tc>
        <w:tc>
          <w:tcPr>
            <w:tcW w:w="438" w:type="pct"/>
            <w:vMerge/>
            <w:tcBorders>
              <w:top w:val="nil"/>
              <w:left w:val="nil"/>
              <w:bottom w:val="single" w:sz="4" w:space="0" w:color="000000"/>
              <w:right w:val="nil"/>
            </w:tcBorders>
            <w:vAlign w:val="center"/>
            <w:hideMark/>
          </w:tcPr>
          <w:p w14:paraId="2F6EE225" w14:textId="77777777" w:rsidR="0002296B" w:rsidRPr="00084694" w:rsidRDefault="0002296B" w:rsidP="00463EB5">
            <w:pPr>
              <w:widowControl/>
              <w:autoSpaceDE/>
              <w:autoSpaceDN/>
              <w:spacing w:before="40" w:after="20"/>
              <w:rPr>
                <w:rFonts w:ascii="Arial Narrow" w:eastAsia="Times New Roman" w:hAnsi="Arial Narrow" w:cs="Times New Roman"/>
                <w:color w:val="000000"/>
                <w:sz w:val="16"/>
                <w:szCs w:val="16"/>
                <w:lang w:val="en-US" w:eastAsia="it-IT"/>
              </w:rPr>
            </w:pPr>
          </w:p>
        </w:tc>
        <w:tc>
          <w:tcPr>
            <w:tcW w:w="419" w:type="pct"/>
            <w:vMerge/>
            <w:tcBorders>
              <w:top w:val="nil"/>
              <w:left w:val="nil"/>
              <w:bottom w:val="single" w:sz="4" w:space="0" w:color="000000"/>
              <w:right w:val="nil"/>
            </w:tcBorders>
            <w:vAlign w:val="center"/>
            <w:hideMark/>
          </w:tcPr>
          <w:p w14:paraId="4BE67414" w14:textId="77777777" w:rsidR="0002296B" w:rsidRPr="00084694" w:rsidRDefault="0002296B" w:rsidP="00463EB5">
            <w:pPr>
              <w:widowControl/>
              <w:autoSpaceDE/>
              <w:autoSpaceDN/>
              <w:spacing w:before="40" w:after="20"/>
              <w:rPr>
                <w:rFonts w:ascii="Arial Narrow" w:eastAsia="Times New Roman" w:hAnsi="Arial Narrow" w:cs="Times New Roman"/>
                <w:color w:val="000000"/>
                <w:sz w:val="16"/>
                <w:szCs w:val="16"/>
                <w:lang w:val="en-US" w:eastAsia="it-IT"/>
              </w:rPr>
            </w:pPr>
          </w:p>
        </w:tc>
        <w:tc>
          <w:tcPr>
            <w:tcW w:w="440" w:type="pct"/>
            <w:vMerge/>
            <w:tcBorders>
              <w:top w:val="nil"/>
              <w:left w:val="nil"/>
              <w:bottom w:val="nil"/>
              <w:right w:val="nil"/>
            </w:tcBorders>
            <w:vAlign w:val="center"/>
            <w:hideMark/>
          </w:tcPr>
          <w:p w14:paraId="63000229" w14:textId="77777777" w:rsidR="0002296B" w:rsidRPr="00084694" w:rsidRDefault="0002296B" w:rsidP="00463EB5">
            <w:pPr>
              <w:widowControl/>
              <w:autoSpaceDE/>
              <w:autoSpaceDN/>
              <w:spacing w:before="40" w:after="20"/>
              <w:rPr>
                <w:rFonts w:ascii="Arial Narrow" w:eastAsia="Times New Roman" w:hAnsi="Arial Narrow" w:cs="Times New Roman"/>
                <w:color w:val="000000"/>
                <w:sz w:val="16"/>
                <w:szCs w:val="16"/>
                <w:lang w:val="en-US" w:eastAsia="it-IT"/>
              </w:rPr>
            </w:pPr>
          </w:p>
        </w:tc>
        <w:tc>
          <w:tcPr>
            <w:tcW w:w="440" w:type="pct"/>
            <w:vMerge/>
            <w:tcBorders>
              <w:top w:val="nil"/>
              <w:left w:val="nil"/>
              <w:bottom w:val="nil"/>
              <w:right w:val="nil"/>
            </w:tcBorders>
            <w:vAlign w:val="center"/>
            <w:hideMark/>
          </w:tcPr>
          <w:p w14:paraId="125FCDCB" w14:textId="77777777" w:rsidR="0002296B" w:rsidRPr="00084694" w:rsidRDefault="0002296B" w:rsidP="00463EB5">
            <w:pPr>
              <w:widowControl/>
              <w:autoSpaceDE/>
              <w:autoSpaceDN/>
              <w:spacing w:before="40" w:after="20"/>
              <w:rPr>
                <w:rFonts w:ascii="Arial Narrow" w:eastAsia="Times New Roman" w:hAnsi="Arial Narrow" w:cs="Times New Roman"/>
                <w:color w:val="000000"/>
                <w:sz w:val="16"/>
                <w:szCs w:val="16"/>
                <w:lang w:val="en-US" w:eastAsia="it-IT"/>
              </w:rPr>
            </w:pPr>
          </w:p>
        </w:tc>
      </w:tr>
      <w:tr w:rsidR="000146B8" w:rsidRPr="0002296B" w14:paraId="78457672" w14:textId="77777777" w:rsidTr="000146B8">
        <w:trPr>
          <w:trHeight w:val="238"/>
        </w:trPr>
        <w:tc>
          <w:tcPr>
            <w:tcW w:w="1432" w:type="pct"/>
            <w:tcBorders>
              <w:top w:val="nil"/>
              <w:left w:val="nil"/>
              <w:bottom w:val="nil"/>
              <w:right w:val="nil"/>
            </w:tcBorders>
            <w:shd w:val="clear" w:color="000000" w:fill="FFFFFF"/>
            <w:noWrap/>
            <w:vAlign w:val="center"/>
            <w:hideMark/>
          </w:tcPr>
          <w:p w14:paraId="79ED9FC2" w14:textId="3793F7E3" w:rsidR="0002296B" w:rsidRPr="0002296B" w:rsidRDefault="00084694" w:rsidP="00463EB5">
            <w:pPr>
              <w:widowControl/>
              <w:autoSpaceDE/>
              <w:autoSpaceDN/>
              <w:spacing w:before="40" w:after="20"/>
              <w:rPr>
                <w:rFonts w:ascii="Arial Narrow" w:eastAsia="Times New Roman" w:hAnsi="Arial Narrow" w:cs="Times New Roman"/>
                <w:sz w:val="16"/>
                <w:szCs w:val="16"/>
                <w:lang w:eastAsia="it-IT"/>
              </w:rPr>
            </w:pPr>
            <w:proofErr w:type="spellStart"/>
            <w:r w:rsidRPr="00084694">
              <w:rPr>
                <w:rFonts w:ascii="Arial Narrow" w:eastAsia="Times New Roman" w:hAnsi="Arial Narrow" w:cs="Times New Roman"/>
                <w:sz w:val="16"/>
                <w:szCs w:val="16"/>
                <w:lang w:eastAsia="it-IT"/>
              </w:rPr>
              <w:t>Agriculture</w:t>
            </w:r>
            <w:proofErr w:type="spellEnd"/>
            <w:r w:rsidRPr="00084694">
              <w:rPr>
                <w:rFonts w:ascii="Arial Narrow" w:eastAsia="Times New Roman" w:hAnsi="Arial Narrow" w:cs="Times New Roman"/>
                <w:sz w:val="16"/>
                <w:szCs w:val="16"/>
                <w:lang w:eastAsia="it-IT"/>
              </w:rPr>
              <w:t xml:space="preserve">, </w:t>
            </w:r>
            <w:proofErr w:type="spellStart"/>
            <w:r w:rsidRPr="00084694">
              <w:rPr>
                <w:rFonts w:ascii="Arial Narrow" w:eastAsia="Times New Roman" w:hAnsi="Arial Narrow" w:cs="Times New Roman"/>
                <w:sz w:val="16"/>
                <w:szCs w:val="16"/>
                <w:lang w:eastAsia="it-IT"/>
              </w:rPr>
              <w:t>forestry</w:t>
            </w:r>
            <w:proofErr w:type="spellEnd"/>
            <w:r w:rsidRPr="00084694">
              <w:rPr>
                <w:rFonts w:ascii="Arial Narrow" w:eastAsia="Times New Roman" w:hAnsi="Arial Narrow" w:cs="Times New Roman"/>
                <w:sz w:val="16"/>
                <w:szCs w:val="16"/>
                <w:lang w:eastAsia="it-IT"/>
              </w:rPr>
              <w:t xml:space="preserve"> and fishing</w:t>
            </w:r>
          </w:p>
        </w:tc>
        <w:tc>
          <w:tcPr>
            <w:tcW w:w="480" w:type="pct"/>
            <w:tcBorders>
              <w:top w:val="nil"/>
              <w:left w:val="nil"/>
              <w:bottom w:val="nil"/>
              <w:right w:val="nil"/>
            </w:tcBorders>
            <w:shd w:val="clear" w:color="auto" w:fill="D9D9D9" w:themeFill="background1" w:themeFillShade="D9"/>
            <w:noWrap/>
            <w:vAlign w:val="center"/>
            <w:hideMark/>
          </w:tcPr>
          <w:p w14:paraId="2C16C041"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33.303</w:t>
            </w:r>
          </w:p>
        </w:tc>
        <w:tc>
          <w:tcPr>
            <w:tcW w:w="441" w:type="pct"/>
            <w:tcBorders>
              <w:top w:val="nil"/>
              <w:left w:val="nil"/>
              <w:bottom w:val="single" w:sz="4" w:space="0" w:color="auto"/>
              <w:right w:val="nil"/>
            </w:tcBorders>
            <w:shd w:val="clear" w:color="auto" w:fill="auto"/>
            <w:noWrap/>
            <w:vAlign w:val="center"/>
            <w:hideMark/>
          </w:tcPr>
          <w:p w14:paraId="7FDA3954"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-2,8</w:t>
            </w:r>
          </w:p>
        </w:tc>
        <w:tc>
          <w:tcPr>
            <w:tcW w:w="441" w:type="pct"/>
            <w:tcBorders>
              <w:top w:val="single" w:sz="4" w:space="0" w:color="auto"/>
              <w:left w:val="nil"/>
              <w:bottom w:val="single" w:sz="4" w:space="0" w:color="auto"/>
              <w:right w:val="nil"/>
            </w:tcBorders>
            <w:shd w:val="clear" w:color="auto" w:fill="D9D9D9" w:themeFill="background1" w:themeFillShade="D9"/>
            <w:noWrap/>
            <w:vAlign w:val="center"/>
            <w:hideMark/>
          </w:tcPr>
          <w:p w14:paraId="71D642CC"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-4,7</w:t>
            </w:r>
          </w:p>
        </w:tc>
        <w:tc>
          <w:tcPr>
            <w:tcW w:w="369" w:type="pct"/>
            <w:tcBorders>
              <w:top w:val="single" w:sz="4" w:space="0" w:color="auto"/>
              <w:left w:val="nil"/>
              <w:bottom w:val="single" w:sz="4" w:space="0" w:color="auto"/>
              <w:right w:val="nil"/>
            </w:tcBorders>
            <w:shd w:val="clear" w:color="auto" w:fill="auto"/>
            <w:noWrap/>
            <w:vAlign w:val="center"/>
            <w:hideMark/>
          </w:tcPr>
          <w:p w14:paraId="43CD92E8"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2,2</w:t>
            </w:r>
          </w:p>
        </w:tc>
        <w:tc>
          <w:tcPr>
            <w:tcW w:w="100" w:type="pct"/>
            <w:tcBorders>
              <w:top w:val="nil"/>
              <w:left w:val="nil"/>
              <w:bottom w:val="nil"/>
              <w:right w:val="nil"/>
            </w:tcBorders>
            <w:shd w:val="clear" w:color="auto" w:fill="auto"/>
            <w:noWrap/>
            <w:vAlign w:val="center"/>
            <w:hideMark/>
          </w:tcPr>
          <w:p w14:paraId="40899F6E"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p>
        </w:tc>
        <w:tc>
          <w:tcPr>
            <w:tcW w:w="438" w:type="pct"/>
            <w:tcBorders>
              <w:top w:val="nil"/>
              <w:left w:val="nil"/>
              <w:bottom w:val="nil"/>
              <w:right w:val="nil"/>
            </w:tcBorders>
            <w:shd w:val="clear" w:color="auto" w:fill="D9D9D9" w:themeFill="background1" w:themeFillShade="D9"/>
            <w:noWrap/>
            <w:vAlign w:val="center"/>
            <w:hideMark/>
          </w:tcPr>
          <w:p w14:paraId="7AB60DEF"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34.756</w:t>
            </w:r>
          </w:p>
        </w:tc>
        <w:tc>
          <w:tcPr>
            <w:tcW w:w="419" w:type="pct"/>
            <w:tcBorders>
              <w:top w:val="nil"/>
              <w:left w:val="nil"/>
              <w:bottom w:val="single" w:sz="4" w:space="0" w:color="auto"/>
              <w:right w:val="nil"/>
            </w:tcBorders>
            <w:shd w:val="clear" w:color="auto" w:fill="auto"/>
            <w:noWrap/>
            <w:vAlign w:val="center"/>
            <w:hideMark/>
          </w:tcPr>
          <w:p w14:paraId="354174E6" w14:textId="4F87A0B9" w:rsidR="0002296B" w:rsidRPr="00BA2C89" w:rsidRDefault="00A02C24"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w:t>
            </w:r>
            <w:r w:rsidR="0002296B" w:rsidRPr="00BA2C89">
              <w:rPr>
                <w:rFonts w:ascii="Arial Narrow" w:eastAsia="Times New Roman" w:hAnsi="Arial Narrow" w:cs="Times New Roman"/>
                <w:sz w:val="18"/>
                <w:szCs w:val="18"/>
                <w:lang w:eastAsia="it-IT"/>
              </w:rPr>
              <w:t>4,4</w:t>
            </w:r>
          </w:p>
        </w:tc>
        <w:tc>
          <w:tcPr>
            <w:tcW w:w="440" w:type="pct"/>
            <w:tcBorders>
              <w:top w:val="single" w:sz="4" w:space="0" w:color="auto"/>
              <w:left w:val="nil"/>
              <w:bottom w:val="single" w:sz="4" w:space="0" w:color="auto"/>
              <w:right w:val="nil"/>
            </w:tcBorders>
            <w:shd w:val="clear" w:color="auto" w:fill="D9D9D9" w:themeFill="background1" w:themeFillShade="D9"/>
            <w:noWrap/>
            <w:vAlign w:val="center"/>
            <w:hideMark/>
          </w:tcPr>
          <w:p w14:paraId="2B2E64C3"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-0,8</w:t>
            </w:r>
          </w:p>
        </w:tc>
        <w:tc>
          <w:tcPr>
            <w:tcW w:w="440" w:type="pct"/>
            <w:tcBorders>
              <w:top w:val="single" w:sz="4" w:space="0" w:color="auto"/>
              <w:left w:val="nil"/>
              <w:bottom w:val="single" w:sz="4" w:space="0" w:color="auto"/>
              <w:right w:val="nil"/>
            </w:tcBorders>
            <w:shd w:val="clear" w:color="auto" w:fill="auto"/>
            <w:noWrap/>
            <w:vAlign w:val="center"/>
            <w:hideMark/>
          </w:tcPr>
          <w:p w14:paraId="2DDC5213"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2,2</w:t>
            </w:r>
          </w:p>
        </w:tc>
      </w:tr>
      <w:tr w:rsidR="000146B8" w:rsidRPr="0002296B" w14:paraId="711BFF1C" w14:textId="77777777" w:rsidTr="000146B8">
        <w:trPr>
          <w:trHeight w:val="238"/>
        </w:trPr>
        <w:tc>
          <w:tcPr>
            <w:tcW w:w="1432" w:type="pct"/>
            <w:tcBorders>
              <w:top w:val="single" w:sz="4" w:space="0" w:color="auto"/>
              <w:left w:val="nil"/>
              <w:bottom w:val="single" w:sz="4" w:space="0" w:color="auto"/>
              <w:right w:val="nil"/>
            </w:tcBorders>
            <w:shd w:val="clear" w:color="000000" w:fill="FFFFFF"/>
            <w:noWrap/>
            <w:vAlign w:val="center"/>
            <w:hideMark/>
          </w:tcPr>
          <w:p w14:paraId="1BDDE190" w14:textId="21F3041C" w:rsidR="0002296B" w:rsidRPr="0002296B" w:rsidRDefault="00084694" w:rsidP="00463EB5">
            <w:pPr>
              <w:widowControl/>
              <w:autoSpaceDE/>
              <w:autoSpaceDN/>
              <w:spacing w:before="40" w:after="20"/>
              <w:rPr>
                <w:rFonts w:ascii="Arial Narrow" w:eastAsia="Times New Roman" w:hAnsi="Arial Narrow" w:cs="Times New Roman"/>
                <w:sz w:val="16"/>
                <w:szCs w:val="16"/>
                <w:lang w:eastAsia="it-IT"/>
              </w:rPr>
            </w:pPr>
            <w:r w:rsidRPr="00084694">
              <w:rPr>
                <w:rFonts w:ascii="Arial Narrow" w:eastAsia="Times New Roman" w:hAnsi="Arial Narrow" w:cs="Times New Roman"/>
                <w:sz w:val="16"/>
                <w:szCs w:val="16"/>
                <w:lang w:eastAsia="it-IT"/>
              </w:rPr>
              <w:t>Industry</w:t>
            </w:r>
          </w:p>
        </w:tc>
        <w:tc>
          <w:tcPr>
            <w:tcW w:w="480" w:type="pct"/>
            <w:tcBorders>
              <w:top w:val="single" w:sz="4" w:space="0" w:color="auto"/>
              <w:left w:val="nil"/>
              <w:bottom w:val="single" w:sz="4" w:space="0" w:color="auto"/>
              <w:right w:val="nil"/>
            </w:tcBorders>
            <w:shd w:val="clear" w:color="auto" w:fill="D9D9D9" w:themeFill="background1" w:themeFillShade="D9"/>
            <w:noWrap/>
            <w:vAlign w:val="center"/>
            <w:hideMark/>
          </w:tcPr>
          <w:p w14:paraId="2A230564"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292.171</w:t>
            </w:r>
          </w:p>
        </w:tc>
        <w:tc>
          <w:tcPr>
            <w:tcW w:w="441" w:type="pct"/>
            <w:tcBorders>
              <w:top w:val="nil"/>
              <w:left w:val="nil"/>
              <w:bottom w:val="single" w:sz="4" w:space="0" w:color="auto"/>
              <w:right w:val="nil"/>
            </w:tcBorders>
            <w:shd w:val="clear" w:color="auto" w:fill="auto"/>
            <w:noWrap/>
            <w:vAlign w:val="center"/>
            <w:hideMark/>
          </w:tcPr>
          <w:p w14:paraId="1C928A06"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-7,9</w:t>
            </w:r>
          </w:p>
        </w:tc>
        <w:tc>
          <w:tcPr>
            <w:tcW w:w="441" w:type="pct"/>
            <w:tcBorders>
              <w:top w:val="nil"/>
              <w:left w:val="nil"/>
              <w:bottom w:val="single" w:sz="4" w:space="0" w:color="auto"/>
              <w:right w:val="nil"/>
            </w:tcBorders>
            <w:shd w:val="clear" w:color="auto" w:fill="D9D9D9" w:themeFill="background1" w:themeFillShade="D9"/>
            <w:noWrap/>
            <w:vAlign w:val="center"/>
            <w:hideMark/>
          </w:tcPr>
          <w:p w14:paraId="3CC5C09A"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-11,2</w:t>
            </w:r>
          </w:p>
        </w:tc>
        <w:tc>
          <w:tcPr>
            <w:tcW w:w="369" w:type="pct"/>
            <w:tcBorders>
              <w:top w:val="nil"/>
              <w:left w:val="nil"/>
              <w:bottom w:val="single" w:sz="4" w:space="0" w:color="auto"/>
              <w:right w:val="nil"/>
            </w:tcBorders>
            <w:shd w:val="clear" w:color="auto" w:fill="auto"/>
            <w:noWrap/>
            <w:vAlign w:val="center"/>
            <w:hideMark/>
          </w:tcPr>
          <w:p w14:paraId="097AA52C"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19,5</w:t>
            </w:r>
          </w:p>
        </w:tc>
        <w:tc>
          <w:tcPr>
            <w:tcW w:w="100" w:type="pct"/>
            <w:tcBorders>
              <w:top w:val="nil"/>
              <w:left w:val="nil"/>
              <w:bottom w:val="nil"/>
              <w:right w:val="nil"/>
            </w:tcBorders>
            <w:shd w:val="clear" w:color="auto" w:fill="auto"/>
            <w:noWrap/>
            <w:vAlign w:val="center"/>
            <w:hideMark/>
          </w:tcPr>
          <w:p w14:paraId="411F3890"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p>
        </w:tc>
        <w:tc>
          <w:tcPr>
            <w:tcW w:w="438" w:type="pct"/>
            <w:tcBorders>
              <w:top w:val="single" w:sz="4" w:space="0" w:color="auto"/>
              <w:left w:val="nil"/>
              <w:bottom w:val="single" w:sz="4" w:space="0" w:color="auto"/>
              <w:right w:val="nil"/>
            </w:tcBorders>
            <w:shd w:val="clear" w:color="auto" w:fill="D9D9D9" w:themeFill="background1" w:themeFillShade="D9"/>
            <w:noWrap/>
            <w:vAlign w:val="center"/>
            <w:hideMark/>
          </w:tcPr>
          <w:p w14:paraId="65C9D343" w14:textId="7E00646D"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32</w:t>
            </w:r>
            <w:r w:rsidR="00336A4D" w:rsidRPr="00BA2C89">
              <w:rPr>
                <w:rFonts w:ascii="Arial Narrow" w:eastAsia="Times New Roman" w:hAnsi="Arial Narrow" w:cs="Times New Roman"/>
                <w:sz w:val="18"/>
                <w:szCs w:val="18"/>
                <w:lang w:eastAsia="it-IT"/>
              </w:rPr>
              <w:t>2</w:t>
            </w:r>
            <w:r w:rsidRPr="00BA2C89">
              <w:rPr>
                <w:rFonts w:ascii="Arial Narrow" w:eastAsia="Times New Roman" w:hAnsi="Arial Narrow" w:cs="Times New Roman"/>
                <w:sz w:val="18"/>
                <w:szCs w:val="18"/>
                <w:lang w:eastAsia="it-IT"/>
              </w:rPr>
              <w:t>.</w:t>
            </w:r>
            <w:r w:rsidR="00336A4D" w:rsidRPr="00BA2C89">
              <w:rPr>
                <w:rFonts w:ascii="Arial Narrow" w:eastAsia="Times New Roman" w:hAnsi="Arial Narrow" w:cs="Times New Roman"/>
                <w:sz w:val="18"/>
                <w:szCs w:val="18"/>
                <w:lang w:eastAsia="it-IT"/>
              </w:rPr>
              <w:t>275</w:t>
            </w:r>
          </w:p>
        </w:tc>
        <w:tc>
          <w:tcPr>
            <w:tcW w:w="419" w:type="pct"/>
            <w:tcBorders>
              <w:top w:val="nil"/>
              <w:left w:val="nil"/>
              <w:bottom w:val="single" w:sz="4" w:space="0" w:color="auto"/>
              <w:right w:val="nil"/>
            </w:tcBorders>
            <w:shd w:val="clear" w:color="auto" w:fill="auto"/>
            <w:noWrap/>
            <w:vAlign w:val="center"/>
            <w:hideMark/>
          </w:tcPr>
          <w:p w14:paraId="0ABAA136" w14:textId="2140E9EB" w:rsidR="0002296B" w:rsidRPr="00BA2C89" w:rsidRDefault="00A02C24"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w:t>
            </w:r>
            <w:r w:rsidR="0002296B" w:rsidRPr="00BA2C89">
              <w:rPr>
                <w:rFonts w:ascii="Arial Narrow" w:eastAsia="Times New Roman" w:hAnsi="Arial Narrow" w:cs="Times New Roman"/>
                <w:sz w:val="18"/>
                <w:szCs w:val="18"/>
                <w:lang w:eastAsia="it-IT"/>
              </w:rPr>
              <w:t>1</w:t>
            </w:r>
            <w:r w:rsidR="00336A4D" w:rsidRPr="00BA2C89">
              <w:rPr>
                <w:rFonts w:ascii="Arial Narrow" w:eastAsia="Times New Roman" w:hAnsi="Arial Narrow" w:cs="Times New Roman"/>
                <w:sz w:val="18"/>
                <w:szCs w:val="18"/>
                <w:lang w:eastAsia="it-IT"/>
              </w:rPr>
              <w:t>0</w:t>
            </w:r>
            <w:r w:rsidR="0002296B" w:rsidRPr="00BA2C89">
              <w:rPr>
                <w:rFonts w:ascii="Arial Narrow" w:eastAsia="Times New Roman" w:hAnsi="Arial Narrow" w:cs="Times New Roman"/>
                <w:sz w:val="18"/>
                <w:szCs w:val="18"/>
                <w:lang w:eastAsia="it-IT"/>
              </w:rPr>
              <w:t>,</w:t>
            </w:r>
            <w:r w:rsidR="00336A4D" w:rsidRPr="00BA2C89">
              <w:rPr>
                <w:rFonts w:ascii="Arial Narrow" w:eastAsia="Times New Roman" w:hAnsi="Arial Narrow" w:cs="Times New Roman"/>
                <w:sz w:val="18"/>
                <w:szCs w:val="18"/>
                <w:lang w:eastAsia="it-IT"/>
              </w:rPr>
              <w:t>3</w:t>
            </w:r>
          </w:p>
        </w:tc>
        <w:tc>
          <w:tcPr>
            <w:tcW w:w="440" w:type="pct"/>
            <w:tcBorders>
              <w:top w:val="nil"/>
              <w:left w:val="nil"/>
              <w:bottom w:val="single" w:sz="4" w:space="0" w:color="auto"/>
              <w:right w:val="nil"/>
            </w:tcBorders>
            <w:shd w:val="clear" w:color="auto" w:fill="D9D9D9" w:themeFill="background1" w:themeFillShade="D9"/>
            <w:noWrap/>
            <w:vAlign w:val="center"/>
            <w:hideMark/>
          </w:tcPr>
          <w:p w14:paraId="34C74F5D" w14:textId="687B9E81" w:rsidR="0002296B" w:rsidRPr="00BA2C89" w:rsidRDefault="00A02C24"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w:t>
            </w:r>
            <w:r w:rsidR="0002296B" w:rsidRPr="00BA2C89">
              <w:rPr>
                <w:rFonts w:ascii="Arial Narrow" w:eastAsia="Times New Roman" w:hAnsi="Arial Narrow" w:cs="Times New Roman"/>
                <w:sz w:val="18"/>
                <w:szCs w:val="18"/>
                <w:lang w:eastAsia="it-IT"/>
              </w:rPr>
              <w:t>11,9</w:t>
            </w:r>
          </w:p>
        </w:tc>
        <w:tc>
          <w:tcPr>
            <w:tcW w:w="440" w:type="pct"/>
            <w:tcBorders>
              <w:top w:val="nil"/>
              <w:left w:val="nil"/>
              <w:bottom w:val="single" w:sz="4" w:space="0" w:color="auto"/>
              <w:right w:val="nil"/>
            </w:tcBorders>
            <w:shd w:val="clear" w:color="auto" w:fill="auto"/>
            <w:noWrap/>
            <w:vAlign w:val="center"/>
            <w:hideMark/>
          </w:tcPr>
          <w:p w14:paraId="5D3C65D8" w14:textId="525A988A"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20,</w:t>
            </w:r>
            <w:r w:rsidR="00564768" w:rsidRPr="00BA2C89">
              <w:rPr>
                <w:rFonts w:ascii="Arial Narrow" w:eastAsia="Times New Roman" w:hAnsi="Arial Narrow" w:cs="Times New Roman"/>
                <w:sz w:val="18"/>
                <w:szCs w:val="18"/>
                <w:lang w:eastAsia="it-IT"/>
              </w:rPr>
              <w:t>3</w:t>
            </w:r>
          </w:p>
        </w:tc>
      </w:tr>
      <w:tr w:rsidR="000146B8" w:rsidRPr="0002296B" w14:paraId="12EB3450" w14:textId="77777777" w:rsidTr="000146B8">
        <w:trPr>
          <w:trHeight w:val="238"/>
        </w:trPr>
        <w:tc>
          <w:tcPr>
            <w:tcW w:w="1432" w:type="pct"/>
            <w:tcBorders>
              <w:top w:val="nil"/>
              <w:left w:val="nil"/>
              <w:bottom w:val="nil"/>
              <w:right w:val="nil"/>
            </w:tcBorders>
            <w:shd w:val="clear" w:color="000000" w:fill="FFFFFF"/>
            <w:noWrap/>
            <w:vAlign w:val="center"/>
            <w:hideMark/>
          </w:tcPr>
          <w:p w14:paraId="5A16C7BC" w14:textId="39B4BD37" w:rsidR="0002296B" w:rsidRPr="00084694" w:rsidRDefault="0002296B" w:rsidP="00463EB5">
            <w:pPr>
              <w:widowControl/>
              <w:autoSpaceDE/>
              <w:autoSpaceDN/>
              <w:spacing w:before="40" w:after="20"/>
              <w:rPr>
                <w:rFonts w:ascii="Arial Narrow" w:eastAsia="Times New Roman" w:hAnsi="Arial Narrow" w:cs="Times New Roman"/>
                <w:sz w:val="16"/>
                <w:szCs w:val="16"/>
                <w:lang w:val="en-US" w:eastAsia="it-IT"/>
              </w:rPr>
            </w:pPr>
            <w:r w:rsidRPr="00084694">
              <w:rPr>
                <w:rFonts w:ascii="Arial Narrow" w:eastAsia="Times New Roman" w:hAnsi="Arial Narrow" w:cs="Times New Roman"/>
                <w:sz w:val="16"/>
                <w:szCs w:val="16"/>
                <w:lang w:val="en-US" w:eastAsia="it-IT"/>
              </w:rPr>
              <w:t xml:space="preserve"> - </w:t>
            </w:r>
            <w:r w:rsidR="00A26A87">
              <w:rPr>
                <w:rFonts w:ascii="Arial Narrow" w:eastAsia="Times New Roman" w:hAnsi="Arial Narrow" w:cs="Times New Roman"/>
                <w:sz w:val="16"/>
                <w:szCs w:val="16"/>
                <w:lang w:val="en-US" w:eastAsia="it-IT"/>
              </w:rPr>
              <w:t>of which f</w:t>
            </w:r>
            <w:r w:rsidR="00084694" w:rsidRPr="00084694">
              <w:rPr>
                <w:rFonts w:ascii="Arial Narrow" w:eastAsia="Times New Roman" w:hAnsi="Arial Narrow" w:cs="Times New Roman"/>
                <w:sz w:val="16"/>
                <w:szCs w:val="16"/>
                <w:lang w:val="en-US" w:eastAsia="it-IT"/>
              </w:rPr>
              <w:t xml:space="preserve">ood, </w:t>
            </w:r>
            <w:proofErr w:type="gramStart"/>
            <w:r w:rsidR="00084694" w:rsidRPr="00084694">
              <w:rPr>
                <w:rFonts w:ascii="Arial Narrow" w:eastAsia="Times New Roman" w:hAnsi="Arial Narrow" w:cs="Times New Roman"/>
                <w:sz w:val="16"/>
                <w:szCs w:val="16"/>
                <w:lang w:val="en-US" w:eastAsia="it-IT"/>
              </w:rPr>
              <w:t>beverages</w:t>
            </w:r>
            <w:proofErr w:type="gramEnd"/>
            <w:r w:rsidR="00084694" w:rsidRPr="00084694">
              <w:rPr>
                <w:rFonts w:ascii="Arial Narrow" w:eastAsia="Times New Roman" w:hAnsi="Arial Narrow" w:cs="Times New Roman"/>
                <w:sz w:val="16"/>
                <w:szCs w:val="16"/>
                <w:lang w:val="en-US" w:eastAsia="it-IT"/>
              </w:rPr>
              <w:t xml:space="preserve"> and tobacco</w:t>
            </w:r>
          </w:p>
        </w:tc>
        <w:tc>
          <w:tcPr>
            <w:tcW w:w="480" w:type="pct"/>
            <w:tcBorders>
              <w:top w:val="nil"/>
              <w:left w:val="nil"/>
              <w:bottom w:val="nil"/>
              <w:right w:val="nil"/>
            </w:tcBorders>
            <w:shd w:val="clear" w:color="auto" w:fill="D9D9D9" w:themeFill="background1" w:themeFillShade="D9"/>
            <w:noWrap/>
            <w:vAlign w:val="center"/>
            <w:hideMark/>
          </w:tcPr>
          <w:p w14:paraId="36F96D29"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30.754</w:t>
            </w:r>
          </w:p>
        </w:tc>
        <w:tc>
          <w:tcPr>
            <w:tcW w:w="441" w:type="pct"/>
            <w:tcBorders>
              <w:top w:val="nil"/>
              <w:left w:val="nil"/>
              <w:bottom w:val="single" w:sz="4" w:space="0" w:color="auto"/>
              <w:right w:val="nil"/>
            </w:tcBorders>
            <w:shd w:val="clear" w:color="auto" w:fill="auto"/>
            <w:noWrap/>
            <w:vAlign w:val="center"/>
            <w:hideMark/>
          </w:tcPr>
          <w:p w14:paraId="19DD8D05" w14:textId="0D2B41CA" w:rsidR="0002296B" w:rsidRPr="00BA2C89" w:rsidRDefault="00A02C24"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w:t>
            </w:r>
            <w:r w:rsidR="0002296B" w:rsidRPr="00BA2C89">
              <w:rPr>
                <w:rFonts w:ascii="Arial Narrow" w:eastAsia="Times New Roman" w:hAnsi="Arial Narrow" w:cs="Times New Roman"/>
                <w:sz w:val="18"/>
                <w:szCs w:val="18"/>
                <w:lang w:eastAsia="it-IT"/>
              </w:rPr>
              <w:t>1,6</w:t>
            </w:r>
          </w:p>
        </w:tc>
        <w:tc>
          <w:tcPr>
            <w:tcW w:w="441" w:type="pct"/>
            <w:tcBorders>
              <w:top w:val="nil"/>
              <w:left w:val="nil"/>
              <w:bottom w:val="single" w:sz="4" w:space="0" w:color="auto"/>
              <w:right w:val="nil"/>
            </w:tcBorders>
            <w:shd w:val="clear" w:color="auto" w:fill="D9D9D9" w:themeFill="background1" w:themeFillShade="D9"/>
            <w:noWrap/>
            <w:vAlign w:val="center"/>
            <w:hideMark/>
          </w:tcPr>
          <w:p w14:paraId="6377CB76"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-3,3</w:t>
            </w:r>
          </w:p>
        </w:tc>
        <w:tc>
          <w:tcPr>
            <w:tcW w:w="369" w:type="pct"/>
            <w:tcBorders>
              <w:top w:val="nil"/>
              <w:left w:val="nil"/>
              <w:bottom w:val="single" w:sz="4" w:space="0" w:color="auto"/>
              <w:right w:val="nil"/>
            </w:tcBorders>
            <w:shd w:val="clear" w:color="auto" w:fill="auto"/>
            <w:noWrap/>
            <w:vAlign w:val="center"/>
            <w:hideMark/>
          </w:tcPr>
          <w:p w14:paraId="05C5551F"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2,1</w:t>
            </w:r>
          </w:p>
        </w:tc>
        <w:tc>
          <w:tcPr>
            <w:tcW w:w="100" w:type="pct"/>
            <w:tcBorders>
              <w:top w:val="nil"/>
              <w:left w:val="nil"/>
              <w:bottom w:val="nil"/>
              <w:right w:val="nil"/>
            </w:tcBorders>
            <w:shd w:val="clear" w:color="auto" w:fill="auto"/>
            <w:noWrap/>
            <w:vAlign w:val="center"/>
            <w:hideMark/>
          </w:tcPr>
          <w:p w14:paraId="7E5F4546"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p>
        </w:tc>
        <w:tc>
          <w:tcPr>
            <w:tcW w:w="438" w:type="pct"/>
            <w:tcBorders>
              <w:top w:val="nil"/>
              <w:left w:val="nil"/>
              <w:bottom w:val="nil"/>
              <w:right w:val="nil"/>
            </w:tcBorders>
            <w:shd w:val="clear" w:color="auto" w:fill="D9D9D9" w:themeFill="background1" w:themeFillShade="D9"/>
            <w:noWrap/>
            <w:vAlign w:val="center"/>
            <w:hideMark/>
          </w:tcPr>
          <w:p w14:paraId="27F1856B" w14:textId="62F1AE91" w:rsidR="0002296B" w:rsidRPr="00BA2C89" w:rsidRDefault="00336A4D"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29</w:t>
            </w:r>
            <w:r w:rsidR="0002296B" w:rsidRPr="00BA2C89">
              <w:rPr>
                <w:rFonts w:ascii="Arial Narrow" w:eastAsia="Times New Roman" w:hAnsi="Arial Narrow" w:cs="Times New Roman"/>
                <w:sz w:val="18"/>
                <w:szCs w:val="18"/>
                <w:lang w:eastAsia="it-IT"/>
              </w:rPr>
              <w:t>.</w:t>
            </w:r>
            <w:r w:rsidRPr="00BA2C89">
              <w:rPr>
                <w:rFonts w:ascii="Arial Narrow" w:eastAsia="Times New Roman" w:hAnsi="Arial Narrow" w:cs="Times New Roman"/>
                <w:sz w:val="18"/>
                <w:szCs w:val="18"/>
                <w:lang w:eastAsia="it-IT"/>
              </w:rPr>
              <w:t>965</w:t>
            </w:r>
          </w:p>
        </w:tc>
        <w:tc>
          <w:tcPr>
            <w:tcW w:w="419" w:type="pct"/>
            <w:tcBorders>
              <w:top w:val="nil"/>
              <w:left w:val="nil"/>
              <w:bottom w:val="single" w:sz="4" w:space="0" w:color="auto"/>
              <w:right w:val="nil"/>
            </w:tcBorders>
            <w:shd w:val="clear" w:color="auto" w:fill="auto"/>
            <w:noWrap/>
            <w:vAlign w:val="center"/>
            <w:hideMark/>
          </w:tcPr>
          <w:p w14:paraId="77981E6D" w14:textId="0CA88489"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w:t>
            </w:r>
            <w:r w:rsidR="00336A4D" w:rsidRPr="00BA2C89">
              <w:rPr>
                <w:rFonts w:ascii="Arial Narrow" w:eastAsia="Times New Roman" w:hAnsi="Arial Narrow" w:cs="Times New Roman"/>
                <w:sz w:val="18"/>
                <w:szCs w:val="18"/>
                <w:lang w:eastAsia="it-IT"/>
              </w:rPr>
              <w:t>2</w:t>
            </w:r>
            <w:r w:rsidRPr="00BA2C89">
              <w:rPr>
                <w:rFonts w:ascii="Arial Narrow" w:eastAsia="Times New Roman" w:hAnsi="Arial Narrow" w:cs="Times New Roman"/>
                <w:sz w:val="18"/>
                <w:szCs w:val="18"/>
                <w:lang w:eastAsia="it-IT"/>
              </w:rPr>
              <w:t>,</w:t>
            </w:r>
            <w:r w:rsidR="00336A4D" w:rsidRPr="00BA2C89">
              <w:rPr>
                <w:rFonts w:ascii="Arial Narrow" w:eastAsia="Times New Roman" w:hAnsi="Arial Narrow" w:cs="Times New Roman"/>
                <w:sz w:val="18"/>
                <w:szCs w:val="18"/>
                <w:lang w:eastAsia="it-IT"/>
              </w:rPr>
              <w:t>6</w:t>
            </w:r>
          </w:p>
        </w:tc>
        <w:tc>
          <w:tcPr>
            <w:tcW w:w="440" w:type="pct"/>
            <w:tcBorders>
              <w:top w:val="nil"/>
              <w:left w:val="nil"/>
              <w:bottom w:val="single" w:sz="4" w:space="0" w:color="auto"/>
              <w:right w:val="nil"/>
            </w:tcBorders>
            <w:shd w:val="clear" w:color="auto" w:fill="D9D9D9" w:themeFill="background1" w:themeFillShade="D9"/>
            <w:noWrap/>
            <w:vAlign w:val="center"/>
            <w:hideMark/>
          </w:tcPr>
          <w:p w14:paraId="21D44385" w14:textId="37F137F0" w:rsidR="0002296B" w:rsidRPr="00BA2C89" w:rsidRDefault="00A02C24"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w:t>
            </w:r>
            <w:r w:rsidR="0002296B" w:rsidRPr="00BA2C89">
              <w:rPr>
                <w:rFonts w:ascii="Arial Narrow" w:eastAsia="Times New Roman" w:hAnsi="Arial Narrow" w:cs="Times New Roman"/>
                <w:sz w:val="18"/>
                <w:szCs w:val="18"/>
                <w:lang w:eastAsia="it-IT"/>
              </w:rPr>
              <w:t>6,</w:t>
            </w:r>
            <w:r w:rsidR="00564768" w:rsidRPr="00BA2C89">
              <w:rPr>
                <w:rFonts w:ascii="Arial Narrow" w:eastAsia="Times New Roman" w:hAnsi="Arial Narrow" w:cs="Times New Roman"/>
                <w:sz w:val="18"/>
                <w:szCs w:val="18"/>
                <w:lang w:eastAsia="it-IT"/>
              </w:rPr>
              <w:t>0</w:t>
            </w:r>
          </w:p>
        </w:tc>
        <w:tc>
          <w:tcPr>
            <w:tcW w:w="440" w:type="pct"/>
            <w:tcBorders>
              <w:top w:val="nil"/>
              <w:left w:val="nil"/>
              <w:bottom w:val="single" w:sz="4" w:space="0" w:color="auto"/>
              <w:right w:val="nil"/>
            </w:tcBorders>
            <w:shd w:val="clear" w:color="auto" w:fill="auto"/>
            <w:noWrap/>
            <w:vAlign w:val="center"/>
            <w:hideMark/>
          </w:tcPr>
          <w:p w14:paraId="672F0BF9"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1,9</w:t>
            </w:r>
          </w:p>
        </w:tc>
      </w:tr>
      <w:tr w:rsidR="000146B8" w:rsidRPr="0002296B" w14:paraId="5D90D0F5" w14:textId="77777777" w:rsidTr="000146B8">
        <w:trPr>
          <w:trHeight w:val="238"/>
        </w:trPr>
        <w:tc>
          <w:tcPr>
            <w:tcW w:w="1432" w:type="pct"/>
            <w:tcBorders>
              <w:top w:val="single" w:sz="4" w:space="0" w:color="auto"/>
              <w:left w:val="nil"/>
              <w:bottom w:val="single" w:sz="4" w:space="0" w:color="auto"/>
              <w:right w:val="nil"/>
            </w:tcBorders>
            <w:shd w:val="clear" w:color="000000" w:fill="FFFFFF"/>
            <w:noWrap/>
            <w:vAlign w:val="center"/>
            <w:hideMark/>
          </w:tcPr>
          <w:p w14:paraId="6442A745" w14:textId="3CD9E9CF" w:rsidR="0002296B" w:rsidRPr="0002296B" w:rsidRDefault="00A26A87" w:rsidP="00463EB5">
            <w:pPr>
              <w:widowControl/>
              <w:autoSpaceDE/>
              <w:autoSpaceDN/>
              <w:spacing w:before="40" w:after="20"/>
              <w:rPr>
                <w:rFonts w:ascii="Arial Narrow" w:eastAsia="Times New Roman" w:hAnsi="Arial Narrow" w:cs="Times New Roman"/>
                <w:sz w:val="16"/>
                <w:szCs w:val="16"/>
                <w:lang w:eastAsia="it-IT"/>
              </w:rPr>
            </w:pPr>
            <w:r>
              <w:rPr>
                <w:rFonts w:ascii="Arial Narrow" w:eastAsia="Times New Roman" w:hAnsi="Arial Narrow" w:cs="Times New Roman"/>
                <w:sz w:val="16"/>
                <w:szCs w:val="16"/>
                <w:lang w:eastAsia="it-IT"/>
              </w:rPr>
              <w:t>Construction</w:t>
            </w:r>
          </w:p>
        </w:tc>
        <w:tc>
          <w:tcPr>
            <w:tcW w:w="480" w:type="pct"/>
            <w:tcBorders>
              <w:top w:val="single" w:sz="4" w:space="0" w:color="auto"/>
              <w:left w:val="nil"/>
              <w:bottom w:val="nil"/>
              <w:right w:val="nil"/>
            </w:tcBorders>
            <w:shd w:val="clear" w:color="auto" w:fill="D9D9D9" w:themeFill="background1" w:themeFillShade="D9"/>
            <w:noWrap/>
            <w:vAlign w:val="center"/>
            <w:hideMark/>
          </w:tcPr>
          <w:p w14:paraId="6C17E379"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65.844</w:t>
            </w:r>
          </w:p>
        </w:tc>
        <w:tc>
          <w:tcPr>
            <w:tcW w:w="441" w:type="pct"/>
            <w:tcBorders>
              <w:top w:val="nil"/>
              <w:left w:val="nil"/>
              <w:bottom w:val="single" w:sz="4" w:space="0" w:color="auto"/>
              <w:right w:val="nil"/>
            </w:tcBorders>
            <w:shd w:val="clear" w:color="auto" w:fill="auto"/>
            <w:noWrap/>
            <w:vAlign w:val="center"/>
            <w:hideMark/>
          </w:tcPr>
          <w:p w14:paraId="6B7E77E4"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-5,2</w:t>
            </w:r>
          </w:p>
        </w:tc>
        <w:tc>
          <w:tcPr>
            <w:tcW w:w="441" w:type="pct"/>
            <w:tcBorders>
              <w:top w:val="nil"/>
              <w:left w:val="nil"/>
              <w:bottom w:val="single" w:sz="4" w:space="0" w:color="auto"/>
              <w:right w:val="nil"/>
            </w:tcBorders>
            <w:shd w:val="clear" w:color="auto" w:fill="D9D9D9" w:themeFill="background1" w:themeFillShade="D9"/>
            <w:noWrap/>
            <w:vAlign w:val="center"/>
            <w:hideMark/>
          </w:tcPr>
          <w:p w14:paraId="6DCA450F"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-6,3</w:t>
            </w:r>
          </w:p>
        </w:tc>
        <w:tc>
          <w:tcPr>
            <w:tcW w:w="369" w:type="pct"/>
            <w:tcBorders>
              <w:top w:val="nil"/>
              <w:left w:val="nil"/>
              <w:bottom w:val="single" w:sz="4" w:space="0" w:color="auto"/>
              <w:right w:val="nil"/>
            </w:tcBorders>
            <w:shd w:val="clear" w:color="auto" w:fill="auto"/>
            <w:noWrap/>
            <w:vAlign w:val="center"/>
            <w:hideMark/>
          </w:tcPr>
          <w:p w14:paraId="03C84B8F"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4,4</w:t>
            </w:r>
          </w:p>
        </w:tc>
        <w:tc>
          <w:tcPr>
            <w:tcW w:w="100" w:type="pct"/>
            <w:tcBorders>
              <w:top w:val="nil"/>
              <w:left w:val="nil"/>
              <w:bottom w:val="nil"/>
              <w:right w:val="nil"/>
            </w:tcBorders>
            <w:shd w:val="clear" w:color="auto" w:fill="auto"/>
            <w:noWrap/>
            <w:vAlign w:val="center"/>
            <w:hideMark/>
          </w:tcPr>
          <w:p w14:paraId="36077136"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p>
        </w:tc>
        <w:tc>
          <w:tcPr>
            <w:tcW w:w="438" w:type="pct"/>
            <w:tcBorders>
              <w:top w:val="single" w:sz="4" w:space="0" w:color="auto"/>
              <w:left w:val="nil"/>
              <w:bottom w:val="nil"/>
              <w:right w:val="nil"/>
            </w:tcBorders>
            <w:shd w:val="clear" w:color="auto" w:fill="D9D9D9" w:themeFill="background1" w:themeFillShade="D9"/>
            <w:noWrap/>
            <w:vAlign w:val="center"/>
            <w:hideMark/>
          </w:tcPr>
          <w:p w14:paraId="568EEA4D" w14:textId="3BFBC68F"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78.</w:t>
            </w:r>
            <w:r w:rsidR="00336A4D" w:rsidRPr="00BA2C89">
              <w:rPr>
                <w:rFonts w:ascii="Arial Narrow" w:eastAsia="Times New Roman" w:hAnsi="Arial Narrow" w:cs="Times New Roman"/>
                <w:sz w:val="18"/>
                <w:szCs w:val="18"/>
                <w:lang w:eastAsia="it-IT"/>
              </w:rPr>
              <w:t>577</w:t>
            </w:r>
          </w:p>
        </w:tc>
        <w:tc>
          <w:tcPr>
            <w:tcW w:w="419" w:type="pct"/>
            <w:tcBorders>
              <w:top w:val="nil"/>
              <w:left w:val="nil"/>
              <w:bottom w:val="single" w:sz="4" w:space="0" w:color="auto"/>
              <w:right w:val="nil"/>
            </w:tcBorders>
            <w:shd w:val="clear" w:color="auto" w:fill="auto"/>
            <w:noWrap/>
            <w:vAlign w:val="center"/>
            <w:hideMark/>
          </w:tcPr>
          <w:p w14:paraId="43BF62F7" w14:textId="44FD23A8" w:rsidR="0002296B" w:rsidRPr="00BA2C89" w:rsidRDefault="00A02C24"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w:t>
            </w:r>
            <w:r w:rsidR="0002296B" w:rsidRPr="00BA2C89">
              <w:rPr>
                <w:rFonts w:ascii="Arial Narrow" w:eastAsia="Times New Roman" w:hAnsi="Arial Narrow" w:cs="Times New Roman"/>
                <w:sz w:val="18"/>
                <w:szCs w:val="18"/>
                <w:lang w:eastAsia="it-IT"/>
              </w:rPr>
              <w:t>19,</w:t>
            </w:r>
            <w:r w:rsidR="00336A4D" w:rsidRPr="00BA2C89">
              <w:rPr>
                <w:rFonts w:ascii="Arial Narrow" w:eastAsia="Times New Roman" w:hAnsi="Arial Narrow" w:cs="Times New Roman"/>
                <w:sz w:val="18"/>
                <w:szCs w:val="18"/>
                <w:lang w:eastAsia="it-IT"/>
              </w:rPr>
              <w:t>3</w:t>
            </w:r>
          </w:p>
        </w:tc>
        <w:tc>
          <w:tcPr>
            <w:tcW w:w="440" w:type="pct"/>
            <w:tcBorders>
              <w:top w:val="nil"/>
              <w:left w:val="nil"/>
              <w:bottom w:val="single" w:sz="4" w:space="0" w:color="auto"/>
              <w:right w:val="nil"/>
            </w:tcBorders>
            <w:shd w:val="clear" w:color="auto" w:fill="D9D9D9" w:themeFill="background1" w:themeFillShade="D9"/>
            <w:noWrap/>
            <w:vAlign w:val="center"/>
            <w:hideMark/>
          </w:tcPr>
          <w:p w14:paraId="20447327" w14:textId="6DA634F0" w:rsidR="0002296B" w:rsidRPr="00BA2C89" w:rsidRDefault="00A02C24"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w:t>
            </w:r>
            <w:r w:rsidR="0002296B" w:rsidRPr="00BA2C89">
              <w:rPr>
                <w:rFonts w:ascii="Arial Narrow" w:eastAsia="Times New Roman" w:hAnsi="Arial Narrow" w:cs="Times New Roman"/>
                <w:sz w:val="18"/>
                <w:szCs w:val="18"/>
                <w:lang w:eastAsia="it-IT"/>
              </w:rPr>
              <w:t>21,3</w:t>
            </w:r>
          </w:p>
        </w:tc>
        <w:tc>
          <w:tcPr>
            <w:tcW w:w="440" w:type="pct"/>
            <w:tcBorders>
              <w:top w:val="nil"/>
              <w:left w:val="nil"/>
              <w:bottom w:val="single" w:sz="4" w:space="0" w:color="auto"/>
              <w:right w:val="nil"/>
            </w:tcBorders>
            <w:shd w:val="clear" w:color="auto" w:fill="auto"/>
            <w:noWrap/>
            <w:vAlign w:val="center"/>
            <w:hideMark/>
          </w:tcPr>
          <w:p w14:paraId="7D025556"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4,9</w:t>
            </w:r>
          </w:p>
        </w:tc>
      </w:tr>
      <w:tr w:rsidR="000146B8" w:rsidRPr="0002296B" w14:paraId="1DE91A31" w14:textId="77777777" w:rsidTr="00463EB5">
        <w:trPr>
          <w:trHeight w:val="238"/>
        </w:trPr>
        <w:tc>
          <w:tcPr>
            <w:tcW w:w="1432" w:type="pct"/>
            <w:tcBorders>
              <w:top w:val="nil"/>
              <w:left w:val="nil"/>
              <w:bottom w:val="single" w:sz="4" w:space="0" w:color="FFFFFF" w:themeColor="background1"/>
              <w:right w:val="nil"/>
            </w:tcBorders>
            <w:shd w:val="clear" w:color="000000" w:fill="FFFFFF"/>
            <w:noWrap/>
            <w:vAlign w:val="center"/>
            <w:hideMark/>
          </w:tcPr>
          <w:p w14:paraId="17AD25A4" w14:textId="19E3734B" w:rsidR="0002296B" w:rsidRPr="0002296B" w:rsidRDefault="00A26A87" w:rsidP="00463EB5">
            <w:pPr>
              <w:widowControl/>
              <w:autoSpaceDE/>
              <w:autoSpaceDN/>
              <w:spacing w:before="40" w:after="20"/>
              <w:rPr>
                <w:rFonts w:ascii="Arial Narrow" w:eastAsia="Times New Roman" w:hAnsi="Arial Narrow" w:cs="Times New Roman"/>
                <w:sz w:val="16"/>
                <w:szCs w:val="16"/>
                <w:lang w:eastAsia="it-IT"/>
              </w:rPr>
            </w:pPr>
            <w:r w:rsidRPr="00A26A87">
              <w:rPr>
                <w:rFonts w:ascii="Arial Narrow" w:eastAsia="Times New Roman" w:hAnsi="Arial Narrow" w:cs="Times New Roman"/>
                <w:sz w:val="16"/>
                <w:szCs w:val="16"/>
                <w:lang w:eastAsia="it-IT"/>
              </w:rPr>
              <w:t>Services</w:t>
            </w:r>
          </w:p>
        </w:tc>
        <w:tc>
          <w:tcPr>
            <w:tcW w:w="480" w:type="pct"/>
            <w:tcBorders>
              <w:top w:val="single" w:sz="4" w:space="0" w:color="auto"/>
              <w:left w:val="nil"/>
              <w:bottom w:val="single" w:sz="4" w:space="0" w:color="FFFFFF" w:themeColor="background1"/>
              <w:right w:val="nil"/>
            </w:tcBorders>
            <w:shd w:val="clear" w:color="auto" w:fill="D9D9D9" w:themeFill="background1" w:themeFillShade="D9"/>
            <w:noWrap/>
            <w:vAlign w:val="center"/>
            <w:hideMark/>
          </w:tcPr>
          <w:p w14:paraId="6889C7DD"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1.107.111</w:t>
            </w:r>
          </w:p>
        </w:tc>
        <w:tc>
          <w:tcPr>
            <w:tcW w:w="441" w:type="pct"/>
            <w:tcBorders>
              <w:top w:val="nil"/>
              <w:left w:val="nil"/>
              <w:bottom w:val="single" w:sz="4" w:space="0" w:color="FFFFFF" w:themeColor="background1"/>
              <w:right w:val="nil"/>
            </w:tcBorders>
            <w:shd w:val="clear" w:color="auto" w:fill="auto"/>
            <w:noWrap/>
            <w:vAlign w:val="center"/>
            <w:hideMark/>
          </w:tcPr>
          <w:p w14:paraId="08C54779"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-7,0</w:t>
            </w:r>
          </w:p>
        </w:tc>
        <w:tc>
          <w:tcPr>
            <w:tcW w:w="441" w:type="pct"/>
            <w:tcBorders>
              <w:top w:val="nil"/>
              <w:left w:val="nil"/>
              <w:bottom w:val="single" w:sz="4" w:space="0" w:color="FFFFFF" w:themeColor="background1"/>
              <w:right w:val="nil"/>
            </w:tcBorders>
            <w:shd w:val="clear" w:color="auto" w:fill="D9D9D9" w:themeFill="background1" w:themeFillShade="D9"/>
            <w:noWrap/>
            <w:vAlign w:val="center"/>
            <w:hideMark/>
          </w:tcPr>
          <w:p w14:paraId="1353ACCD"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-8,5</w:t>
            </w:r>
          </w:p>
        </w:tc>
        <w:tc>
          <w:tcPr>
            <w:tcW w:w="369" w:type="pct"/>
            <w:tcBorders>
              <w:top w:val="nil"/>
              <w:left w:val="nil"/>
              <w:bottom w:val="single" w:sz="4" w:space="0" w:color="FFFFFF" w:themeColor="background1"/>
              <w:right w:val="nil"/>
            </w:tcBorders>
            <w:shd w:val="clear" w:color="auto" w:fill="auto"/>
            <w:noWrap/>
            <w:vAlign w:val="center"/>
            <w:hideMark/>
          </w:tcPr>
          <w:p w14:paraId="0C18DEA9"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73,9</w:t>
            </w:r>
          </w:p>
        </w:tc>
        <w:tc>
          <w:tcPr>
            <w:tcW w:w="100" w:type="pct"/>
            <w:tcBorders>
              <w:top w:val="nil"/>
              <w:left w:val="nil"/>
              <w:bottom w:val="single" w:sz="4" w:space="0" w:color="FFFFFF" w:themeColor="background1"/>
              <w:right w:val="nil"/>
            </w:tcBorders>
            <w:shd w:val="clear" w:color="auto" w:fill="auto"/>
            <w:noWrap/>
            <w:vAlign w:val="center"/>
            <w:hideMark/>
          </w:tcPr>
          <w:p w14:paraId="3122B6FD" w14:textId="77777777"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p>
        </w:tc>
        <w:tc>
          <w:tcPr>
            <w:tcW w:w="438" w:type="pct"/>
            <w:tcBorders>
              <w:top w:val="single" w:sz="4" w:space="0" w:color="auto"/>
              <w:left w:val="nil"/>
              <w:bottom w:val="single" w:sz="4" w:space="0" w:color="FFFFFF" w:themeColor="background1"/>
              <w:right w:val="nil"/>
            </w:tcBorders>
            <w:shd w:val="clear" w:color="auto" w:fill="D9D9D9" w:themeFill="background1" w:themeFillShade="D9"/>
            <w:noWrap/>
            <w:vAlign w:val="center"/>
            <w:hideMark/>
          </w:tcPr>
          <w:p w14:paraId="1BD2C73A" w14:textId="467FD0EF"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1.15</w:t>
            </w:r>
            <w:r w:rsidR="00336A4D" w:rsidRPr="00BA2C89">
              <w:rPr>
                <w:rFonts w:ascii="Arial Narrow" w:eastAsia="Times New Roman" w:hAnsi="Arial Narrow" w:cs="Times New Roman"/>
                <w:sz w:val="18"/>
                <w:szCs w:val="18"/>
                <w:lang w:eastAsia="it-IT"/>
              </w:rPr>
              <w:t>5</w:t>
            </w:r>
            <w:r w:rsidRPr="00BA2C89">
              <w:rPr>
                <w:rFonts w:ascii="Arial Narrow" w:eastAsia="Times New Roman" w:hAnsi="Arial Narrow" w:cs="Times New Roman"/>
                <w:sz w:val="18"/>
                <w:szCs w:val="18"/>
                <w:lang w:eastAsia="it-IT"/>
              </w:rPr>
              <w:t>.</w:t>
            </w:r>
            <w:r w:rsidR="00336A4D" w:rsidRPr="00BA2C89">
              <w:rPr>
                <w:rFonts w:ascii="Arial Narrow" w:eastAsia="Times New Roman" w:hAnsi="Arial Narrow" w:cs="Times New Roman"/>
                <w:sz w:val="18"/>
                <w:szCs w:val="18"/>
                <w:lang w:eastAsia="it-IT"/>
              </w:rPr>
              <w:t>142</w:t>
            </w:r>
          </w:p>
        </w:tc>
        <w:tc>
          <w:tcPr>
            <w:tcW w:w="419" w:type="pct"/>
            <w:tcBorders>
              <w:top w:val="nil"/>
              <w:left w:val="nil"/>
              <w:bottom w:val="single" w:sz="4" w:space="0" w:color="FFFFFF" w:themeColor="background1"/>
              <w:right w:val="nil"/>
            </w:tcBorders>
            <w:shd w:val="clear" w:color="auto" w:fill="auto"/>
            <w:noWrap/>
            <w:vAlign w:val="center"/>
            <w:hideMark/>
          </w:tcPr>
          <w:p w14:paraId="0031C235" w14:textId="307F477A" w:rsidR="0002296B" w:rsidRPr="00BA2C89" w:rsidRDefault="00A02C24"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w:t>
            </w:r>
            <w:r w:rsidR="0002296B" w:rsidRPr="00BA2C89">
              <w:rPr>
                <w:rFonts w:ascii="Arial Narrow" w:eastAsia="Times New Roman" w:hAnsi="Arial Narrow" w:cs="Times New Roman"/>
                <w:sz w:val="18"/>
                <w:szCs w:val="18"/>
                <w:lang w:eastAsia="it-IT"/>
              </w:rPr>
              <w:t>4,</w:t>
            </w:r>
            <w:r w:rsidR="00336A4D" w:rsidRPr="00BA2C89">
              <w:rPr>
                <w:rFonts w:ascii="Arial Narrow" w:eastAsia="Times New Roman" w:hAnsi="Arial Narrow" w:cs="Times New Roman"/>
                <w:sz w:val="18"/>
                <w:szCs w:val="18"/>
                <w:lang w:eastAsia="it-IT"/>
              </w:rPr>
              <w:t>3</w:t>
            </w:r>
          </w:p>
        </w:tc>
        <w:tc>
          <w:tcPr>
            <w:tcW w:w="440" w:type="pct"/>
            <w:tcBorders>
              <w:top w:val="nil"/>
              <w:left w:val="nil"/>
              <w:bottom w:val="single" w:sz="4" w:space="0" w:color="FFFFFF" w:themeColor="background1"/>
              <w:right w:val="nil"/>
            </w:tcBorders>
            <w:shd w:val="clear" w:color="auto" w:fill="D9D9D9" w:themeFill="background1" w:themeFillShade="D9"/>
            <w:noWrap/>
            <w:vAlign w:val="center"/>
            <w:hideMark/>
          </w:tcPr>
          <w:p w14:paraId="0FF41F55" w14:textId="1C49C01E" w:rsidR="0002296B" w:rsidRPr="00BA2C89" w:rsidRDefault="00A02C24"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w:t>
            </w:r>
            <w:r w:rsidR="0002296B" w:rsidRPr="00BA2C89">
              <w:rPr>
                <w:rFonts w:ascii="Arial Narrow" w:eastAsia="Times New Roman" w:hAnsi="Arial Narrow" w:cs="Times New Roman"/>
                <w:sz w:val="18"/>
                <w:szCs w:val="18"/>
                <w:lang w:eastAsia="it-IT"/>
              </w:rPr>
              <w:t>4,5</w:t>
            </w:r>
          </w:p>
        </w:tc>
        <w:tc>
          <w:tcPr>
            <w:tcW w:w="440" w:type="pct"/>
            <w:tcBorders>
              <w:top w:val="nil"/>
              <w:left w:val="nil"/>
              <w:bottom w:val="single" w:sz="4" w:space="0" w:color="FFFFFF" w:themeColor="background1"/>
              <w:right w:val="nil"/>
            </w:tcBorders>
            <w:shd w:val="clear" w:color="auto" w:fill="auto"/>
            <w:noWrap/>
            <w:vAlign w:val="center"/>
            <w:hideMark/>
          </w:tcPr>
          <w:p w14:paraId="2362BC93" w14:textId="1DE5E751" w:rsidR="0002296B" w:rsidRPr="00BA2C89"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BA2C89">
              <w:rPr>
                <w:rFonts w:ascii="Arial Narrow" w:eastAsia="Times New Roman" w:hAnsi="Arial Narrow" w:cs="Times New Roman"/>
                <w:sz w:val="18"/>
                <w:szCs w:val="18"/>
                <w:lang w:eastAsia="it-IT"/>
              </w:rPr>
              <w:t>72,</w:t>
            </w:r>
            <w:r w:rsidR="00564768" w:rsidRPr="00BA2C89">
              <w:rPr>
                <w:rFonts w:ascii="Arial Narrow" w:eastAsia="Times New Roman" w:hAnsi="Arial Narrow" w:cs="Times New Roman"/>
                <w:sz w:val="18"/>
                <w:szCs w:val="18"/>
                <w:lang w:eastAsia="it-IT"/>
              </w:rPr>
              <w:t>6</w:t>
            </w:r>
          </w:p>
        </w:tc>
      </w:tr>
      <w:tr w:rsidR="000A4737" w:rsidRPr="0002296B" w14:paraId="1BBADAF6" w14:textId="77777777" w:rsidTr="0003038B">
        <w:trPr>
          <w:trHeight w:val="238"/>
        </w:trPr>
        <w:tc>
          <w:tcPr>
            <w:tcW w:w="1432" w:type="pct"/>
            <w:tcBorders>
              <w:top w:val="single" w:sz="4" w:space="0" w:color="FFFFFF" w:themeColor="background1"/>
              <w:left w:val="nil"/>
              <w:bottom w:val="single" w:sz="4" w:space="0" w:color="FFFFFF" w:themeColor="background1"/>
              <w:right w:val="nil"/>
            </w:tcBorders>
            <w:shd w:val="clear" w:color="auto" w:fill="17365D"/>
            <w:vAlign w:val="center"/>
            <w:hideMark/>
          </w:tcPr>
          <w:p w14:paraId="129E9E19" w14:textId="0BB18270" w:rsidR="0002296B" w:rsidRPr="00A26A87" w:rsidRDefault="00A26A87" w:rsidP="00463EB5">
            <w:pPr>
              <w:widowControl/>
              <w:autoSpaceDE/>
              <w:autoSpaceDN/>
              <w:spacing w:before="40" w:after="20"/>
              <w:rPr>
                <w:rFonts w:ascii="Arial Narrow" w:eastAsia="Times New Roman" w:hAnsi="Arial Narrow" w:cs="Times New Roman"/>
                <w:b/>
                <w:bCs/>
                <w:color w:val="FFFFFF" w:themeColor="background1"/>
                <w:sz w:val="16"/>
                <w:szCs w:val="16"/>
                <w:lang w:val="en-US" w:eastAsia="it-IT"/>
              </w:rPr>
            </w:pPr>
            <w:r>
              <w:rPr>
                <w:rFonts w:ascii="Arial Narrow" w:eastAsia="Times New Roman" w:hAnsi="Arial Narrow" w:cs="Times New Roman"/>
                <w:b/>
                <w:bCs/>
                <w:color w:val="FFFFFF" w:themeColor="background1"/>
                <w:sz w:val="16"/>
                <w:szCs w:val="16"/>
                <w:lang w:val="en-US" w:eastAsia="it-IT"/>
              </w:rPr>
              <w:t xml:space="preserve">Total agri-food (Agriculture, </w:t>
            </w:r>
            <w:proofErr w:type="gramStart"/>
            <w:r>
              <w:rPr>
                <w:rFonts w:ascii="Arial Narrow" w:eastAsia="Times New Roman" w:hAnsi="Arial Narrow" w:cs="Times New Roman"/>
                <w:b/>
                <w:bCs/>
                <w:color w:val="FFFFFF" w:themeColor="background1"/>
                <w:sz w:val="16"/>
                <w:szCs w:val="16"/>
                <w:lang w:val="en-US" w:eastAsia="it-IT"/>
              </w:rPr>
              <w:t>forestry</w:t>
            </w:r>
            <w:proofErr w:type="gramEnd"/>
            <w:r>
              <w:rPr>
                <w:rFonts w:ascii="Arial Narrow" w:eastAsia="Times New Roman" w:hAnsi="Arial Narrow" w:cs="Times New Roman"/>
                <w:b/>
                <w:bCs/>
                <w:color w:val="FFFFFF" w:themeColor="background1"/>
                <w:sz w:val="16"/>
                <w:szCs w:val="16"/>
                <w:lang w:val="en-US" w:eastAsia="it-IT"/>
              </w:rPr>
              <w:t xml:space="preserve"> and f</w:t>
            </w:r>
            <w:r w:rsidRPr="00A26A87">
              <w:rPr>
                <w:rFonts w:ascii="Arial Narrow" w:eastAsia="Times New Roman" w:hAnsi="Arial Narrow" w:cs="Times New Roman"/>
                <w:b/>
                <w:bCs/>
                <w:color w:val="FFFFFF" w:themeColor="background1"/>
                <w:sz w:val="16"/>
                <w:szCs w:val="16"/>
                <w:lang w:val="en-US" w:eastAsia="it-IT"/>
              </w:rPr>
              <w:t>ishing +</w:t>
            </w:r>
            <w:r>
              <w:rPr>
                <w:rFonts w:ascii="Arial Narrow" w:eastAsia="Times New Roman" w:hAnsi="Arial Narrow" w:cs="Times New Roman"/>
                <w:b/>
                <w:bCs/>
                <w:color w:val="FFFFFF" w:themeColor="background1"/>
                <w:sz w:val="16"/>
                <w:szCs w:val="16"/>
                <w:lang w:val="en-US" w:eastAsia="it-IT"/>
              </w:rPr>
              <w:t xml:space="preserve"> food, beverage and tobacco i</w:t>
            </w:r>
            <w:r w:rsidRPr="00A26A87">
              <w:rPr>
                <w:rFonts w:ascii="Arial Narrow" w:eastAsia="Times New Roman" w:hAnsi="Arial Narrow" w:cs="Times New Roman"/>
                <w:b/>
                <w:bCs/>
                <w:color w:val="FFFFFF" w:themeColor="background1"/>
                <w:sz w:val="16"/>
                <w:szCs w:val="16"/>
                <w:lang w:val="en-US" w:eastAsia="it-IT"/>
              </w:rPr>
              <w:t>ndustry)</w:t>
            </w:r>
          </w:p>
        </w:tc>
        <w:tc>
          <w:tcPr>
            <w:tcW w:w="480"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6A23E5D1"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64.057</w:t>
            </w:r>
          </w:p>
        </w:tc>
        <w:tc>
          <w:tcPr>
            <w:tcW w:w="441"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7E3480BA"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-0,7</w:t>
            </w:r>
          </w:p>
        </w:tc>
        <w:tc>
          <w:tcPr>
            <w:tcW w:w="441"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3F3B5ECD"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-4,1</w:t>
            </w:r>
          </w:p>
        </w:tc>
        <w:tc>
          <w:tcPr>
            <w:tcW w:w="369"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63B0A26E"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4,3</w:t>
            </w:r>
          </w:p>
        </w:tc>
        <w:tc>
          <w:tcPr>
            <w:tcW w:w="100"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0A544C80"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p>
        </w:tc>
        <w:tc>
          <w:tcPr>
            <w:tcW w:w="438"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5F078B9C" w14:textId="17E7D9A8"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64.</w:t>
            </w:r>
            <w:r w:rsidR="00564768" w:rsidRPr="000E4DD7">
              <w:rPr>
                <w:rFonts w:ascii="Arial Narrow" w:eastAsia="Times New Roman" w:hAnsi="Arial Narrow" w:cs="Times New Roman"/>
                <w:b/>
                <w:bCs/>
                <w:color w:val="FFFFFF" w:themeColor="background1"/>
                <w:sz w:val="18"/>
                <w:szCs w:val="18"/>
                <w:lang w:eastAsia="it-IT"/>
              </w:rPr>
              <w:t>720</w:t>
            </w:r>
          </w:p>
        </w:tc>
        <w:tc>
          <w:tcPr>
            <w:tcW w:w="419"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3F83D9F5" w14:textId="3495C398" w:rsidR="0002296B" w:rsidRPr="000E4DD7" w:rsidRDefault="00A02C24"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w:t>
            </w:r>
            <w:r w:rsidR="0002296B" w:rsidRPr="000E4DD7">
              <w:rPr>
                <w:rFonts w:ascii="Arial Narrow" w:eastAsia="Times New Roman" w:hAnsi="Arial Narrow" w:cs="Times New Roman"/>
                <w:b/>
                <w:bCs/>
                <w:color w:val="FFFFFF" w:themeColor="background1"/>
                <w:sz w:val="18"/>
                <w:szCs w:val="18"/>
                <w:lang w:eastAsia="it-IT"/>
              </w:rPr>
              <w:t>1,</w:t>
            </w:r>
            <w:r w:rsidR="00564768" w:rsidRPr="000E4DD7">
              <w:rPr>
                <w:rFonts w:ascii="Arial Narrow" w:eastAsia="Times New Roman" w:hAnsi="Arial Narrow" w:cs="Times New Roman"/>
                <w:b/>
                <w:bCs/>
                <w:color w:val="FFFFFF" w:themeColor="background1"/>
                <w:sz w:val="18"/>
                <w:szCs w:val="18"/>
                <w:lang w:eastAsia="it-IT"/>
              </w:rPr>
              <w:t>0</w:t>
            </w:r>
          </w:p>
        </w:tc>
        <w:tc>
          <w:tcPr>
            <w:tcW w:w="440"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404D5044" w14:textId="707D7595" w:rsidR="0002296B" w:rsidRPr="000E4DD7" w:rsidRDefault="00A02C24"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w:t>
            </w:r>
            <w:r w:rsidR="0002296B" w:rsidRPr="000E4DD7">
              <w:rPr>
                <w:rFonts w:ascii="Arial Narrow" w:eastAsia="Times New Roman" w:hAnsi="Arial Narrow" w:cs="Times New Roman"/>
                <w:b/>
                <w:bCs/>
                <w:color w:val="FFFFFF" w:themeColor="background1"/>
                <w:sz w:val="18"/>
                <w:szCs w:val="18"/>
                <w:lang w:eastAsia="it-IT"/>
              </w:rPr>
              <w:t>2,</w:t>
            </w:r>
            <w:r w:rsidR="00564768" w:rsidRPr="000E4DD7">
              <w:rPr>
                <w:rFonts w:ascii="Arial Narrow" w:eastAsia="Times New Roman" w:hAnsi="Arial Narrow" w:cs="Times New Roman"/>
                <w:b/>
                <w:bCs/>
                <w:color w:val="FFFFFF" w:themeColor="background1"/>
                <w:sz w:val="18"/>
                <w:szCs w:val="18"/>
                <w:lang w:eastAsia="it-IT"/>
              </w:rPr>
              <w:t>4</w:t>
            </w:r>
          </w:p>
        </w:tc>
        <w:tc>
          <w:tcPr>
            <w:tcW w:w="440"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710D0662"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4,1</w:t>
            </w:r>
          </w:p>
        </w:tc>
      </w:tr>
      <w:tr w:rsidR="000A4737" w:rsidRPr="0002296B" w14:paraId="260855FB" w14:textId="77777777" w:rsidTr="0003038B">
        <w:trPr>
          <w:trHeight w:val="238"/>
        </w:trPr>
        <w:tc>
          <w:tcPr>
            <w:tcW w:w="1432"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6A6EBE7F" w14:textId="059B5F23" w:rsidR="0002296B" w:rsidRPr="000A4737" w:rsidRDefault="00A26A87" w:rsidP="00463EB5">
            <w:pPr>
              <w:widowControl/>
              <w:autoSpaceDE/>
              <w:autoSpaceDN/>
              <w:spacing w:before="40" w:after="20"/>
              <w:rPr>
                <w:rFonts w:ascii="Arial Narrow" w:eastAsia="Times New Roman" w:hAnsi="Arial Narrow" w:cs="Times New Roman"/>
                <w:b/>
                <w:bCs/>
                <w:color w:val="FFFFFF" w:themeColor="background1"/>
                <w:sz w:val="16"/>
                <w:szCs w:val="16"/>
                <w:lang w:eastAsia="it-IT"/>
              </w:rPr>
            </w:pPr>
            <w:r w:rsidRPr="00A26A87">
              <w:rPr>
                <w:rFonts w:ascii="Arial Narrow" w:eastAsia="Times New Roman" w:hAnsi="Arial Narrow" w:cs="Times New Roman"/>
                <w:b/>
                <w:bCs/>
                <w:color w:val="FFFFFF" w:themeColor="background1"/>
                <w:sz w:val="16"/>
                <w:szCs w:val="16"/>
                <w:lang w:eastAsia="it-IT"/>
              </w:rPr>
              <w:t xml:space="preserve">Total </w:t>
            </w:r>
            <w:proofErr w:type="spellStart"/>
            <w:r w:rsidRPr="00A26A87">
              <w:rPr>
                <w:rFonts w:ascii="Arial Narrow" w:eastAsia="Times New Roman" w:hAnsi="Arial Narrow" w:cs="Times New Roman"/>
                <w:b/>
                <w:bCs/>
                <w:color w:val="FFFFFF" w:themeColor="background1"/>
                <w:sz w:val="16"/>
                <w:szCs w:val="16"/>
                <w:lang w:eastAsia="it-IT"/>
              </w:rPr>
              <w:t>economic</w:t>
            </w:r>
            <w:proofErr w:type="spellEnd"/>
            <w:r w:rsidRPr="00A26A87">
              <w:rPr>
                <w:rFonts w:ascii="Arial Narrow" w:eastAsia="Times New Roman" w:hAnsi="Arial Narrow" w:cs="Times New Roman"/>
                <w:b/>
                <w:bCs/>
                <w:color w:val="FFFFFF" w:themeColor="background1"/>
                <w:sz w:val="16"/>
                <w:szCs w:val="16"/>
                <w:lang w:eastAsia="it-IT"/>
              </w:rPr>
              <w:t xml:space="preserve"> activities</w:t>
            </w:r>
          </w:p>
        </w:tc>
        <w:tc>
          <w:tcPr>
            <w:tcW w:w="480"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358EF1A4"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1.498.430</w:t>
            </w:r>
          </w:p>
        </w:tc>
        <w:tc>
          <w:tcPr>
            <w:tcW w:w="441"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47D902CF"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-7,0</w:t>
            </w:r>
          </w:p>
        </w:tc>
        <w:tc>
          <w:tcPr>
            <w:tcW w:w="441"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6B4D9E0E"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-8,8</w:t>
            </w:r>
          </w:p>
        </w:tc>
        <w:tc>
          <w:tcPr>
            <w:tcW w:w="369"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1BB57DA4"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100,0</w:t>
            </w:r>
          </w:p>
        </w:tc>
        <w:tc>
          <w:tcPr>
            <w:tcW w:w="100"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1CA1CE7A"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p>
        </w:tc>
        <w:tc>
          <w:tcPr>
            <w:tcW w:w="438"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067AE641" w14:textId="71183D55"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1.59</w:t>
            </w:r>
            <w:r w:rsidR="00564768" w:rsidRPr="000E4DD7">
              <w:rPr>
                <w:rFonts w:ascii="Arial Narrow" w:eastAsia="Times New Roman" w:hAnsi="Arial Narrow" w:cs="Times New Roman"/>
                <w:b/>
                <w:bCs/>
                <w:color w:val="FFFFFF" w:themeColor="background1"/>
                <w:sz w:val="18"/>
                <w:szCs w:val="18"/>
                <w:lang w:eastAsia="it-IT"/>
              </w:rPr>
              <w:t>0</w:t>
            </w:r>
            <w:r w:rsidRPr="000E4DD7">
              <w:rPr>
                <w:rFonts w:ascii="Arial Narrow" w:eastAsia="Times New Roman" w:hAnsi="Arial Narrow" w:cs="Times New Roman"/>
                <w:b/>
                <w:bCs/>
                <w:color w:val="FFFFFF" w:themeColor="background1"/>
                <w:sz w:val="18"/>
                <w:szCs w:val="18"/>
                <w:lang w:eastAsia="it-IT"/>
              </w:rPr>
              <w:t>.</w:t>
            </w:r>
            <w:r w:rsidR="00564768" w:rsidRPr="000E4DD7">
              <w:rPr>
                <w:rFonts w:ascii="Arial Narrow" w:eastAsia="Times New Roman" w:hAnsi="Arial Narrow" w:cs="Times New Roman"/>
                <w:b/>
                <w:bCs/>
                <w:color w:val="FFFFFF" w:themeColor="background1"/>
                <w:sz w:val="18"/>
                <w:szCs w:val="18"/>
                <w:lang w:eastAsia="it-IT"/>
              </w:rPr>
              <w:t>749</w:t>
            </w:r>
          </w:p>
        </w:tc>
        <w:tc>
          <w:tcPr>
            <w:tcW w:w="419"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33E00D7A" w14:textId="49F5D512" w:rsidR="0002296B" w:rsidRPr="000E4DD7" w:rsidRDefault="00A02C24"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w:t>
            </w:r>
            <w:r w:rsidR="0002296B" w:rsidRPr="000E4DD7">
              <w:rPr>
                <w:rFonts w:ascii="Arial Narrow" w:eastAsia="Times New Roman" w:hAnsi="Arial Narrow" w:cs="Times New Roman"/>
                <w:b/>
                <w:bCs/>
                <w:color w:val="FFFFFF" w:themeColor="background1"/>
                <w:sz w:val="18"/>
                <w:szCs w:val="18"/>
                <w:lang w:eastAsia="it-IT"/>
              </w:rPr>
              <w:t>6,</w:t>
            </w:r>
            <w:r w:rsidR="00564768" w:rsidRPr="000E4DD7">
              <w:rPr>
                <w:rFonts w:ascii="Arial Narrow" w:eastAsia="Times New Roman" w:hAnsi="Arial Narrow" w:cs="Times New Roman"/>
                <w:b/>
                <w:bCs/>
                <w:color w:val="FFFFFF" w:themeColor="background1"/>
                <w:sz w:val="18"/>
                <w:szCs w:val="18"/>
                <w:lang w:eastAsia="it-IT"/>
              </w:rPr>
              <w:t>2</w:t>
            </w:r>
          </w:p>
        </w:tc>
        <w:tc>
          <w:tcPr>
            <w:tcW w:w="440"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3571CE33" w14:textId="76FC02A8" w:rsidR="0002296B" w:rsidRPr="000E4DD7" w:rsidRDefault="00A02C24"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w:t>
            </w:r>
            <w:r w:rsidR="0002296B" w:rsidRPr="000E4DD7">
              <w:rPr>
                <w:rFonts w:ascii="Arial Narrow" w:eastAsia="Times New Roman" w:hAnsi="Arial Narrow" w:cs="Times New Roman"/>
                <w:b/>
                <w:bCs/>
                <w:color w:val="FFFFFF" w:themeColor="background1"/>
                <w:sz w:val="18"/>
                <w:szCs w:val="18"/>
                <w:lang w:eastAsia="it-IT"/>
              </w:rPr>
              <w:t>6,</w:t>
            </w:r>
            <w:r w:rsidR="00564768" w:rsidRPr="000E4DD7">
              <w:rPr>
                <w:rFonts w:ascii="Arial Narrow" w:eastAsia="Times New Roman" w:hAnsi="Arial Narrow" w:cs="Times New Roman"/>
                <w:b/>
                <w:bCs/>
                <w:color w:val="FFFFFF" w:themeColor="background1"/>
                <w:sz w:val="18"/>
                <w:szCs w:val="18"/>
                <w:lang w:eastAsia="it-IT"/>
              </w:rPr>
              <w:t>6</w:t>
            </w:r>
          </w:p>
        </w:tc>
        <w:tc>
          <w:tcPr>
            <w:tcW w:w="440"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6A003BF0"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100,0</w:t>
            </w:r>
          </w:p>
        </w:tc>
      </w:tr>
      <w:tr w:rsidR="000A4737" w:rsidRPr="0002296B" w14:paraId="2FE17B53" w14:textId="77777777" w:rsidTr="0003038B">
        <w:trPr>
          <w:trHeight w:val="238"/>
        </w:trPr>
        <w:tc>
          <w:tcPr>
            <w:tcW w:w="1432"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28D75853" w14:textId="78A493E2" w:rsidR="0002296B" w:rsidRPr="00A26A87" w:rsidRDefault="00A26A87" w:rsidP="00463EB5">
            <w:pPr>
              <w:widowControl/>
              <w:autoSpaceDE/>
              <w:autoSpaceDN/>
              <w:spacing w:before="40" w:after="20"/>
              <w:rPr>
                <w:rFonts w:ascii="Arial Narrow" w:eastAsia="Times New Roman" w:hAnsi="Arial Narrow" w:cs="Times New Roman"/>
                <w:b/>
                <w:bCs/>
                <w:color w:val="FFFFFF" w:themeColor="background1"/>
                <w:sz w:val="16"/>
                <w:szCs w:val="16"/>
                <w:lang w:val="en-US" w:eastAsia="it-IT"/>
              </w:rPr>
            </w:pPr>
            <w:r>
              <w:rPr>
                <w:rFonts w:ascii="Arial Narrow" w:eastAsia="Times New Roman" w:hAnsi="Arial Narrow" w:cs="Times New Roman"/>
                <w:b/>
                <w:bCs/>
                <w:color w:val="FFFFFF" w:themeColor="background1"/>
                <w:sz w:val="16"/>
                <w:szCs w:val="16"/>
                <w:lang w:val="en-US" w:eastAsia="it-IT"/>
              </w:rPr>
              <w:t>Gross Domestic Product at market prices</w:t>
            </w:r>
          </w:p>
        </w:tc>
        <w:tc>
          <w:tcPr>
            <w:tcW w:w="480"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68642F55"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1.656.961</w:t>
            </w:r>
          </w:p>
        </w:tc>
        <w:tc>
          <w:tcPr>
            <w:tcW w:w="441"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6678BF25"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-7,8</w:t>
            </w:r>
          </w:p>
        </w:tc>
        <w:tc>
          <w:tcPr>
            <w:tcW w:w="441"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4149E487"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-9,0</w:t>
            </w:r>
          </w:p>
        </w:tc>
        <w:tc>
          <w:tcPr>
            <w:tcW w:w="369"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4AD0F312"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 </w:t>
            </w:r>
          </w:p>
        </w:tc>
        <w:tc>
          <w:tcPr>
            <w:tcW w:w="100"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4D09E62F"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p>
        </w:tc>
        <w:tc>
          <w:tcPr>
            <w:tcW w:w="438"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0FD08174" w14:textId="165F0423"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1.7</w:t>
            </w:r>
            <w:r w:rsidR="00564768" w:rsidRPr="000E4DD7">
              <w:rPr>
                <w:rFonts w:ascii="Arial Narrow" w:eastAsia="Times New Roman" w:hAnsi="Arial Narrow" w:cs="Times New Roman"/>
                <w:b/>
                <w:bCs/>
                <w:color w:val="FFFFFF" w:themeColor="background1"/>
                <w:sz w:val="18"/>
                <w:szCs w:val="18"/>
                <w:lang w:eastAsia="it-IT"/>
              </w:rPr>
              <w:t>75</w:t>
            </w:r>
            <w:r w:rsidRPr="000E4DD7">
              <w:rPr>
                <w:rFonts w:ascii="Arial Narrow" w:eastAsia="Times New Roman" w:hAnsi="Arial Narrow" w:cs="Times New Roman"/>
                <w:b/>
                <w:bCs/>
                <w:color w:val="FFFFFF" w:themeColor="background1"/>
                <w:sz w:val="18"/>
                <w:szCs w:val="18"/>
                <w:lang w:eastAsia="it-IT"/>
              </w:rPr>
              <w:t>.</w:t>
            </w:r>
            <w:r w:rsidR="00564768" w:rsidRPr="000E4DD7">
              <w:rPr>
                <w:rFonts w:ascii="Arial Narrow" w:eastAsia="Times New Roman" w:hAnsi="Arial Narrow" w:cs="Times New Roman"/>
                <w:b/>
                <w:bCs/>
                <w:color w:val="FFFFFF" w:themeColor="background1"/>
                <w:sz w:val="18"/>
                <w:szCs w:val="18"/>
                <w:lang w:eastAsia="it-IT"/>
              </w:rPr>
              <w:t>436</w:t>
            </w:r>
          </w:p>
        </w:tc>
        <w:tc>
          <w:tcPr>
            <w:tcW w:w="419"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4D02F397" w14:textId="562E5FD2" w:rsidR="0002296B" w:rsidRPr="000E4DD7" w:rsidRDefault="00A02C24"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w:t>
            </w:r>
            <w:r w:rsidR="0002296B" w:rsidRPr="000E4DD7">
              <w:rPr>
                <w:rFonts w:ascii="Arial Narrow" w:eastAsia="Times New Roman" w:hAnsi="Arial Narrow" w:cs="Times New Roman"/>
                <w:b/>
                <w:bCs/>
                <w:color w:val="FFFFFF" w:themeColor="background1"/>
                <w:sz w:val="18"/>
                <w:szCs w:val="18"/>
                <w:lang w:eastAsia="it-IT"/>
              </w:rPr>
              <w:t>7,</w:t>
            </w:r>
            <w:r w:rsidR="00564768" w:rsidRPr="000E4DD7">
              <w:rPr>
                <w:rFonts w:ascii="Arial Narrow" w:eastAsia="Times New Roman" w:hAnsi="Arial Narrow" w:cs="Times New Roman"/>
                <w:b/>
                <w:bCs/>
                <w:color w:val="FFFFFF" w:themeColor="background1"/>
                <w:sz w:val="18"/>
                <w:szCs w:val="18"/>
                <w:lang w:eastAsia="it-IT"/>
              </w:rPr>
              <w:t>2</w:t>
            </w:r>
          </w:p>
        </w:tc>
        <w:tc>
          <w:tcPr>
            <w:tcW w:w="440"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0547C765" w14:textId="583504A3" w:rsidR="0002296B" w:rsidRPr="000E4DD7" w:rsidRDefault="00A02C24"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w:t>
            </w:r>
            <w:r w:rsidR="0002296B" w:rsidRPr="000E4DD7">
              <w:rPr>
                <w:rFonts w:ascii="Arial Narrow" w:eastAsia="Times New Roman" w:hAnsi="Arial Narrow" w:cs="Times New Roman"/>
                <w:b/>
                <w:bCs/>
                <w:color w:val="FFFFFF" w:themeColor="background1"/>
                <w:sz w:val="18"/>
                <w:szCs w:val="18"/>
                <w:lang w:eastAsia="it-IT"/>
              </w:rPr>
              <w:t>6,6</w:t>
            </w:r>
          </w:p>
        </w:tc>
        <w:tc>
          <w:tcPr>
            <w:tcW w:w="440"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2DB91182" w14:textId="77777777" w:rsidR="0002296B" w:rsidRPr="000E4DD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0E4DD7">
              <w:rPr>
                <w:rFonts w:ascii="Arial Narrow" w:eastAsia="Times New Roman" w:hAnsi="Arial Narrow" w:cs="Times New Roman"/>
                <w:b/>
                <w:bCs/>
                <w:color w:val="FFFFFF" w:themeColor="background1"/>
                <w:sz w:val="18"/>
                <w:szCs w:val="18"/>
                <w:lang w:eastAsia="it-IT"/>
              </w:rPr>
              <w:t> </w:t>
            </w:r>
          </w:p>
        </w:tc>
      </w:tr>
    </w:tbl>
    <w:p w14:paraId="19DFB5E1" w14:textId="77777777" w:rsidR="00A26A87" w:rsidRDefault="00A26A87"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eastAsia="it-IT"/>
        </w:rPr>
      </w:pPr>
    </w:p>
    <w:p w14:paraId="65ED5568" w14:textId="55ADF4D8" w:rsidR="00960EA8" w:rsidRPr="000608D0" w:rsidRDefault="00A26A87"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A26A87">
        <w:rPr>
          <w:rFonts w:ascii="Trebuchet MS" w:eastAsia="Times New Roman" w:hAnsi="Trebuchet MS" w:cs="Arial"/>
          <w:color w:val="595959" w:themeColor="text1" w:themeTint="A6"/>
          <w:sz w:val="20"/>
          <w:szCs w:val="20"/>
          <w:lang w:val="en-US" w:eastAsia="it-IT"/>
        </w:rPr>
        <w:t xml:space="preserve">In 2020, employment in agriculture, </w:t>
      </w:r>
      <w:proofErr w:type="gramStart"/>
      <w:r w:rsidRPr="00A26A87">
        <w:rPr>
          <w:rFonts w:ascii="Trebuchet MS" w:eastAsia="Times New Roman" w:hAnsi="Trebuchet MS" w:cs="Arial"/>
          <w:color w:val="595959" w:themeColor="text1" w:themeTint="A6"/>
          <w:sz w:val="20"/>
          <w:szCs w:val="20"/>
          <w:lang w:val="en-US" w:eastAsia="it-IT"/>
        </w:rPr>
        <w:t>forestry</w:t>
      </w:r>
      <w:proofErr w:type="gramEnd"/>
      <w:r w:rsidRPr="00A26A87">
        <w:rPr>
          <w:rFonts w:ascii="Trebuchet MS" w:eastAsia="Times New Roman" w:hAnsi="Trebuchet MS" w:cs="Arial"/>
          <w:color w:val="595959" w:themeColor="text1" w:themeTint="A6"/>
          <w:sz w:val="20"/>
          <w:szCs w:val="20"/>
          <w:lang w:val="en-US" w:eastAsia="it-IT"/>
        </w:rPr>
        <w:t xml:space="preserve"> and fishing, measured in </w:t>
      </w:r>
      <w:r>
        <w:rPr>
          <w:rFonts w:ascii="Trebuchet MS" w:eastAsia="Times New Roman" w:hAnsi="Trebuchet MS" w:cs="Arial"/>
          <w:color w:val="595959" w:themeColor="text1" w:themeTint="A6"/>
          <w:sz w:val="20"/>
          <w:szCs w:val="20"/>
          <w:lang w:val="en-US" w:eastAsia="it-IT"/>
        </w:rPr>
        <w:t>Annual Work U</w:t>
      </w:r>
      <w:r w:rsidR="00857AFC">
        <w:rPr>
          <w:rFonts w:ascii="Trebuchet MS" w:eastAsia="Times New Roman" w:hAnsi="Trebuchet MS" w:cs="Arial"/>
          <w:color w:val="595959" w:themeColor="text1" w:themeTint="A6"/>
          <w:sz w:val="20"/>
          <w:szCs w:val="20"/>
          <w:lang w:val="en-US" w:eastAsia="it-IT"/>
        </w:rPr>
        <w:t xml:space="preserve">nit </w:t>
      </w:r>
      <w:r w:rsidRPr="00A26A87">
        <w:rPr>
          <w:rFonts w:ascii="Trebuchet MS" w:eastAsia="Times New Roman" w:hAnsi="Trebuchet MS" w:cs="Arial"/>
          <w:color w:val="595959" w:themeColor="text1" w:themeTint="A6"/>
          <w:sz w:val="20"/>
          <w:szCs w:val="20"/>
          <w:lang w:val="en-US" w:eastAsia="it-IT"/>
        </w:rPr>
        <w:t>(</w:t>
      </w:r>
      <w:r>
        <w:rPr>
          <w:rFonts w:ascii="Trebuchet MS" w:eastAsia="Times New Roman" w:hAnsi="Trebuchet MS" w:cs="Arial"/>
          <w:color w:val="595959" w:themeColor="text1" w:themeTint="A6"/>
          <w:sz w:val="20"/>
          <w:szCs w:val="20"/>
          <w:lang w:val="en-US" w:eastAsia="it-IT"/>
        </w:rPr>
        <w:t>AWU</w:t>
      </w:r>
      <w:r w:rsidRPr="00A26A87">
        <w:rPr>
          <w:rFonts w:ascii="Trebuchet MS" w:eastAsia="Times New Roman" w:hAnsi="Trebuchet MS" w:cs="Arial"/>
          <w:color w:val="595959" w:themeColor="text1" w:themeTint="A6"/>
          <w:sz w:val="20"/>
          <w:szCs w:val="20"/>
          <w:lang w:val="en-US" w:eastAsia="it-IT"/>
        </w:rPr>
        <w:t>), decreased by 2%, reflecting a 3.4% decline in the component of dependent work and 1.3% than the independent one.</w:t>
      </w:r>
      <w:r w:rsidR="00960EA8" w:rsidRPr="00A26A87">
        <w:rPr>
          <w:rFonts w:ascii="Trebuchet MS" w:eastAsia="Times New Roman" w:hAnsi="Trebuchet MS" w:cs="Arial"/>
          <w:color w:val="595959" w:themeColor="text1" w:themeTint="A6"/>
          <w:sz w:val="20"/>
          <w:szCs w:val="20"/>
          <w:lang w:val="en-US" w:eastAsia="it-IT"/>
        </w:rPr>
        <w:t xml:space="preserve"> </w:t>
      </w:r>
      <w:r w:rsidR="00857AFC" w:rsidRPr="00857AFC">
        <w:rPr>
          <w:rFonts w:ascii="Trebuchet MS" w:eastAsia="Times New Roman" w:hAnsi="Trebuchet MS" w:cs="Arial"/>
          <w:color w:val="595959" w:themeColor="text1" w:themeTint="A6"/>
          <w:sz w:val="20"/>
          <w:szCs w:val="20"/>
          <w:lang w:val="en-US" w:eastAsia="it-IT"/>
        </w:rPr>
        <w:t>Even more marked was the decline in employment in the food industry (-5.2%), which led to an overall decline of 2.8% in labor input in the agri-food sector.</w:t>
      </w:r>
      <w:r w:rsidR="00960EA8" w:rsidRPr="00857AFC">
        <w:rPr>
          <w:rFonts w:ascii="Trebuchet MS" w:eastAsia="Times New Roman" w:hAnsi="Trebuchet MS" w:cs="Arial"/>
          <w:color w:val="595959" w:themeColor="text1" w:themeTint="A6"/>
          <w:sz w:val="20"/>
          <w:szCs w:val="20"/>
          <w:lang w:val="en-US" w:eastAsia="it-IT"/>
        </w:rPr>
        <w:t xml:space="preserve"> </w:t>
      </w:r>
      <w:r w:rsidR="000608D0" w:rsidRPr="000608D0">
        <w:rPr>
          <w:rFonts w:ascii="Trebuchet MS" w:eastAsia="Times New Roman" w:hAnsi="Trebuchet MS" w:cs="Arial"/>
          <w:color w:val="595959" w:themeColor="text1" w:themeTint="A6"/>
          <w:sz w:val="20"/>
          <w:szCs w:val="20"/>
          <w:lang w:val="en-US" w:eastAsia="it-IT"/>
        </w:rPr>
        <w:t>Signs of a clear turnaround were recorded in 2021: Ula grew by 3% in agriculture (+ 5.5% employees and + 1.7% self-employed) and by 5.4% in the food industry, recovering what was lost from the agri-food sector in the previous year in terms of employment (+ 3.6%) (Tables 3 and 4).</w:t>
      </w:r>
    </w:p>
    <w:p w14:paraId="1225C544" w14:textId="77777777" w:rsidR="00C852A0" w:rsidRPr="000608D0" w:rsidRDefault="00C852A0" w:rsidP="00BA6BE2">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p>
    <w:p w14:paraId="1E893E3F" w14:textId="7E305F14" w:rsidR="00C852A0" w:rsidRPr="00B91F52" w:rsidRDefault="007B7D08" w:rsidP="00463EB5">
      <w:pPr>
        <w:spacing w:after="120"/>
        <w:ind w:right="-34"/>
        <w:outlineLvl w:val="1"/>
        <w:rPr>
          <w:rFonts w:ascii="Arial Narrow" w:hAnsi="Arial Narrow" w:cs="Arial"/>
          <w:iCs/>
          <w:noProof/>
          <w:color w:val="595959" w:themeColor="text1" w:themeTint="A6"/>
          <w:sz w:val="20"/>
          <w:szCs w:val="20"/>
          <w:lang w:val="en-US"/>
        </w:rPr>
      </w:pPr>
      <w:r w:rsidRPr="007B7D08">
        <w:rPr>
          <w:rFonts w:ascii="Arial Narrow" w:hAnsi="Arial Narrow" w:cs="Arial"/>
          <w:b/>
          <w:iCs/>
          <w:noProof/>
          <w:color w:val="595959" w:themeColor="text1" w:themeTint="A6"/>
          <w:lang w:val="en-US"/>
        </w:rPr>
        <w:lastRenderedPageBreak/>
        <w:t>T</w:t>
      </w:r>
      <w:r>
        <w:rPr>
          <w:rFonts w:ascii="Arial Narrow" w:hAnsi="Arial Narrow" w:cs="Arial"/>
          <w:b/>
          <w:iCs/>
          <w:noProof/>
          <w:color w:val="595959" w:themeColor="text1" w:themeTint="A6"/>
          <w:lang w:val="en-US"/>
        </w:rPr>
        <w:t>ABLE</w:t>
      </w:r>
      <w:r w:rsidR="00F63715" w:rsidRPr="007B7D08">
        <w:rPr>
          <w:rFonts w:ascii="Arial Narrow" w:hAnsi="Arial Narrow" w:cs="Arial"/>
          <w:b/>
          <w:iCs/>
          <w:noProof/>
          <w:color w:val="595959" w:themeColor="text1" w:themeTint="A6"/>
          <w:lang w:val="en-US"/>
        </w:rPr>
        <w:t xml:space="preserve"> </w:t>
      </w:r>
      <w:r w:rsidR="00050B6D" w:rsidRPr="007B7D08">
        <w:rPr>
          <w:rFonts w:ascii="Arial Narrow" w:hAnsi="Arial Narrow" w:cs="Arial"/>
          <w:b/>
          <w:iCs/>
          <w:noProof/>
          <w:color w:val="595959" w:themeColor="text1" w:themeTint="A6"/>
          <w:lang w:val="en-US"/>
        </w:rPr>
        <w:t xml:space="preserve">3. </w:t>
      </w:r>
      <w:r w:rsidR="00857AFC" w:rsidRPr="00857AFC">
        <w:rPr>
          <w:rFonts w:ascii="Arial Narrow" w:hAnsi="Arial Narrow" w:cs="Arial"/>
          <w:b/>
          <w:iCs/>
          <w:noProof/>
          <w:color w:val="595959" w:themeColor="text1" w:themeTint="A6"/>
          <w:lang w:val="en-US"/>
        </w:rPr>
        <w:t xml:space="preserve">ANNUAL </w:t>
      </w:r>
      <w:r w:rsidR="00857AFC">
        <w:rPr>
          <w:rFonts w:ascii="Arial Narrow" w:hAnsi="Arial Narrow" w:cs="Arial"/>
          <w:b/>
          <w:iCs/>
          <w:noProof/>
          <w:color w:val="595959" w:themeColor="text1" w:themeTint="A6"/>
          <w:lang w:val="en-US"/>
        </w:rPr>
        <w:t xml:space="preserve">WORK UNIT </w:t>
      </w:r>
      <w:r w:rsidR="00B91F52" w:rsidRPr="00B91F52">
        <w:rPr>
          <w:rFonts w:ascii="Arial Narrow" w:hAnsi="Arial Narrow" w:cs="Arial"/>
          <w:b/>
          <w:iCs/>
          <w:noProof/>
          <w:color w:val="595959" w:themeColor="text1" w:themeTint="A6"/>
          <w:lang w:val="en-US"/>
        </w:rPr>
        <w:t>(AWU) BY SECTOR OF ECONOMIC ACTIVITY IN ITALY</w:t>
      </w:r>
      <w:r w:rsidR="00050B6D" w:rsidRPr="00B91F52">
        <w:rPr>
          <w:rFonts w:ascii="Arial Narrow" w:hAnsi="Arial Narrow" w:cs="Arial"/>
          <w:b/>
          <w:iCs/>
          <w:noProof/>
          <w:color w:val="595959" w:themeColor="text1" w:themeTint="A6"/>
          <w:lang w:val="en-US"/>
        </w:rPr>
        <w:t>.</w:t>
      </w:r>
      <w:r w:rsidR="00050B6D" w:rsidRPr="00B91F52">
        <w:rPr>
          <w:rFonts w:ascii="Arial Narrow" w:hAnsi="Arial Narrow" w:cs="Arial"/>
          <w:b/>
          <w:iCs/>
          <w:noProof/>
          <w:color w:val="595959" w:themeColor="text1" w:themeTint="A6"/>
          <w:sz w:val="20"/>
          <w:szCs w:val="20"/>
          <w:lang w:val="en-US"/>
        </w:rPr>
        <w:t xml:space="preserve"> </w:t>
      </w:r>
      <w:r w:rsidR="00F130A3" w:rsidRPr="00B91F52">
        <w:rPr>
          <w:rFonts w:ascii="Arial Narrow" w:hAnsi="Arial Narrow" w:cs="Arial"/>
          <w:b/>
          <w:iCs/>
          <w:noProof/>
          <w:color w:val="595959" w:themeColor="text1" w:themeTint="A6"/>
          <w:sz w:val="20"/>
          <w:szCs w:val="20"/>
          <w:lang w:val="en-US"/>
        </w:rPr>
        <w:br/>
      </w:r>
      <w:r w:rsidR="00B91F52" w:rsidRPr="00B91F52">
        <w:rPr>
          <w:rFonts w:ascii="Arial Narrow" w:hAnsi="Arial Narrow" w:cs="Arial"/>
          <w:iCs/>
          <w:noProof/>
          <w:color w:val="595959" w:themeColor="text1" w:themeTint="A6"/>
          <w:sz w:val="20"/>
          <w:szCs w:val="20"/>
          <w:lang w:val="en-US"/>
        </w:rPr>
        <w:t>Years 2020 and 2021, thousands of units and percentage changes</w:t>
      </w:r>
    </w:p>
    <w:tbl>
      <w:tblPr>
        <w:tblW w:w="4998" w:type="pct"/>
        <w:tblCellMar>
          <w:left w:w="70" w:type="dxa"/>
          <w:right w:w="70" w:type="dxa"/>
        </w:tblCellMar>
        <w:tblLook w:val="04A0" w:firstRow="1" w:lastRow="0" w:firstColumn="1" w:lastColumn="0" w:noHBand="0" w:noVBand="1"/>
      </w:tblPr>
      <w:tblGrid>
        <w:gridCol w:w="4615"/>
        <w:gridCol w:w="1342"/>
        <w:gridCol w:w="1137"/>
        <w:gridCol w:w="146"/>
        <w:gridCol w:w="1307"/>
        <w:gridCol w:w="1091"/>
      </w:tblGrid>
      <w:tr w:rsidR="005D02EA" w:rsidRPr="007B7D08" w14:paraId="578DD36A" w14:textId="77777777" w:rsidTr="00050B6D">
        <w:trPr>
          <w:trHeight w:val="238"/>
        </w:trPr>
        <w:tc>
          <w:tcPr>
            <w:tcW w:w="2394" w:type="pct"/>
            <w:vMerge w:val="restart"/>
            <w:tcBorders>
              <w:top w:val="single" w:sz="4" w:space="0" w:color="auto"/>
              <w:left w:val="nil"/>
              <w:bottom w:val="single" w:sz="4" w:space="0" w:color="000000"/>
              <w:right w:val="nil"/>
            </w:tcBorders>
            <w:shd w:val="clear" w:color="000000" w:fill="FFFFFF"/>
            <w:noWrap/>
            <w:vAlign w:val="center"/>
            <w:hideMark/>
          </w:tcPr>
          <w:p w14:paraId="0EDABB6F" w14:textId="6A71747A" w:rsidR="0002296B" w:rsidRPr="007B7D08" w:rsidRDefault="007B7D08" w:rsidP="00463EB5">
            <w:pPr>
              <w:widowControl/>
              <w:autoSpaceDE/>
              <w:autoSpaceDN/>
              <w:spacing w:before="40" w:after="20"/>
              <w:rPr>
                <w:rFonts w:ascii="Arial Narrow" w:eastAsia="Times New Roman" w:hAnsi="Arial Narrow" w:cs="Times New Roman"/>
                <w:b/>
                <w:bCs/>
                <w:sz w:val="18"/>
                <w:szCs w:val="18"/>
                <w:lang w:val="en-US" w:eastAsia="it-IT"/>
              </w:rPr>
            </w:pPr>
            <w:r w:rsidRPr="007B7D08">
              <w:rPr>
                <w:rFonts w:ascii="Arial Narrow" w:eastAsia="Times New Roman" w:hAnsi="Arial Narrow" w:cs="Times New Roman"/>
                <w:b/>
                <w:bCs/>
                <w:sz w:val="18"/>
                <w:szCs w:val="18"/>
                <w:lang w:val="en-US" w:eastAsia="it-IT"/>
              </w:rPr>
              <w:t>ECONOMIC ACTIVITIES</w:t>
            </w:r>
          </w:p>
        </w:tc>
        <w:tc>
          <w:tcPr>
            <w:tcW w:w="1285" w:type="pct"/>
            <w:gridSpan w:val="2"/>
            <w:tcBorders>
              <w:top w:val="single" w:sz="4" w:space="0" w:color="auto"/>
              <w:left w:val="nil"/>
              <w:bottom w:val="single" w:sz="4" w:space="0" w:color="auto"/>
              <w:right w:val="nil"/>
            </w:tcBorders>
            <w:shd w:val="clear" w:color="auto" w:fill="D9D9D9" w:themeFill="background1" w:themeFillShade="D9"/>
            <w:vAlign w:val="center"/>
            <w:hideMark/>
          </w:tcPr>
          <w:p w14:paraId="7855427A" w14:textId="77777777" w:rsidR="0002296B" w:rsidRPr="007B7D08" w:rsidRDefault="0002296B" w:rsidP="00463EB5">
            <w:pPr>
              <w:widowControl/>
              <w:autoSpaceDE/>
              <w:autoSpaceDN/>
              <w:spacing w:before="40" w:after="20"/>
              <w:jc w:val="center"/>
              <w:rPr>
                <w:rFonts w:ascii="Arial Narrow" w:eastAsia="Times New Roman" w:hAnsi="Arial Narrow" w:cs="Times New Roman"/>
                <w:b/>
                <w:bCs/>
                <w:color w:val="000000"/>
                <w:sz w:val="18"/>
                <w:szCs w:val="18"/>
                <w:lang w:val="en-US" w:eastAsia="it-IT"/>
              </w:rPr>
            </w:pPr>
            <w:r w:rsidRPr="007B7D08">
              <w:rPr>
                <w:rFonts w:ascii="Arial Narrow" w:eastAsia="Times New Roman" w:hAnsi="Arial Narrow" w:cs="Times New Roman"/>
                <w:b/>
                <w:bCs/>
                <w:color w:val="000000"/>
                <w:sz w:val="18"/>
                <w:szCs w:val="18"/>
                <w:lang w:val="en-US" w:eastAsia="it-IT"/>
              </w:rPr>
              <w:t>2020</w:t>
            </w:r>
          </w:p>
        </w:tc>
        <w:tc>
          <w:tcPr>
            <w:tcW w:w="76" w:type="pct"/>
            <w:tcBorders>
              <w:top w:val="nil"/>
              <w:left w:val="nil"/>
              <w:bottom w:val="nil"/>
              <w:right w:val="nil"/>
            </w:tcBorders>
            <w:shd w:val="clear" w:color="auto" w:fill="auto"/>
            <w:vAlign w:val="center"/>
            <w:hideMark/>
          </w:tcPr>
          <w:p w14:paraId="79E42DA7" w14:textId="77777777" w:rsidR="0002296B" w:rsidRPr="007B7D08" w:rsidRDefault="0002296B" w:rsidP="00463EB5">
            <w:pPr>
              <w:widowControl/>
              <w:autoSpaceDE/>
              <w:autoSpaceDN/>
              <w:spacing w:before="40" w:after="20"/>
              <w:jc w:val="center"/>
              <w:rPr>
                <w:rFonts w:ascii="Arial Narrow" w:eastAsia="Times New Roman" w:hAnsi="Arial Narrow" w:cs="Times New Roman"/>
                <w:b/>
                <w:bCs/>
                <w:color w:val="000000"/>
                <w:sz w:val="18"/>
                <w:szCs w:val="18"/>
                <w:lang w:val="en-US" w:eastAsia="it-IT"/>
              </w:rPr>
            </w:pPr>
          </w:p>
        </w:tc>
        <w:tc>
          <w:tcPr>
            <w:tcW w:w="1245" w:type="pct"/>
            <w:gridSpan w:val="2"/>
            <w:tcBorders>
              <w:top w:val="single" w:sz="4" w:space="0" w:color="auto"/>
              <w:left w:val="nil"/>
              <w:bottom w:val="single" w:sz="4" w:space="0" w:color="auto"/>
              <w:right w:val="nil"/>
            </w:tcBorders>
            <w:shd w:val="clear" w:color="auto" w:fill="D9D9D9" w:themeFill="background1" w:themeFillShade="D9"/>
            <w:vAlign w:val="center"/>
            <w:hideMark/>
          </w:tcPr>
          <w:p w14:paraId="41B8547B" w14:textId="77777777" w:rsidR="0002296B" w:rsidRPr="007B7D08" w:rsidRDefault="0002296B" w:rsidP="00463EB5">
            <w:pPr>
              <w:widowControl/>
              <w:autoSpaceDE/>
              <w:autoSpaceDN/>
              <w:spacing w:before="40" w:after="20"/>
              <w:jc w:val="center"/>
              <w:rPr>
                <w:rFonts w:ascii="Arial Narrow" w:eastAsia="Times New Roman" w:hAnsi="Arial Narrow" w:cs="Times New Roman"/>
                <w:b/>
                <w:bCs/>
                <w:color w:val="000000"/>
                <w:sz w:val="18"/>
                <w:szCs w:val="18"/>
                <w:lang w:val="en-US" w:eastAsia="it-IT"/>
              </w:rPr>
            </w:pPr>
            <w:r w:rsidRPr="007B7D08">
              <w:rPr>
                <w:rFonts w:ascii="Arial Narrow" w:eastAsia="Times New Roman" w:hAnsi="Arial Narrow" w:cs="Times New Roman"/>
                <w:b/>
                <w:bCs/>
                <w:color w:val="000000"/>
                <w:sz w:val="18"/>
                <w:szCs w:val="18"/>
                <w:lang w:val="en-US" w:eastAsia="it-IT"/>
              </w:rPr>
              <w:t>2021</w:t>
            </w:r>
          </w:p>
        </w:tc>
      </w:tr>
      <w:tr w:rsidR="0002296B" w:rsidRPr="00AA1A17" w14:paraId="03F52A91" w14:textId="77777777" w:rsidTr="00050B6D">
        <w:trPr>
          <w:trHeight w:val="238"/>
        </w:trPr>
        <w:tc>
          <w:tcPr>
            <w:tcW w:w="2394" w:type="pct"/>
            <w:vMerge/>
            <w:tcBorders>
              <w:top w:val="single" w:sz="4" w:space="0" w:color="auto"/>
              <w:left w:val="nil"/>
              <w:bottom w:val="single" w:sz="4" w:space="0" w:color="000000"/>
              <w:right w:val="nil"/>
            </w:tcBorders>
            <w:vAlign w:val="center"/>
            <w:hideMark/>
          </w:tcPr>
          <w:p w14:paraId="76F47673" w14:textId="77777777" w:rsidR="0002296B" w:rsidRPr="007B7D08" w:rsidRDefault="0002296B" w:rsidP="00463EB5">
            <w:pPr>
              <w:widowControl/>
              <w:autoSpaceDE/>
              <w:autoSpaceDN/>
              <w:spacing w:before="40" w:after="20"/>
              <w:rPr>
                <w:rFonts w:ascii="Arial Narrow" w:eastAsia="Times New Roman" w:hAnsi="Arial Narrow" w:cs="Times New Roman"/>
                <w:b/>
                <w:bCs/>
                <w:sz w:val="18"/>
                <w:szCs w:val="18"/>
                <w:lang w:val="en-US" w:eastAsia="it-IT"/>
              </w:rPr>
            </w:pPr>
          </w:p>
        </w:tc>
        <w:tc>
          <w:tcPr>
            <w:tcW w:w="696" w:type="pct"/>
            <w:vMerge w:val="restart"/>
            <w:tcBorders>
              <w:top w:val="nil"/>
              <w:left w:val="nil"/>
              <w:bottom w:val="single" w:sz="4" w:space="0" w:color="000000"/>
              <w:right w:val="nil"/>
            </w:tcBorders>
            <w:shd w:val="clear" w:color="auto" w:fill="auto"/>
            <w:vAlign w:val="center"/>
            <w:hideMark/>
          </w:tcPr>
          <w:p w14:paraId="1B711E07" w14:textId="59525A92" w:rsidR="0002296B" w:rsidRPr="007B7D08" w:rsidRDefault="007B7D08" w:rsidP="00463EB5">
            <w:pPr>
              <w:widowControl/>
              <w:autoSpaceDE/>
              <w:autoSpaceDN/>
              <w:spacing w:before="40" w:after="20"/>
              <w:jc w:val="right"/>
              <w:rPr>
                <w:rFonts w:ascii="Arial Narrow" w:eastAsia="Times New Roman" w:hAnsi="Arial Narrow" w:cs="Times New Roman"/>
                <w:color w:val="000000"/>
                <w:sz w:val="18"/>
                <w:szCs w:val="18"/>
                <w:lang w:val="en-US" w:eastAsia="it-IT"/>
              </w:rPr>
            </w:pPr>
            <w:r w:rsidRPr="007B7D08">
              <w:rPr>
                <w:rFonts w:ascii="Arial Narrow" w:eastAsia="Times New Roman" w:hAnsi="Arial Narrow" w:cs="Times New Roman"/>
                <w:color w:val="000000"/>
                <w:sz w:val="18"/>
                <w:szCs w:val="18"/>
                <w:lang w:val="en-US" w:eastAsia="it-IT"/>
              </w:rPr>
              <w:t xml:space="preserve">Total </w:t>
            </w:r>
            <w:r>
              <w:rPr>
                <w:rFonts w:ascii="Arial Narrow" w:eastAsia="Times New Roman" w:hAnsi="Arial Narrow" w:cs="Times New Roman"/>
                <w:color w:val="000000"/>
                <w:sz w:val="18"/>
                <w:szCs w:val="18"/>
                <w:lang w:val="en-US" w:eastAsia="it-IT"/>
              </w:rPr>
              <w:t>AWU</w:t>
            </w:r>
            <w:r w:rsidRPr="007B7D08">
              <w:rPr>
                <w:rFonts w:ascii="Arial Narrow" w:eastAsia="Times New Roman" w:hAnsi="Arial Narrow" w:cs="Times New Roman"/>
                <w:color w:val="000000"/>
                <w:sz w:val="18"/>
                <w:szCs w:val="18"/>
                <w:lang w:val="en-US" w:eastAsia="it-IT"/>
              </w:rPr>
              <w:t xml:space="preserve"> in thousands of units</w:t>
            </w:r>
          </w:p>
        </w:tc>
        <w:tc>
          <w:tcPr>
            <w:tcW w:w="590" w:type="pct"/>
            <w:vMerge w:val="restart"/>
            <w:tcBorders>
              <w:top w:val="nil"/>
              <w:left w:val="nil"/>
              <w:bottom w:val="single" w:sz="4" w:space="0" w:color="000000"/>
              <w:right w:val="nil"/>
            </w:tcBorders>
            <w:shd w:val="clear" w:color="auto" w:fill="auto"/>
            <w:vAlign w:val="center"/>
            <w:hideMark/>
          </w:tcPr>
          <w:p w14:paraId="5D99BCF2" w14:textId="496F6F3B" w:rsidR="0002296B" w:rsidRPr="007B7D08" w:rsidRDefault="0068354E" w:rsidP="00463EB5">
            <w:pPr>
              <w:widowControl/>
              <w:autoSpaceDE/>
              <w:autoSpaceDN/>
              <w:spacing w:before="40" w:after="20"/>
              <w:jc w:val="right"/>
              <w:rPr>
                <w:rFonts w:ascii="Arial Narrow" w:eastAsia="Times New Roman" w:hAnsi="Arial Narrow" w:cs="Times New Roman"/>
                <w:color w:val="000000"/>
                <w:sz w:val="18"/>
                <w:szCs w:val="18"/>
                <w:lang w:val="en-US" w:eastAsia="it-IT"/>
              </w:rPr>
            </w:pPr>
            <w:r w:rsidRPr="0068354E">
              <w:rPr>
                <w:rFonts w:ascii="Arial Narrow" w:eastAsia="Times New Roman" w:hAnsi="Arial Narrow" w:cs="Times New Roman"/>
                <w:color w:val="000000"/>
                <w:sz w:val="18"/>
                <w:szCs w:val="18"/>
                <w:lang w:val="en-US" w:eastAsia="it-IT"/>
              </w:rPr>
              <w:t>Changes %</w:t>
            </w:r>
          </w:p>
        </w:tc>
        <w:tc>
          <w:tcPr>
            <w:tcW w:w="76" w:type="pct"/>
            <w:tcBorders>
              <w:top w:val="nil"/>
              <w:left w:val="nil"/>
              <w:bottom w:val="nil"/>
              <w:right w:val="nil"/>
            </w:tcBorders>
            <w:shd w:val="clear" w:color="auto" w:fill="auto"/>
            <w:vAlign w:val="center"/>
            <w:hideMark/>
          </w:tcPr>
          <w:p w14:paraId="6DF277E9" w14:textId="77777777" w:rsidR="0002296B" w:rsidRPr="007B7D08" w:rsidRDefault="0002296B" w:rsidP="00463EB5">
            <w:pPr>
              <w:widowControl/>
              <w:autoSpaceDE/>
              <w:autoSpaceDN/>
              <w:spacing w:before="40" w:after="20"/>
              <w:jc w:val="right"/>
              <w:rPr>
                <w:rFonts w:ascii="Arial Narrow" w:eastAsia="Times New Roman" w:hAnsi="Arial Narrow" w:cs="Times New Roman"/>
                <w:color w:val="000000"/>
                <w:sz w:val="18"/>
                <w:szCs w:val="18"/>
                <w:lang w:val="en-US" w:eastAsia="it-IT"/>
              </w:rPr>
            </w:pPr>
          </w:p>
        </w:tc>
        <w:tc>
          <w:tcPr>
            <w:tcW w:w="678" w:type="pct"/>
            <w:vMerge w:val="restart"/>
            <w:tcBorders>
              <w:top w:val="nil"/>
              <w:left w:val="nil"/>
              <w:bottom w:val="single" w:sz="4" w:space="0" w:color="000000"/>
              <w:right w:val="nil"/>
            </w:tcBorders>
            <w:shd w:val="clear" w:color="auto" w:fill="auto"/>
            <w:vAlign w:val="center"/>
            <w:hideMark/>
          </w:tcPr>
          <w:p w14:paraId="09EF2A59" w14:textId="33DEB3F3" w:rsidR="0002296B" w:rsidRPr="007B7D08" w:rsidRDefault="0068354E" w:rsidP="00463EB5">
            <w:pPr>
              <w:widowControl/>
              <w:autoSpaceDE/>
              <w:autoSpaceDN/>
              <w:spacing w:before="40" w:after="20"/>
              <w:jc w:val="right"/>
              <w:rPr>
                <w:rFonts w:ascii="Arial Narrow" w:eastAsia="Times New Roman" w:hAnsi="Arial Narrow" w:cs="Times New Roman"/>
                <w:color w:val="000000"/>
                <w:sz w:val="18"/>
                <w:szCs w:val="18"/>
                <w:lang w:val="en-US" w:eastAsia="it-IT"/>
              </w:rPr>
            </w:pPr>
            <w:r w:rsidRPr="0068354E">
              <w:rPr>
                <w:rFonts w:ascii="Arial Narrow" w:eastAsia="Times New Roman" w:hAnsi="Arial Narrow" w:cs="Times New Roman"/>
                <w:color w:val="000000"/>
                <w:sz w:val="18"/>
                <w:szCs w:val="18"/>
                <w:lang w:val="en-US" w:eastAsia="it-IT"/>
              </w:rPr>
              <w:t>Total AWU in thousands of units</w:t>
            </w:r>
          </w:p>
        </w:tc>
        <w:tc>
          <w:tcPr>
            <w:tcW w:w="567" w:type="pct"/>
            <w:vMerge w:val="restart"/>
            <w:tcBorders>
              <w:top w:val="nil"/>
              <w:left w:val="nil"/>
              <w:bottom w:val="single" w:sz="4" w:space="0" w:color="000000"/>
              <w:right w:val="nil"/>
            </w:tcBorders>
            <w:shd w:val="clear" w:color="auto" w:fill="auto"/>
            <w:vAlign w:val="center"/>
            <w:hideMark/>
          </w:tcPr>
          <w:p w14:paraId="37383FD2" w14:textId="66620D4E" w:rsidR="0002296B" w:rsidRPr="00AA1A17" w:rsidRDefault="0068354E" w:rsidP="00463EB5">
            <w:pPr>
              <w:widowControl/>
              <w:autoSpaceDE/>
              <w:autoSpaceDN/>
              <w:spacing w:before="40" w:after="20"/>
              <w:jc w:val="right"/>
              <w:rPr>
                <w:rFonts w:ascii="Arial Narrow" w:eastAsia="Times New Roman" w:hAnsi="Arial Narrow" w:cs="Times New Roman"/>
                <w:color w:val="000000"/>
                <w:sz w:val="18"/>
                <w:szCs w:val="18"/>
                <w:lang w:eastAsia="it-IT"/>
              </w:rPr>
            </w:pPr>
            <w:r w:rsidRPr="0068354E">
              <w:rPr>
                <w:rFonts w:ascii="Arial Narrow" w:eastAsia="Times New Roman" w:hAnsi="Arial Narrow" w:cs="Times New Roman"/>
                <w:color w:val="000000"/>
                <w:sz w:val="18"/>
                <w:szCs w:val="18"/>
                <w:lang w:val="en-US" w:eastAsia="it-IT"/>
              </w:rPr>
              <w:t>Changes %</w:t>
            </w:r>
          </w:p>
        </w:tc>
      </w:tr>
      <w:tr w:rsidR="0002296B" w:rsidRPr="00AA1A17" w14:paraId="5C09B611" w14:textId="77777777" w:rsidTr="00050B6D">
        <w:trPr>
          <w:trHeight w:val="238"/>
        </w:trPr>
        <w:tc>
          <w:tcPr>
            <w:tcW w:w="2394" w:type="pct"/>
            <w:vMerge/>
            <w:tcBorders>
              <w:top w:val="single" w:sz="4" w:space="0" w:color="auto"/>
              <w:left w:val="nil"/>
              <w:bottom w:val="single" w:sz="4" w:space="0" w:color="000000"/>
              <w:right w:val="nil"/>
            </w:tcBorders>
            <w:vAlign w:val="center"/>
            <w:hideMark/>
          </w:tcPr>
          <w:p w14:paraId="6F6EB6E4" w14:textId="77777777" w:rsidR="0002296B" w:rsidRPr="00AA1A17" w:rsidRDefault="0002296B" w:rsidP="00463EB5">
            <w:pPr>
              <w:widowControl/>
              <w:autoSpaceDE/>
              <w:autoSpaceDN/>
              <w:spacing w:before="40" w:after="20"/>
              <w:rPr>
                <w:rFonts w:ascii="Arial Narrow" w:eastAsia="Times New Roman" w:hAnsi="Arial Narrow" w:cs="Times New Roman"/>
                <w:b/>
                <w:bCs/>
                <w:sz w:val="18"/>
                <w:szCs w:val="18"/>
                <w:lang w:eastAsia="it-IT"/>
              </w:rPr>
            </w:pPr>
          </w:p>
        </w:tc>
        <w:tc>
          <w:tcPr>
            <w:tcW w:w="696" w:type="pct"/>
            <w:vMerge/>
            <w:tcBorders>
              <w:top w:val="nil"/>
              <w:left w:val="nil"/>
              <w:bottom w:val="single" w:sz="4" w:space="0" w:color="000000"/>
              <w:right w:val="nil"/>
            </w:tcBorders>
            <w:vAlign w:val="center"/>
            <w:hideMark/>
          </w:tcPr>
          <w:p w14:paraId="056B4E34" w14:textId="77777777" w:rsidR="0002296B" w:rsidRPr="00AA1A17" w:rsidRDefault="0002296B" w:rsidP="00463EB5">
            <w:pPr>
              <w:widowControl/>
              <w:autoSpaceDE/>
              <w:autoSpaceDN/>
              <w:spacing w:before="40" w:after="20"/>
              <w:rPr>
                <w:rFonts w:ascii="Arial Narrow" w:eastAsia="Times New Roman" w:hAnsi="Arial Narrow" w:cs="Times New Roman"/>
                <w:color w:val="000000"/>
                <w:sz w:val="18"/>
                <w:szCs w:val="18"/>
                <w:lang w:eastAsia="it-IT"/>
              </w:rPr>
            </w:pPr>
          </w:p>
        </w:tc>
        <w:tc>
          <w:tcPr>
            <w:tcW w:w="590" w:type="pct"/>
            <w:vMerge/>
            <w:tcBorders>
              <w:top w:val="nil"/>
              <w:left w:val="nil"/>
              <w:bottom w:val="single" w:sz="4" w:space="0" w:color="000000"/>
              <w:right w:val="nil"/>
            </w:tcBorders>
            <w:vAlign w:val="center"/>
            <w:hideMark/>
          </w:tcPr>
          <w:p w14:paraId="00A3E0A9" w14:textId="77777777" w:rsidR="0002296B" w:rsidRPr="00AA1A17" w:rsidRDefault="0002296B" w:rsidP="00463EB5">
            <w:pPr>
              <w:widowControl/>
              <w:autoSpaceDE/>
              <w:autoSpaceDN/>
              <w:spacing w:before="40" w:after="20"/>
              <w:rPr>
                <w:rFonts w:ascii="Arial Narrow" w:eastAsia="Times New Roman" w:hAnsi="Arial Narrow" w:cs="Times New Roman"/>
                <w:color w:val="000000"/>
                <w:sz w:val="18"/>
                <w:szCs w:val="18"/>
                <w:lang w:eastAsia="it-IT"/>
              </w:rPr>
            </w:pPr>
          </w:p>
        </w:tc>
        <w:tc>
          <w:tcPr>
            <w:tcW w:w="76" w:type="pct"/>
            <w:tcBorders>
              <w:top w:val="nil"/>
              <w:left w:val="nil"/>
              <w:bottom w:val="nil"/>
              <w:right w:val="nil"/>
            </w:tcBorders>
            <w:shd w:val="clear" w:color="auto" w:fill="auto"/>
            <w:vAlign w:val="center"/>
            <w:hideMark/>
          </w:tcPr>
          <w:p w14:paraId="29EE569D" w14:textId="77777777" w:rsidR="0002296B" w:rsidRPr="00AA1A17" w:rsidRDefault="0002296B" w:rsidP="00463EB5">
            <w:pPr>
              <w:widowControl/>
              <w:autoSpaceDE/>
              <w:autoSpaceDN/>
              <w:spacing w:before="40" w:after="20"/>
              <w:jc w:val="right"/>
              <w:rPr>
                <w:rFonts w:ascii="Arial Narrow" w:eastAsia="Times New Roman" w:hAnsi="Arial Narrow" w:cs="Times New Roman"/>
                <w:color w:val="000000"/>
                <w:sz w:val="18"/>
                <w:szCs w:val="18"/>
                <w:lang w:eastAsia="it-IT"/>
              </w:rPr>
            </w:pPr>
          </w:p>
        </w:tc>
        <w:tc>
          <w:tcPr>
            <w:tcW w:w="678" w:type="pct"/>
            <w:vMerge/>
            <w:tcBorders>
              <w:top w:val="nil"/>
              <w:left w:val="nil"/>
              <w:bottom w:val="single" w:sz="4" w:space="0" w:color="000000"/>
              <w:right w:val="nil"/>
            </w:tcBorders>
            <w:vAlign w:val="center"/>
            <w:hideMark/>
          </w:tcPr>
          <w:p w14:paraId="377D86C0" w14:textId="77777777" w:rsidR="0002296B" w:rsidRPr="00AA1A17" w:rsidRDefault="0002296B" w:rsidP="00463EB5">
            <w:pPr>
              <w:widowControl/>
              <w:autoSpaceDE/>
              <w:autoSpaceDN/>
              <w:spacing w:before="40" w:after="20"/>
              <w:rPr>
                <w:rFonts w:ascii="Arial Narrow" w:eastAsia="Times New Roman" w:hAnsi="Arial Narrow" w:cs="Times New Roman"/>
                <w:color w:val="000000"/>
                <w:sz w:val="18"/>
                <w:szCs w:val="18"/>
                <w:lang w:eastAsia="it-IT"/>
              </w:rPr>
            </w:pPr>
          </w:p>
        </w:tc>
        <w:tc>
          <w:tcPr>
            <w:tcW w:w="567" w:type="pct"/>
            <w:vMerge/>
            <w:tcBorders>
              <w:top w:val="nil"/>
              <w:left w:val="nil"/>
              <w:bottom w:val="single" w:sz="4" w:space="0" w:color="000000"/>
              <w:right w:val="nil"/>
            </w:tcBorders>
            <w:vAlign w:val="center"/>
            <w:hideMark/>
          </w:tcPr>
          <w:p w14:paraId="65A73E30" w14:textId="77777777" w:rsidR="0002296B" w:rsidRPr="00AA1A17" w:rsidRDefault="0002296B" w:rsidP="00463EB5">
            <w:pPr>
              <w:widowControl/>
              <w:autoSpaceDE/>
              <w:autoSpaceDN/>
              <w:spacing w:before="40" w:after="20"/>
              <w:rPr>
                <w:rFonts w:ascii="Arial Narrow" w:eastAsia="Times New Roman" w:hAnsi="Arial Narrow" w:cs="Times New Roman"/>
                <w:color w:val="000000"/>
                <w:sz w:val="18"/>
                <w:szCs w:val="18"/>
                <w:lang w:eastAsia="it-IT"/>
              </w:rPr>
            </w:pPr>
          </w:p>
        </w:tc>
      </w:tr>
      <w:tr w:rsidR="0002296B" w:rsidRPr="00AA1A17" w14:paraId="5922C6E3" w14:textId="77777777" w:rsidTr="00050B6D">
        <w:trPr>
          <w:trHeight w:val="238"/>
        </w:trPr>
        <w:tc>
          <w:tcPr>
            <w:tcW w:w="2394" w:type="pct"/>
            <w:tcBorders>
              <w:top w:val="nil"/>
              <w:left w:val="nil"/>
              <w:bottom w:val="nil"/>
              <w:right w:val="nil"/>
            </w:tcBorders>
            <w:shd w:val="clear" w:color="000000" w:fill="FFFFFF"/>
            <w:noWrap/>
            <w:vAlign w:val="center"/>
            <w:hideMark/>
          </w:tcPr>
          <w:p w14:paraId="7B9A82F6" w14:textId="49E4428E" w:rsidR="0002296B" w:rsidRPr="00AA1A17" w:rsidRDefault="007B7D08" w:rsidP="00463EB5">
            <w:pPr>
              <w:widowControl/>
              <w:autoSpaceDE/>
              <w:autoSpaceDN/>
              <w:spacing w:before="40" w:after="20"/>
              <w:rPr>
                <w:rFonts w:ascii="Arial Narrow" w:eastAsia="Times New Roman" w:hAnsi="Arial Narrow" w:cs="Times New Roman"/>
                <w:sz w:val="18"/>
                <w:szCs w:val="18"/>
                <w:lang w:eastAsia="it-IT"/>
              </w:rPr>
            </w:pPr>
            <w:proofErr w:type="spellStart"/>
            <w:r w:rsidRPr="007B7D08">
              <w:rPr>
                <w:rFonts w:ascii="Arial Narrow" w:eastAsia="Times New Roman" w:hAnsi="Arial Narrow" w:cs="Times New Roman"/>
                <w:sz w:val="18"/>
                <w:szCs w:val="18"/>
                <w:lang w:eastAsia="it-IT"/>
              </w:rPr>
              <w:t>Agriculture</w:t>
            </w:r>
            <w:proofErr w:type="spellEnd"/>
            <w:r w:rsidRPr="007B7D08">
              <w:rPr>
                <w:rFonts w:ascii="Arial Narrow" w:eastAsia="Times New Roman" w:hAnsi="Arial Narrow" w:cs="Times New Roman"/>
                <w:sz w:val="18"/>
                <w:szCs w:val="18"/>
                <w:lang w:eastAsia="it-IT"/>
              </w:rPr>
              <w:t xml:space="preserve">, </w:t>
            </w:r>
            <w:proofErr w:type="spellStart"/>
            <w:r w:rsidRPr="007B7D08">
              <w:rPr>
                <w:rFonts w:ascii="Arial Narrow" w:eastAsia="Times New Roman" w:hAnsi="Arial Narrow" w:cs="Times New Roman"/>
                <w:sz w:val="18"/>
                <w:szCs w:val="18"/>
                <w:lang w:eastAsia="it-IT"/>
              </w:rPr>
              <w:t>forestry</w:t>
            </w:r>
            <w:proofErr w:type="spellEnd"/>
            <w:r w:rsidRPr="007B7D08">
              <w:rPr>
                <w:rFonts w:ascii="Arial Narrow" w:eastAsia="Times New Roman" w:hAnsi="Arial Narrow" w:cs="Times New Roman"/>
                <w:sz w:val="18"/>
                <w:szCs w:val="18"/>
                <w:lang w:eastAsia="it-IT"/>
              </w:rPr>
              <w:t xml:space="preserve"> and fishing</w:t>
            </w:r>
          </w:p>
        </w:tc>
        <w:tc>
          <w:tcPr>
            <w:tcW w:w="696" w:type="pct"/>
            <w:tcBorders>
              <w:top w:val="nil"/>
              <w:left w:val="nil"/>
              <w:bottom w:val="nil"/>
              <w:right w:val="nil"/>
            </w:tcBorders>
            <w:shd w:val="clear" w:color="auto" w:fill="D9D9D9" w:themeFill="background1" w:themeFillShade="D9"/>
            <w:noWrap/>
            <w:vAlign w:val="center"/>
            <w:hideMark/>
          </w:tcPr>
          <w:p w14:paraId="719F20EF"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1.223</w:t>
            </w:r>
          </w:p>
        </w:tc>
        <w:tc>
          <w:tcPr>
            <w:tcW w:w="590" w:type="pct"/>
            <w:tcBorders>
              <w:top w:val="nil"/>
              <w:left w:val="nil"/>
              <w:bottom w:val="nil"/>
              <w:right w:val="nil"/>
            </w:tcBorders>
            <w:shd w:val="clear" w:color="auto" w:fill="auto"/>
            <w:noWrap/>
            <w:vAlign w:val="center"/>
            <w:hideMark/>
          </w:tcPr>
          <w:p w14:paraId="00BF5D8D"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-2,0</w:t>
            </w:r>
          </w:p>
        </w:tc>
        <w:tc>
          <w:tcPr>
            <w:tcW w:w="76" w:type="pct"/>
            <w:tcBorders>
              <w:top w:val="nil"/>
              <w:left w:val="nil"/>
              <w:bottom w:val="nil"/>
              <w:right w:val="nil"/>
            </w:tcBorders>
            <w:shd w:val="clear" w:color="auto" w:fill="auto"/>
            <w:noWrap/>
            <w:vAlign w:val="center"/>
            <w:hideMark/>
          </w:tcPr>
          <w:p w14:paraId="48748CEA"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p>
        </w:tc>
        <w:tc>
          <w:tcPr>
            <w:tcW w:w="678" w:type="pct"/>
            <w:tcBorders>
              <w:top w:val="nil"/>
              <w:left w:val="nil"/>
              <w:bottom w:val="nil"/>
              <w:right w:val="nil"/>
            </w:tcBorders>
            <w:shd w:val="clear" w:color="auto" w:fill="D9D9D9" w:themeFill="background1" w:themeFillShade="D9"/>
            <w:noWrap/>
            <w:vAlign w:val="center"/>
            <w:hideMark/>
          </w:tcPr>
          <w:p w14:paraId="3A4ECAAC"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1.259</w:t>
            </w:r>
          </w:p>
        </w:tc>
        <w:tc>
          <w:tcPr>
            <w:tcW w:w="567" w:type="pct"/>
            <w:tcBorders>
              <w:top w:val="nil"/>
              <w:left w:val="nil"/>
              <w:bottom w:val="nil"/>
              <w:right w:val="nil"/>
            </w:tcBorders>
            <w:shd w:val="clear" w:color="auto" w:fill="auto"/>
            <w:noWrap/>
            <w:vAlign w:val="center"/>
            <w:hideMark/>
          </w:tcPr>
          <w:p w14:paraId="7BC1E95E" w14:textId="78513FE9" w:rsidR="0002296B" w:rsidRPr="00AA1A17" w:rsidRDefault="00486697"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w:t>
            </w:r>
            <w:r w:rsidR="0002296B" w:rsidRPr="00AA1A17">
              <w:rPr>
                <w:rFonts w:ascii="Arial Narrow" w:eastAsia="Times New Roman" w:hAnsi="Arial Narrow" w:cs="Times New Roman"/>
                <w:sz w:val="18"/>
                <w:szCs w:val="18"/>
                <w:lang w:eastAsia="it-IT"/>
              </w:rPr>
              <w:t>3,0</w:t>
            </w:r>
          </w:p>
        </w:tc>
      </w:tr>
      <w:tr w:rsidR="0002296B" w:rsidRPr="00AA1A17" w14:paraId="1B1D181B" w14:textId="77777777" w:rsidTr="00050B6D">
        <w:trPr>
          <w:trHeight w:val="238"/>
        </w:trPr>
        <w:tc>
          <w:tcPr>
            <w:tcW w:w="2394" w:type="pct"/>
            <w:tcBorders>
              <w:top w:val="single" w:sz="4" w:space="0" w:color="auto"/>
              <w:left w:val="nil"/>
              <w:bottom w:val="single" w:sz="4" w:space="0" w:color="auto"/>
              <w:right w:val="nil"/>
            </w:tcBorders>
            <w:shd w:val="clear" w:color="000000" w:fill="FFFFFF"/>
            <w:noWrap/>
            <w:vAlign w:val="center"/>
            <w:hideMark/>
          </w:tcPr>
          <w:p w14:paraId="2634E987" w14:textId="1F73C998" w:rsidR="0002296B" w:rsidRPr="00AA1A17" w:rsidRDefault="007B7D08" w:rsidP="00463EB5">
            <w:pPr>
              <w:widowControl/>
              <w:autoSpaceDE/>
              <w:autoSpaceDN/>
              <w:spacing w:before="40" w:after="20"/>
              <w:rPr>
                <w:rFonts w:ascii="Arial Narrow" w:eastAsia="Times New Roman" w:hAnsi="Arial Narrow" w:cs="Times New Roman"/>
                <w:sz w:val="18"/>
                <w:szCs w:val="18"/>
                <w:lang w:eastAsia="it-IT"/>
              </w:rPr>
            </w:pPr>
            <w:r w:rsidRPr="007B7D08">
              <w:rPr>
                <w:rFonts w:ascii="Arial Narrow" w:eastAsia="Times New Roman" w:hAnsi="Arial Narrow" w:cs="Times New Roman"/>
                <w:sz w:val="18"/>
                <w:szCs w:val="18"/>
                <w:lang w:eastAsia="it-IT"/>
              </w:rPr>
              <w:t>Industry</w:t>
            </w:r>
          </w:p>
        </w:tc>
        <w:tc>
          <w:tcPr>
            <w:tcW w:w="696" w:type="pct"/>
            <w:tcBorders>
              <w:top w:val="single" w:sz="4" w:space="0" w:color="auto"/>
              <w:left w:val="nil"/>
              <w:bottom w:val="single" w:sz="4" w:space="0" w:color="auto"/>
              <w:right w:val="nil"/>
            </w:tcBorders>
            <w:shd w:val="clear" w:color="auto" w:fill="D9D9D9" w:themeFill="background1" w:themeFillShade="D9"/>
            <w:noWrap/>
            <w:vAlign w:val="center"/>
            <w:hideMark/>
          </w:tcPr>
          <w:p w14:paraId="56EFAB92"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3.355</w:t>
            </w:r>
          </w:p>
        </w:tc>
        <w:tc>
          <w:tcPr>
            <w:tcW w:w="590" w:type="pct"/>
            <w:tcBorders>
              <w:top w:val="single" w:sz="4" w:space="0" w:color="auto"/>
              <w:left w:val="nil"/>
              <w:bottom w:val="single" w:sz="4" w:space="0" w:color="auto"/>
              <w:right w:val="nil"/>
            </w:tcBorders>
            <w:shd w:val="clear" w:color="auto" w:fill="auto"/>
            <w:noWrap/>
            <w:vAlign w:val="center"/>
            <w:hideMark/>
          </w:tcPr>
          <w:p w14:paraId="4395DD7A"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-10,7</w:t>
            </w:r>
          </w:p>
        </w:tc>
        <w:tc>
          <w:tcPr>
            <w:tcW w:w="76" w:type="pct"/>
            <w:tcBorders>
              <w:top w:val="nil"/>
              <w:left w:val="nil"/>
              <w:bottom w:val="nil"/>
              <w:right w:val="nil"/>
            </w:tcBorders>
            <w:shd w:val="clear" w:color="auto" w:fill="auto"/>
            <w:noWrap/>
            <w:vAlign w:val="center"/>
            <w:hideMark/>
          </w:tcPr>
          <w:p w14:paraId="675E5833"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p>
        </w:tc>
        <w:tc>
          <w:tcPr>
            <w:tcW w:w="678" w:type="pct"/>
            <w:tcBorders>
              <w:top w:val="single" w:sz="4" w:space="0" w:color="auto"/>
              <w:left w:val="nil"/>
              <w:bottom w:val="single" w:sz="4" w:space="0" w:color="auto"/>
              <w:right w:val="nil"/>
            </w:tcBorders>
            <w:shd w:val="clear" w:color="auto" w:fill="D9D9D9" w:themeFill="background1" w:themeFillShade="D9"/>
            <w:noWrap/>
            <w:vAlign w:val="center"/>
            <w:hideMark/>
          </w:tcPr>
          <w:p w14:paraId="296A964A"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3.704</w:t>
            </w:r>
          </w:p>
        </w:tc>
        <w:tc>
          <w:tcPr>
            <w:tcW w:w="567" w:type="pct"/>
            <w:tcBorders>
              <w:top w:val="single" w:sz="4" w:space="0" w:color="auto"/>
              <w:left w:val="nil"/>
              <w:bottom w:val="single" w:sz="4" w:space="0" w:color="auto"/>
              <w:right w:val="nil"/>
            </w:tcBorders>
            <w:shd w:val="clear" w:color="auto" w:fill="auto"/>
            <w:noWrap/>
            <w:vAlign w:val="center"/>
            <w:hideMark/>
          </w:tcPr>
          <w:p w14:paraId="79144EB9" w14:textId="600DC1B5" w:rsidR="0002296B" w:rsidRPr="00AA1A17" w:rsidRDefault="00486697"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w:t>
            </w:r>
            <w:r w:rsidR="0002296B" w:rsidRPr="00AA1A17">
              <w:rPr>
                <w:rFonts w:ascii="Arial Narrow" w:eastAsia="Times New Roman" w:hAnsi="Arial Narrow" w:cs="Times New Roman"/>
                <w:sz w:val="18"/>
                <w:szCs w:val="18"/>
                <w:lang w:eastAsia="it-IT"/>
              </w:rPr>
              <w:t>10,4</w:t>
            </w:r>
          </w:p>
        </w:tc>
      </w:tr>
      <w:tr w:rsidR="0002296B" w:rsidRPr="00AA1A17" w14:paraId="0EC5D321" w14:textId="77777777" w:rsidTr="00050B6D">
        <w:trPr>
          <w:trHeight w:val="238"/>
        </w:trPr>
        <w:tc>
          <w:tcPr>
            <w:tcW w:w="2394" w:type="pct"/>
            <w:tcBorders>
              <w:top w:val="nil"/>
              <w:left w:val="nil"/>
              <w:bottom w:val="nil"/>
              <w:right w:val="nil"/>
            </w:tcBorders>
            <w:shd w:val="clear" w:color="000000" w:fill="FFFFFF"/>
            <w:noWrap/>
            <w:vAlign w:val="center"/>
            <w:hideMark/>
          </w:tcPr>
          <w:p w14:paraId="463271E4" w14:textId="0A3F5024" w:rsidR="0002296B" w:rsidRPr="007B7D08" w:rsidRDefault="0002296B" w:rsidP="00463EB5">
            <w:pPr>
              <w:widowControl/>
              <w:autoSpaceDE/>
              <w:autoSpaceDN/>
              <w:spacing w:before="40" w:after="20"/>
              <w:rPr>
                <w:rFonts w:ascii="Arial Narrow" w:eastAsia="Times New Roman" w:hAnsi="Arial Narrow" w:cs="Times New Roman"/>
                <w:sz w:val="18"/>
                <w:szCs w:val="18"/>
                <w:lang w:val="en-US" w:eastAsia="it-IT"/>
              </w:rPr>
            </w:pPr>
            <w:r w:rsidRPr="007B7D08">
              <w:rPr>
                <w:rFonts w:ascii="Arial Narrow" w:eastAsia="Times New Roman" w:hAnsi="Arial Narrow" w:cs="Times New Roman"/>
                <w:sz w:val="18"/>
                <w:szCs w:val="18"/>
                <w:lang w:val="en-US" w:eastAsia="it-IT"/>
              </w:rPr>
              <w:t xml:space="preserve"> - </w:t>
            </w:r>
            <w:r w:rsidR="007B7D08" w:rsidRPr="007B7D08">
              <w:rPr>
                <w:rFonts w:ascii="Arial Narrow" w:eastAsia="Times New Roman" w:hAnsi="Arial Narrow" w:cs="Times New Roman"/>
                <w:sz w:val="18"/>
                <w:szCs w:val="18"/>
                <w:lang w:val="en-US" w:eastAsia="it-IT"/>
              </w:rPr>
              <w:t xml:space="preserve">of which food, </w:t>
            </w:r>
            <w:proofErr w:type="gramStart"/>
            <w:r w:rsidR="007B7D08" w:rsidRPr="007B7D08">
              <w:rPr>
                <w:rFonts w:ascii="Arial Narrow" w:eastAsia="Times New Roman" w:hAnsi="Arial Narrow" w:cs="Times New Roman"/>
                <w:sz w:val="18"/>
                <w:szCs w:val="18"/>
                <w:lang w:val="en-US" w:eastAsia="it-IT"/>
              </w:rPr>
              <w:t>beverages</w:t>
            </w:r>
            <w:proofErr w:type="gramEnd"/>
            <w:r w:rsidR="007B7D08" w:rsidRPr="007B7D08">
              <w:rPr>
                <w:rFonts w:ascii="Arial Narrow" w:eastAsia="Times New Roman" w:hAnsi="Arial Narrow" w:cs="Times New Roman"/>
                <w:sz w:val="18"/>
                <w:szCs w:val="18"/>
                <w:lang w:val="en-US" w:eastAsia="it-IT"/>
              </w:rPr>
              <w:t xml:space="preserve"> and tobacco</w:t>
            </w:r>
          </w:p>
        </w:tc>
        <w:tc>
          <w:tcPr>
            <w:tcW w:w="696" w:type="pct"/>
            <w:tcBorders>
              <w:top w:val="nil"/>
              <w:left w:val="nil"/>
              <w:bottom w:val="nil"/>
              <w:right w:val="nil"/>
            </w:tcBorders>
            <w:shd w:val="clear" w:color="auto" w:fill="D9D9D9" w:themeFill="background1" w:themeFillShade="D9"/>
            <w:noWrap/>
            <w:vAlign w:val="center"/>
            <w:hideMark/>
          </w:tcPr>
          <w:p w14:paraId="18480681"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408</w:t>
            </w:r>
          </w:p>
        </w:tc>
        <w:tc>
          <w:tcPr>
            <w:tcW w:w="590" w:type="pct"/>
            <w:tcBorders>
              <w:top w:val="nil"/>
              <w:left w:val="nil"/>
              <w:bottom w:val="nil"/>
              <w:right w:val="nil"/>
            </w:tcBorders>
            <w:shd w:val="clear" w:color="auto" w:fill="auto"/>
            <w:noWrap/>
            <w:vAlign w:val="center"/>
            <w:hideMark/>
          </w:tcPr>
          <w:p w14:paraId="1E2E5211"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-5,2</w:t>
            </w:r>
          </w:p>
        </w:tc>
        <w:tc>
          <w:tcPr>
            <w:tcW w:w="76" w:type="pct"/>
            <w:tcBorders>
              <w:top w:val="nil"/>
              <w:left w:val="nil"/>
              <w:bottom w:val="nil"/>
              <w:right w:val="nil"/>
            </w:tcBorders>
            <w:shd w:val="clear" w:color="auto" w:fill="auto"/>
            <w:noWrap/>
            <w:vAlign w:val="center"/>
            <w:hideMark/>
          </w:tcPr>
          <w:p w14:paraId="720F096D"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p>
        </w:tc>
        <w:tc>
          <w:tcPr>
            <w:tcW w:w="678" w:type="pct"/>
            <w:tcBorders>
              <w:top w:val="nil"/>
              <w:left w:val="nil"/>
              <w:bottom w:val="nil"/>
              <w:right w:val="nil"/>
            </w:tcBorders>
            <w:shd w:val="clear" w:color="auto" w:fill="D9D9D9" w:themeFill="background1" w:themeFillShade="D9"/>
            <w:noWrap/>
            <w:vAlign w:val="center"/>
            <w:hideMark/>
          </w:tcPr>
          <w:p w14:paraId="45E97DBA"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430</w:t>
            </w:r>
          </w:p>
        </w:tc>
        <w:tc>
          <w:tcPr>
            <w:tcW w:w="567" w:type="pct"/>
            <w:tcBorders>
              <w:top w:val="nil"/>
              <w:left w:val="nil"/>
              <w:bottom w:val="nil"/>
              <w:right w:val="nil"/>
            </w:tcBorders>
            <w:shd w:val="clear" w:color="auto" w:fill="auto"/>
            <w:noWrap/>
            <w:vAlign w:val="center"/>
            <w:hideMark/>
          </w:tcPr>
          <w:p w14:paraId="29892E66" w14:textId="0ACD2488" w:rsidR="0002296B" w:rsidRPr="00AA1A17" w:rsidRDefault="00486697"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w:t>
            </w:r>
            <w:r w:rsidR="0002296B" w:rsidRPr="00AA1A17">
              <w:rPr>
                <w:rFonts w:ascii="Arial Narrow" w:eastAsia="Times New Roman" w:hAnsi="Arial Narrow" w:cs="Times New Roman"/>
                <w:sz w:val="18"/>
                <w:szCs w:val="18"/>
                <w:lang w:eastAsia="it-IT"/>
              </w:rPr>
              <w:t>5,4</w:t>
            </w:r>
          </w:p>
        </w:tc>
      </w:tr>
      <w:tr w:rsidR="0002296B" w:rsidRPr="00AA1A17" w14:paraId="29E2A01D" w14:textId="77777777" w:rsidTr="00050B6D">
        <w:trPr>
          <w:trHeight w:val="238"/>
        </w:trPr>
        <w:tc>
          <w:tcPr>
            <w:tcW w:w="2394" w:type="pct"/>
            <w:tcBorders>
              <w:top w:val="single" w:sz="4" w:space="0" w:color="auto"/>
              <w:left w:val="nil"/>
              <w:bottom w:val="single" w:sz="4" w:space="0" w:color="auto"/>
              <w:right w:val="nil"/>
            </w:tcBorders>
            <w:shd w:val="clear" w:color="000000" w:fill="FFFFFF"/>
            <w:noWrap/>
            <w:vAlign w:val="center"/>
            <w:hideMark/>
          </w:tcPr>
          <w:p w14:paraId="564144D2" w14:textId="7E6751E4" w:rsidR="0002296B" w:rsidRPr="00AA1A17" w:rsidRDefault="007B7D08" w:rsidP="00463EB5">
            <w:pPr>
              <w:widowControl/>
              <w:autoSpaceDE/>
              <w:autoSpaceDN/>
              <w:spacing w:before="40" w:after="20"/>
              <w:rPr>
                <w:rFonts w:ascii="Arial Narrow" w:eastAsia="Times New Roman" w:hAnsi="Arial Narrow" w:cs="Times New Roman"/>
                <w:sz w:val="18"/>
                <w:szCs w:val="18"/>
                <w:lang w:eastAsia="it-IT"/>
              </w:rPr>
            </w:pPr>
            <w:r w:rsidRPr="007B7D08">
              <w:rPr>
                <w:rFonts w:ascii="Arial Narrow" w:eastAsia="Times New Roman" w:hAnsi="Arial Narrow" w:cs="Times New Roman"/>
                <w:sz w:val="18"/>
                <w:szCs w:val="18"/>
                <w:lang w:eastAsia="it-IT"/>
              </w:rPr>
              <w:t>Construction</w:t>
            </w:r>
          </w:p>
        </w:tc>
        <w:tc>
          <w:tcPr>
            <w:tcW w:w="696" w:type="pct"/>
            <w:tcBorders>
              <w:top w:val="single" w:sz="4" w:space="0" w:color="auto"/>
              <w:left w:val="nil"/>
              <w:bottom w:val="nil"/>
              <w:right w:val="nil"/>
            </w:tcBorders>
            <w:shd w:val="clear" w:color="auto" w:fill="D9D9D9" w:themeFill="background1" w:themeFillShade="D9"/>
            <w:noWrap/>
            <w:vAlign w:val="center"/>
            <w:hideMark/>
          </w:tcPr>
          <w:p w14:paraId="20FA1019"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1.360</w:t>
            </w:r>
          </w:p>
        </w:tc>
        <w:tc>
          <w:tcPr>
            <w:tcW w:w="590" w:type="pct"/>
            <w:tcBorders>
              <w:top w:val="single" w:sz="4" w:space="0" w:color="auto"/>
              <w:left w:val="nil"/>
              <w:bottom w:val="nil"/>
              <w:right w:val="nil"/>
            </w:tcBorders>
            <w:shd w:val="clear" w:color="auto" w:fill="auto"/>
            <w:noWrap/>
            <w:vAlign w:val="center"/>
            <w:hideMark/>
          </w:tcPr>
          <w:p w14:paraId="34484076"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-8,8</w:t>
            </w:r>
          </w:p>
        </w:tc>
        <w:tc>
          <w:tcPr>
            <w:tcW w:w="76" w:type="pct"/>
            <w:tcBorders>
              <w:top w:val="nil"/>
              <w:left w:val="nil"/>
              <w:bottom w:val="nil"/>
              <w:right w:val="nil"/>
            </w:tcBorders>
            <w:shd w:val="clear" w:color="auto" w:fill="auto"/>
            <w:noWrap/>
            <w:vAlign w:val="center"/>
            <w:hideMark/>
          </w:tcPr>
          <w:p w14:paraId="52DDBD3E"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p>
        </w:tc>
        <w:tc>
          <w:tcPr>
            <w:tcW w:w="678" w:type="pct"/>
            <w:tcBorders>
              <w:top w:val="single" w:sz="4" w:space="0" w:color="auto"/>
              <w:left w:val="nil"/>
              <w:bottom w:val="nil"/>
              <w:right w:val="nil"/>
            </w:tcBorders>
            <w:shd w:val="clear" w:color="auto" w:fill="D9D9D9" w:themeFill="background1" w:themeFillShade="D9"/>
            <w:noWrap/>
            <w:vAlign w:val="center"/>
            <w:hideMark/>
          </w:tcPr>
          <w:p w14:paraId="1FB1CD37"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1.618</w:t>
            </w:r>
          </w:p>
        </w:tc>
        <w:tc>
          <w:tcPr>
            <w:tcW w:w="567" w:type="pct"/>
            <w:tcBorders>
              <w:top w:val="single" w:sz="4" w:space="0" w:color="auto"/>
              <w:left w:val="nil"/>
              <w:bottom w:val="nil"/>
              <w:right w:val="nil"/>
            </w:tcBorders>
            <w:shd w:val="clear" w:color="auto" w:fill="auto"/>
            <w:noWrap/>
            <w:vAlign w:val="center"/>
            <w:hideMark/>
          </w:tcPr>
          <w:p w14:paraId="031A7AB8" w14:textId="7AFF3ED5" w:rsidR="0002296B" w:rsidRPr="00AA1A17" w:rsidRDefault="00486697"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w:t>
            </w:r>
            <w:r w:rsidR="0002296B" w:rsidRPr="00AA1A17">
              <w:rPr>
                <w:rFonts w:ascii="Arial Narrow" w:eastAsia="Times New Roman" w:hAnsi="Arial Narrow" w:cs="Times New Roman"/>
                <w:sz w:val="18"/>
                <w:szCs w:val="18"/>
                <w:lang w:eastAsia="it-IT"/>
              </w:rPr>
              <w:t>18,9</w:t>
            </w:r>
          </w:p>
        </w:tc>
      </w:tr>
      <w:tr w:rsidR="0002296B" w:rsidRPr="00AA1A17" w14:paraId="2F154A32" w14:textId="77777777" w:rsidTr="000A4737">
        <w:trPr>
          <w:trHeight w:val="238"/>
        </w:trPr>
        <w:tc>
          <w:tcPr>
            <w:tcW w:w="2394" w:type="pct"/>
            <w:tcBorders>
              <w:top w:val="nil"/>
              <w:left w:val="nil"/>
              <w:bottom w:val="single" w:sz="4" w:space="0" w:color="FFFFFF" w:themeColor="background1"/>
              <w:right w:val="nil"/>
            </w:tcBorders>
            <w:shd w:val="clear" w:color="000000" w:fill="FFFFFF"/>
            <w:noWrap/>
            <w:vAlign w:val="center"/>
            <w:hideMark/>
          </w:tcPr>
          <w:p w14:paraId="76254603" w14:textId="18E166FC" w:rsidR="0002296B" w:rsidRPr="00AA1A17" w:rsidRDefault="007B7D08" w:rsidP="00463EB5">
            <w:pPr>
              <w:widowControl/>
              <w:autoSpaceDE/>
              <w:autoSpaceDN/>
              <w:spacing w:before="40" w:after="20"/>
              <w:rPr>
                <w:rFonts w:ascii="Arial Narrow" w:eastAsia="Times New Roman" w:hAnsi="Arial Narrow" w:cs="Times New Roman"/>
                <w:sz w:val="18"/>
                <w:szCs w:val="18"/>
                <w:lang w:eastAsia="it-IT"/>
              </w:rPr>
            </w:pPr>
            <w:r w:rsidRPr="007B7D08">
              <w:rPr>
                <w:rFonts w:ascii="Arial Narrow" w:eastAsia="Times New Roman" w:hAnsi="Arial Narrow" w:cs="Times New Roman"/>
                <w:sz w:val="18"/>
                <w:szCs w:val="18"/>
                <w:lang w:eastAsia="it-IT"/>
              </w:rPr>
              <w:t>Services</w:t>
            </w:r>
          </w:p>
        </w:tc>
        <w:tc>
          <w:tcPr>
            <w:tcW w:w="696" w:type="pct"/>
            <w:tcBorders>
              <w:top w:val="single" w:sz="4" w:space="0" w:color="auto"/>
              <w:left w:val="nil"/>
              <w:bottom w:val="single" w:sz="4" w:space="0" w:color="FFFFFF" w:themeColor="background1"/>
              <w:right w:val="nil"/>
            </w:tcBorders>
            <w:shd w:val="clear" w:color="auto" w:fill="D9D9D9" w:themeFill="background1" w:themeFillShade="D9"/>
            <w:noWrap/>
            <w:vAlign w:val="center"/>
            <w:hideMark/>
          </w:tcPr>
          <w:p w14:paraId="0EFBCAE4"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15.716</w:t>
            </w:r>
          </w:p>
        </w:tc>
        <w:tc>
          <w:tcPr>
            <w:tcW w:w="590" w:type="pct"/>
            <w:tcBorders>
              <w:top w:val="single" w:sz="4" w:space="0" w:color="auto"/>
              <w:left w:val="nil"/>
              <w:bottom w:val="single" w:sz="4" w:space="0" w:color="FFFFFF" w:themeColor="background1"/>
              <w:right w:val="nil"/>
            </w:tcBorders>
            <w:shd w:val="clear" w:color="auto" w:fill="auto"/>
            <w:noWrap/>
            <w:vAlign w:val="center"/>
            <w:hideMark/>
          </w:tcPr>
          <w:p w14:paraId="6CA35295"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-10,9</w:t>
            </w:r>
          </w:p>
        </w:tc>
        <w:tc>
          <w:tcPr>
            <w:tcW w:w="76" w:type="pct"/>
            <w:tcBorders>
              <w:top w:val="nil"/>
              <w:left w:val="nil"/>
              <w:bottom w:val="single" w:sz="4" w:space="0" w:color="FFFFFF" w:themeColor="background1"/>
              <w:right w:val="nil"/>
            </w:tcBorders>
            <w:shd w:val="clear" w:color="auto" w:fill="auto"/>
            <w:noWrap/>
            <w:vAlign w:val="center"/>
            <w:hideMark/>
          </w:tcPr>
          <w:p w14:paraId="50A42274"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p>
        </w:tc>
        <w:tc>
          <w:tcPr>
            <w:tcW w:w="678" w:type="pct"/>
            <w:tcBorders>
              <w:top w:val="single" w:sz="4" w:space="0" w:color="auto"/>
              <w:left w:val="nil"/>
              <w:bottom w:val="single" w:sz="4" w:space="0" w:color="FFFFFF" w:themeColor="background1"/>
              <w:right w:val="nil"/>
            </w:tcBorders>
            <w:shd w:val="clear" w:color="auto" w:fill="D9D9D9" w:themeFill="background1" w:themeFillShade="D9"/>
            <w:noWrap/>
            <w:vAlign w:val="center"/>
            <w:hideMark/>
          </w:tcPr>
          <w:p w14:paraId="43CA8D96" w14:textId="77777777" w:rsidR="0002296B" w:rsidRPr="00AA1A17" w:rsidRDefault="0002296B"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16.710</w:t>
            </w:r>
          </w:p>
        </w:tc>
        <w:tc>
          <w:tcPr>
            <w:tcW w:w="567" w:type="pct"/>
            <w:tcBorders>
              <w:top w:val="single" w:sz="4" w:space="0" w:color="auto"/>
              <w:left w:val="nil"/>
              <w:bottom w:val="single" w:sz="4" w:space="0" w:color="FFFFFF" w:themeColor="background1"/>
              <w:right w:val="nil"/>
            </w:tcBorders>
            <w:shd w:val="clear" w:color="auto" w:fill="auto"/>
            <w:noWrap/>
            <w:vAlign w:val="center"/>
            <w:hideMark/>
          </w:tcPr>
          <w:p w14:paraId="4CA69E57" w14:textId="2D1A71E2" w:rsidR="0002296B" w:rsidRPr="00AA1A17" w:rsidRDefault="00486697" w:rsidP="00463EB5">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w:t>
            </w:r>
            <w:r w:rsidR="0002296B" w:rsidRPr="00AA1A17">
              <w:rPr>
                <w:rFonts w:ascii="Arial Narrow" w:eastAsia="Times New Roman" w:hAnsi="Arial Narrow" w:cs="Times New Roman"/>
                <w:sz w:val="18"/>
                <w:szCs w:val="18"/>
                <w:lang w:eastAsia="it-IT"/>
              </w:rPr>
              <w:t>6,3</w:t>
            </w:r>
          </w:p>
        </w:tc>
      </w:tr>
      <w:tr w:rsidR="00F130A3" w:rsidRPr="00F130A3" w14:paraId="31F622FD" w14:textId="77777777" w:rsidTr="0003038B">
        <w:trPr>
          <w:trHeight w:val="238"/>
        </w:trPr>
        <w:tc>
          <w:tcPr>
            <w:tcW w:w="2394" w:type="pct"/>
            <w:tcBorders>
              <w:top w:val="single" w:sz="4" w:space="0" w:color="FFFFFF" w:themeColor="background1"/>
              <w:left w:val="nil"/>
              <w:bottom w:val="single" w:sz="4" w:space="0" w:color="FFFFFF" w:themeColor="background1"/>
              <w:right w:val="nil"/>
            </w:tcBorders>
            <w:shd w:val="clear" w:color="auto" w:fill="17365D"/>
            <w:vAlign w:val="center"/>
            <w:hideMark/>
          </w:tcPr>
          <w:p w14:paraId="5ECC2ACB" w14:textId="78DC86D5" w:rsidR="0002296B" w:rsidRPr="007B7D08" w:rsidRDefault="007B7D08" w:rsidP="00463EB5">
            <w:pPr>
              <w:widowControl/>
              <w:autoSpaceDE/>
              <w:autoSpaceDN/>
              <w:spacing w:before="40" w:after="20"/>
              <w:rPr>
                <w:rFonts w:ascii="Arial Narrow" w:eastAsia="Times New Roman" w:hAnsi="Arial Narrow" w:cs="Times New Roman"/>
                <w:b/>
                <w:bCs/>
                <w:color w:val="FFFFFF" w:themeColor="background1"/>
                <w:sz w:val="18"/>
                <w:szCs w:val="18"/>
                <w:lang w:val="en-US" w:eastAsia="it-IT"/>
              </w:rPr>
            </w:pPr>
            <w:r w:rsidRPr="007B7D08">
              <w:rPr>
                <w:rFonts w:ascii="Arial Narrow" w:eastAsia="Times New Roman" w:hAnsi="Arial Narrow" w:cs="Times New Roman"/>
                <w:b/>
                <w:bCs/>
                <w:color w:val="FFFFFF" w:themeColor="background1"/>
                <w:sz w:val="18"/>
                <w:szCs w:val="18"/>
                <w:lang w:val="en-US" w:eastAsia="it-IT"/>
              </w:rPr>
              <w:t xml:space="preserve">Total agri-food (Agriculture, </w:t>
            </w:r>
            <w:proofErr w:type="gramStart"/>
            <w:r w:rsidRPr="007B7D08">
              <w:rPr>
                <w:rFonts w:ascii="Arial Narrow" w:eastAsia="Times New Roman" w:hAnsi="Arial Narrow" w:cs="Times New Roman"/>
                <w:b/>
                <w:bCs/>
                <w:color w:val="FFFFFF" w:themeColor="background1"/>
                <w:sz w:val="18"/>
                <w:szCs w:val="18"/>
                <w:lang w:val="en-US" w:eastAsia="it-IT"/>
              </w:rPr>
              <w:t>forestry</w:t>
            </w:r>
            <w:proofErr w:type="gramEnd"/>
            <w:r w:rsidRPr="007B7D08">
              <w:rPr>
                <w:rFonts w:ascii="Arial Narrow" w:eastAsia="Times New Roman" w:hAnsi="Arial Narrow" w:cs="Times New Roman"/>
                <w:b/>
                <w:bCs/>
                <w:color w:val="FFFFFF" w:themeColor="background1"/>
                <w:sz w:val="18"/>
                <w:szCs w:val="18"/>
                <w:lang w:val="en-US" w:eastAsia="it-IT"/>
              </w:rPr>
              <w:t xml:space="preserve"> and fishing + food, beverage and tobacco industry)</w:t>
            </w:r>
          </w:p>
        </w:tc>
        <w:tc>
          <w:tcPr>
            <w:tcW w:w="696"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59928449" w14:textId="77777777" w:rsidR="0002296B" w:rsidRPr="00F130A3"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F130A3">
              <w:rPr>
                <w:rFonts w:ascii="Arial Narrow" w:eastAsia="Times New Roman" w:hAnsi="Arial Narrow" w:cs="Times New Roman"/>
                <w:b/>
                <w:bCs/>
                <w:color w:val="FFFFFF" w:themeColor="background1"/>
                <w:sz w:val="18"/>
                <w:szCs w:val="18"/>
                <w:lang w:eastAsia="it-IT"/>
              </w:rPr>
              <w:t>1.630</w:t>
            </w:r>
          </w:p>
        </w:tc>
        <w:tc>
          <w:tcPr>
            <w:tcW w:w="590"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64E9DCDA" w14:textId="77777777" w:rsidR="0002296B" w:rsidRPr="00346AFB" w:rsidRDefault="0002296B" w:rsidP="00463EB5">
            <w:pPr>
              <w:widowControl/>
              <w:autoSpaceDE/>
              <w:autoSpaceDN/>
              <w:spacing w:before="40" w:after="20"/>
              <w:jc w:val="right"/>
              <w:rPr>
                <w:rFonts w:ascii="Arial Narrow" w:eastAsia="Times New Roman" w:hAnsi="Arial Narrow" w:cs="Times New Roman"/>
                <w:b/>
                <w:color w:val="FFFFFF" w:themeColor="background1"/>
                <w:sz w:val="18"/>
                <w:szCs w:val="18"/>
                <w:lang w:eastAsia="it-IT"/>
              </w:rPr>
            </w:pPr>
            <w:r w:rsidRPr="00346AFB">
              <w:rPr>
                <w:rFonts w:ascii="Arial Narrow" w:eastAsia="Times New Roman" w:hAnsi="Arial Narrow" w:cs="Times New Roman"/>
                <w:b/>
                <w:color w:val="FFFFFF" w:themeColor="background1"/>
                <w:sz w:val="18"/>
                <w:szCs w:val="18"/>
                <w:lang w:eastAsia="it-IT"/>
              </w:rPr>
              <w:t>-2,8</w:t>
            </w:r>
          </w:p>
        </w:tc>
        <w:tc>
          <w:tcPr>
            <w:tcW w:w="76"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7ACA8C74" w14:textId="77777777" w:rsidR="0002296B" w:rsidRPr="00F130A3" w:rsidRDefault="0002296B" w:rsidP="00463EB5">
            <w:pPr>
              <w:widowControl/>
              <w:autoSpaceDE/>
              <w:autoSpaceDN/>
              <w:spacing w:before="40" w:after="20"/>
              <w:jc w:val="right"/>
              <w:rPr>
                <w:rFonts w:ascii="Arial Narrow" w:eastAsia="Times New Roman" w:hAnsi="Arial Narrow" w:cs="Times New Roman"/>
                <w:color w:val="FFFFFF" w:themeColor="background1"/>
                <w:sz w:val="18"/>
                <w:szCs w:val="18"/>
                <w:lang w:eastAsia="it-IT"/>
              </w:rPr>
            </w:pPr>
          </w:p>
        </w:tc>
        <w:tc>
          <w:tcPr>
            <w:tcW w:w="678"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477B489C" w14:textId="77777777" w:rsidR="0002296B" w:rsidRPr="00F130A3"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F130A3">
              <w:rPr>
                <w:rFonts w:ascii="Arial Narrow" w:eastAsia="Times New Roman" w:hAnsi="Arial Narrow" w:cs="Times New Roman"/>
                <w:b/>
                <w:bCs/>
                <w:color w:val="FFFFFF" w:themeColor="background1"/>
                <w:sz w:val="18"/>
                <w:szCs w:val="18"/>
                <w:lang w:eastAsia="it-IT"/>
              </w:rPr>
              <w:t>1.689</w:t>
            </w:r>
          </w:p>
        </w:tc>
        <w:tc>
          <w:tcPr>
            <w:tcW w:w="567"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5F9D55EC" w14:textId="6A8FB25B" w:rsidR="0002296B" w:rsidRPr="00346AFB" w:rsidRDefault="00486697" w:rsidP="00463EB5">
            <w:pPr>
              <w:widowControl/>
              <w:autoSpaceDE/>
              <w:autoSpaceDN/>
              <w:spacing w:before="40" w:after="20"/>
              <w:jc w:val="right"/>
              <w:rPr>
                <w:rFonts w:ascii="Arial Narrow" w:eastAsia="Times New Roman" w:hAnsi="Arial Narrow" w:cs="Times New Roman"/>
                <w:b/>
                <w:color w:val="FFFFFF" w:themeColor="background1"/>
                <w:sz w:val="18"/>
                <w:szCs w:val="18"/>
                <w:lang w:eastAsia="it-IT"/>
              </w:rPr>
            </w:pPr>
            <w:r w:rsidRPr="00346AFB">
              <w:rPr>
                <w:rFonts w:ascii="Arial Narrow" w:eastAsia="Times New Roman" w:hAnsi="Arial Narrow" w:cs="Times New Roman"/>
                <w:b/>
                <w:color w:val="FFFFFF" w:themeColor="background1"/>
                <w:sz w:val="18"/>
                <w:szCs w:val="18"/>
                <w:lang w:eastAsia="it-IT"/>
              </w:rPr>
              <w:t>+</w:t>
            </w:r>
            <w:r w:rsidR="0002296B" w:rsidRPr="00346AFB">
              <w:rPr>
                <w:rFonts w:ascii="Arial Narrow" w:eastAsia="Times New Roman" w:hAnsi="Arial Narrow" w:cs="Times New Roman"/>
                <w:b/>
                <w:color w:val="FFFFFF" w:themeColor="background1"/>
                <w:sz w:val="18"/>
                <w:szCs w:val="18"/>
                <w:lang w:eastAsia="it-IT"/>
              </w:rPr>
              <w:t>3,6</w:t>
            </w:r>
          </w:p>
        </w:tc>
      </w:tr>
      <w:tr w:rsidR="000A4737" w:rsidRPr="00AA1A17" w14:paraId="7E2AEB12" w14:textId="77777777" w:rsidTr="0003038B">
        <w:trPr>
          <w:trHeight w:val="238"/>
        </w:trPr>
        <w:tc>
          <w:tcPr>
            <w:tcW w:w="2394" w:type="pct"/>
            <w:tcBorders>
              <w:top w:val="single" w:sz="4" w:space="0" w:color="FFFFFF" w:themeColor="background1"/>
              <w:left w:val="nil"/>
              <w:bottom w:val="single" w:sz="4" w:space="0" w:color="auto"/>
              <w:right w:val="nil"/>
            </w:tcBorders>
            <w:shd w:val="clear" w:color="auto" w:fill="17365D"/>
            <w:noWrap/>
            <w:vAlign w:val="center"/>
            <w:hideMark/>
          </w:tcPr>
          <w:p w14:paraId="4AA91F19" w14:textId="791355A1" w:rsidR="0002296B" w:rsidRPr="00AA1A17" w:rsidRDefault="007B7D08" w:rsidP="00463EB5">
            <w:pPr>
              <w:widowControl/>
              <w:autoSpaceDE/>
              <w:autoSpaceDN/>
              <w:spacing w:before="40" w:after="20"/>
              <w:rPr>
                <w:rFonts w:ascii="Arial Narrow" w:eastAsia="Times New Roman" w:hAnsi="Arial Narrow" w:cs="Times New Roman"/>
                <w:b/>
                <w:bCs/>
                <w:color w:val="FFFFFF" w:themeColor="background1"/>
                <w:sz w:val="18"/>
                <w:szCs w:val="18"/>
                <w:lang w:eastAsia="it-IT"/>
              </w:rPr>
            </w:pPr>
            <w:r w:rsidRPr="007B7D08">
              <w:rPr>
                <w:rFonts w:ascii="Arial Narrow" w:eastAsia="Times New Roman" w:hAnsi="Arial Narrow" w:cs="Times New Roman"/>
                <w:b/>
                <w:bCs/>
                <w:color w:val="FFFFFF" w:themeColor="background1"/>
                <w:sz w:val="18"/>
                <w:szCs w:val="18"/>
                <w:lang w:eastAsia="it-IT"/>
              </w:rPr>
              <w:t xml:space="preserve">Total </w:t>
            </w:r>
            <w:proofErr w:type="spellStart"/>
            <w:r w:rsidRPr="007B7D08">
              <w:rPr>
                <w:rFonts w:ascii="Arial Narrow" w:eastAsia="Times New Roman" w:hAnsi="Arial Narrow" w:cs="Times New Roman"/>
                <w:b/>
                <w:bCs/>
                <w:color w:val="FFFFFF" w:themeColor="background1"/>
                <w:sz w:val="18"/>
                <w:szCs w:val="18"/>
                <w:lang w:eastAsia="it-IT"/>
              </w:rPr>
              <w:t>economic</w:t>
            </w:r>
            <w:proofErr w:type="spellEnd"/>
            <w:r w:rsidRPr="007B7D08">
              <w:rPr>
                <w:rFonts w:ascii="Arial Narrow" w:eastAsia="Times New Roman" w:hAnsi="Arial Narrow" w:cs="Times New Roman"/>
                <w:b/>
                <w:bCs/>
                <w:color w:val="FFFFFF" w:themeColor="background1"/>
                <w:sz w:val="18"/>
                <w:szCs w:val="18"/>
                <w:lang w:eastAsia="it-IT"/>
              </w:rPr>
              <w:t xml:space="preserve"> activities</w:t>
            </w:r>
          </w:p>
        </w:tc>
        <w:tc>
          <w:tcPr>
            <w:tcW w:w="696" w:type="pct"/>
            <w:tcBorders>
              <w:top w:val="single" w:sz="4" w:space="0" w:color="FFFFFF" w:themeColor="background1"/>
              <w:left w:val="nil"/>
              <w:bottom w:val="single" w:sz="4" w:space="0" w:color="auto"/>
              <w:right w:val="nil"/>
            </w:tcBorders>
            <w:shd w:val="clear" w:color="auto" w:fill="17365D"/>
            <w:noWrap/>
            <w:vAlign w:val="center"/>
            <w:hideMark/>
          </w:tcPr>
          <w:p w14:paraId="551ADE18" w14:textId="77777777" w:rsidR="0002296B" w:rsidRPr="00AA1A1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AA1A17">
              <w:rPr>
                <w:rFonts w:ascii="Arial Narrow" w:eastAsia="Times New Roman" w:hAnsi="Arial Narrow" w:cs="Times New Roman"/>
                <w:b/>
                <w:bCs/>
                <w:color w:val="FFFFFF" w:themeColor="background1"/>
                <w:sz w:val="18"/>
                <w:szCs w:val="18"/>
                <w:lang w:eastAsia="it-IT"/>
              </w:rPr>
              <w:t>21.653</w:t>
            </w:r>
          </w:p>
        </w:tc>
        <w:tc>
          <w:tcPr>
            <w:tcW w:w="590" w:type="pct"/>
            <w:tcBorders>
              <w:top w:val="single" w:sz="4" w:space="0" w:color="FFFFFF" w:themeColor="background1"/>
              <w:left w:val="nil"/>
              <w:bottom w:val="single" w:sz="4" w:space="0" w:color="auto"/>
              <w:right w:val="nil"/>
            </w:tcBorders>
            <w:shd w:val="clear" w:color="auto" w:fill="17365D"/>
            <w:noWrap/>
            <w:vAlign w:val="center"/>
            <w:hideMark/>
          </w:tcPr>
          <w:p w14:paraId="02C71AA9" w14:textId="77777777" w:rsidR="0002296B" w:rsidRPr="00AA1A1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AA1A17">
              <w:rPr>
                <w:rFonts w:ascii="Arial Narrow" w:eastAsia="Times New Roman" w:hAnsi="Arial Narrow" w:cs="Times New Roman"/>
                <w:b/>
                <w:bCs/>
                <w:color w:val="FFFFFF" w:themeColor="background1"/>
                <w:sz w:val="18"/>
                <w:szCs w:val="18"/>
                <w:lang w:eastAsia="it-IT"/>
              </w:rPr>
              <w:t>-10,3</w:t>
            </w:r>
          </w:p>
        </w:tc>
        <w:tc>
          <w:tcPr>
            <w:tcW w:w="76" w:type="pct"/>
            <w:tcBorders>
              <w:top w:val="single" w:sz="4" w:space="0" w:color="FFFFFF" w:themeColor="background1"/>
              <w:left w:val="nil"/>
              <w:bottom w:val="single" w:sz="4" w:space="0" w:color="FFFFFF" w:themeColor="background1"/>
              <w:right w:val="nil"/>
            </w:tcBorders>
            <w:shd w:val="clear" w:color="auto" w:fill="17365D"/>
            <w:noWrap/>
            <w:vAlign w:val="center"/>
            <w:hideMark/>
          </w:tcPr>
          <w:p w14:paraId="2B567400" w14:textId="77777777" w:rsidR="0002296B" w:rsidRPr="00AA1A1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p>
        </w:tc>
        <w:tc>
          <w:tcPr>
            <w:tcW w:w="678" w:type="pct"/>
            <w:tcBorders>
              <w:top w:val="single" w:sz="4" w:space="0" w:color="FFFFFF" w:themeColor="background1"/>
              <w:left w:val="nil"/>
              <w:bottom w:val="single" w:sz="4" w:space="0" w:color="auto"/>
              <w:right w:val="nil"/>
            </w:tcBorders>
            <w:shd w:val="clear" w:color="auto" w:fill="17365D"/>
            <w:noWrap/>
            <w:vAlign w:val="center"/>
            <w:hideMark/>
          </w:tcPr>
          <w:p w14:paraId="2EACFD18" w14:textId="77777777" w:rsidR="0002296B" w:rsidRPr="00AA1A17" w:rsidRDefault="0002296B"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AA1A17">
              <w:rPr>
                <w:rFonts w:ascii="Arial Narrow" w:eastAsia="Times New Roman" w:hAnsi="Arial Narrow" w:cs="Times New Roman"/>
                <w:b/>
                <w:bCs/>
                <w:color w:val="FFFFFF" w:themeColor="background1"/>
                <w:sz w:val="18"/>
                <w:szCs w:val="18"/>
                <w:lang w:eastAsia="it-IT"/>
              </w:rPr>
              <w:t>23.291</w:t>
            </w:r>
          </w:p>
        </w:tc>
        <w:tc>
          <w:tcPr>
            <w:tcW w:w="567" w:type="pct"/>
            <w:tcBorders>
              <w:top w:val="single" w:sz="4" w:space="0" w:color="FFFFFF" w:themeColor="background1"/>
              <w:left w:val="nil"/>
              <w:bottom w:val="single" w:sz="4" w:space="0" w:color="auto"/>
              <w:right w:val="nil"/>
            </w:tcBorders>
            <w:shd w:val="clear" w:color="auto" w:fill="17365D"/>
            <w:noWrap/>
            <w:vAlign w:val="center"/>
            <w:hideMark/>
          </w:tcPr>
          <w:p w14:paraId="3D764B13" w14:textId="25BA434C" w:rsidR="0002296B" w:rsidRPr="00AA1A17" w:rsidRDefault="00486697" w:rsidP="00463EB5">
            <w:pPr>
              <w:widowControl/>
              <w:autoSpaceDE/>
              <w:autoSpaceDN/>
              <w:spacing w:before="40" w:after="20"/>
              <w:jc w:val="right"/>
              <w:rPr>
                <w:rFonts w:ascii="Arial Narrow" w:eastAsia="Times New Roman" w:hAnsi="Arial Narrow" w:cs="Times New Roman"/>
                <w:b/>
                <w:bCs/>
                <w:color w:val="FFFFFF" w:themeColor="background1"/>
                <w:sz w:val="18"/>
                <w:szCs w:val="18"/>
                <w:lang w:eastAsia="it-IT"/>
              </w:rPr>
            </w:pPr>
            <w:r w:rsidRPr="00AA1A17">
              <w:rPr>
                <w:rFonts w:ascii="Arial Narrow" w:eastAsia="Times New Roman" w:hAnsi="Arial Narrow" w:cs="Times New Roman"/>
                <w:b/>
                <w:bCs/>
                <w:color w:val="FFFFFF" w:themeColor="background1"/>
                <w:sz w:val="18"/>
                <w:szCs w:val="18"/>
                <w:lang w:eastAsia="it-IT"/>
              </w:rPr>
              <w:t>+</w:t>
            </w:r>
            <w:r w:rsidR="0002296B" w:rsidRPr="00AA1A17">
              <w:rPr>
                <w:rFonts w:ascii="Arial Narrow" w:eastAsia="Times New Roman" w:hAnsi="Arial Narrow" w:cs="Times New Roman"/>
                <w:b/>
                <w:bCs/>
                <w:color w:val="FFFFFF" w:themeColor="background1"/>
                <w:sz w:val="18"/>
                <w:szCs w:val="18"/>
                <w:lang w:eastAsia="it-IT"/>
              </w:rPr>
              <w:t>7,6</w:t>
            </w:r>
          </w:p>
        </w:tc>
      </w:tr>
    </w:tbl>
    <w:p w14:paraId="5814BFE1" w14:textId="66342840" w:rsidR="00B34DF4" w:rsidRPr="00601667" w:rsidRDefault="00B34DF4" w:rsidP="005D02EA">
      <w:pPr>
        <w:spacing w:before="99"/>
        <w:ind w:right="-36"/>
        <w:jc w:val="both"/>
        <w:outlineLvl w:val="1"/>
        <w:rPr>
          <w:rFonts w:ascii="Arial Narrow" w:hAnsi="Arial Narrow" w:cs="Arial"/>
          <w:b/>
          <w:iCs/>
          <w:noProof/>
          <w:color w:val="1F497D" w:themeColor="text2"/>
          <w:sz w:val="16"/>
        </w:rPr>
      </w:pPr>
    </w:p>
    <w:p w14:paraId="759634EB" w14:textId="7D720635" w:rsidR="00F130A3" w:rsidRPr="00B2395D" w:rsidRDefault="00B2395D"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B2395D">
        <w:rPr>
          <w:rFonts w:ascii="Trebuchet MS" w:eastAsia="Times New Roman" w:hAnsi="Trebuchet MS" w:cs="Arial"/>
          <w:color w:val="595959" w:themeColor="text1" w:themeTint="A6"/>
          <w:sz w:val="20"/>
          <w:szCs w:val="20"/>
          <w:lang w:val="en-US" w:eastAsia="it-IT"/>
        </w:rPr>
        <w:t xml:space="preserve">The compensation of employees, which in 2020 had decreased by 0.8% in agriculture, </w:t>
      </w:r>
      <w:proofErr w:type="gramStart"/>
      <w:r w:rsidRPr="00B2395D">
        <w:rPr>
          <w:rFonts w:ascii="Trebuchet MS" w:eastAsia="Times New Roman" w:hAnsi="Trebuchet MS" w:cs="Arial"/>
          <w:color w:val="595959" w:themeColor="text1" w:themeTint="A6"/>
          <w:sz w:val="20"/>
          <w:szCs w:val="20"/>
          <w:lang w:val="en-US" w:eastAsia="it-IT"/>
        </w:rPr>
        <w:t>forestry</w:t>
      </w:r>
      <w:proofErr w:type="gramEnd"/>
      <w:r w:rsidRPr="00B2395D">
        <w:rPr>
          <w:rFonts w:ascii="Trebuchet MS" w:eastAsia="Times New Roman" w:hAnsi="Trebuchet MS" w:cs="Arial"/>
          <w:color w:val="595959" w:themeColor="text1" w:themeTint="A6"/>
          <w:sz w:val="20"/>
          <w:szCs w:val="20"/>
          <w:lang w:val="en-US" w:eastAsia="it-IT"/>
        </w:rPr>
        <w:t xml:space="preserve"> and fishing (compared to -1% of gross wages), grew by 2.9% the following year and also the gross wages and gross fixed investments have abundantly recovered what they lost in 2020 (Table 4).</w:t>
      </w:r>
    </w:p>
    <w:p w14:paraId="426801AA" w14:textId="77777777" w:rsidR="005C27D6" w:rsidRPr="00B2395D" w:rsidRDefault="005C27D6" w:rsidP="005C27D6">
      <w:pPr>
        <w:widowControl/>
        <w:suppressAutoHyphens/>
        <w:autoSpaceDE/>
        <w:spacing w:after="80"/>
        <w:jc w:val="both"/>
        <w:textAlignment w:val="baseline"/>
        <w:rPr>
          <w:rFonts w:ascii="Trebuchet MS" w:eastAsia="Times New Roman" w:hAnsi="Trebuchet MS" w:cs="Arial"/>
          <w:color w:val="595959" w:themeColor="text1" w:themeTint="A6"/>
          <w:sz w:val="10"/>
          <w:szCs w:val="20"/>
          <w:lang w:val="en-US" w:eastAsia="it-IT"/>
        </w:rPr>
      </w:pPr>
    </w:p>
    <w:p w14:paraId="53FDD484" w14:textId="63730C50" w:rsidR="00B34DF4" w:rsidRPr="000A435A" w:rsidRDefault="000A435A" w:rsidP="0033577D">
      <w:pPr>
        <w:spacing w:after="120"/>
        <w:ind w:right="-34"/>
        <w:outlineLvl w:val="1"/>
        <w:rPr>
          <w:rFonts w:ascii="Arial Narrow" w:hAnsi="Arial Narrow" w:cs="Arial"/>
          <w:b/>
          <w:iCs/>
          <w:noProof/>
          <w:color w:val="595959" w:themeColor="text1" w:themeTint="A6"/>
          <w:lang w:val="en-US"/>
        </w:rPr>
      </w:pPr>
      <w:r w:rsidRPr="00AA5D8E">
        <w:rPr>
          <w:rFonts w:ascii="Arial Narrow" w:hAnsi="Arial Narrow" w:cs="Arial"/>
          <w:b/>
          <w:iCs/>
          <w:noProof/>
          <w:color w:val="595959" w:themeColor="text1" w:themeTint="A6"/>
          <w:lang w:val="en-US"/>
        </w:rPr>
        <w:t>TABLE</w:t>
      </w:r>
      <w:r w:rsidR="00F63715" w:rsidRPr="00AA5D8E">
        <w:rPr>
          <w:rFonts w:ascii="Arial Narrow" w:hAnsi="Arial Narrow" w:cs="Arial"/>
          <w:b/>
          <w:iCs/>
          <w:noProof/>
          <w:color w:val="595959" w:themeColor="text1" w:themeTint="A6"/>
          <w:lang w:val="en-US"/>
        </w:rPr>
        <w:t xml:space="preserve"> </w:t>
      </w:r>
      <w:r w:rsidR="00C852A0" w:rsidRPr="00AA5D8E">
        <w:rPr>
          <w:rFonts w:ascii="Arial Narrow" w:hAnsi="Arial Narrow" w:cs="Arial"/>
          <w:b/>
          <w:iCs/>
          <w:noProof/>
          <w:color w:val="595959" w:themeColor="text1" w:themeTint="A6"/>
          <w:lang w:val="en-US"/>
        </w:rPr>
        <w:t>4</w:t>
      </w:r>
      <w:r w:rsidR="00050B6D" w:rsidRPr="00AA5D8E">
        <w:rPr>
          <w:rFonts w:ascii="Arial Narrow" w:hAnsi="Arial Narrow" w:cs="Arial"/>
          <w:b/>
          <w:iCs/>
          <w:noProof/>
          <w:color w:val="595959" w:themeColor="text1" w:themeTint="A6"/>
          <w:lang w:val="en-US"/>
        </w:rPr>
        <w:t xml:space="preserve">. </w:t>
      </w:r>
      <w:r w:rsidRPr="000A435A">
        <w:rPr>
          <w:rFonts w:ascii="Arial Narrow" w:hAnsi="Arial Narrow" w:cs="Arial"/>
          <w:b/>
          <w:iCs/>
          <w:noProof/>
          <w:color w:val="595959" w:themeColor="text1" w:themeTint="A6"/>
          <w:lang w:val="en-US"/>
        </w:rPr>
        <w:t>ANNUAL WORK UNIT (AWU)</w:t>
      </w:r>
      <w:r w:rsidR="005D02EA" w:rsidRPr="000A435A">
        <w:rPr>
          <w:rFonts w:ascii="Arial Narrow" w:hAnsi="Arial Narrow" w:cs="Arial"/>
          <w:b/>
          <w:iCs/>
          <w:noProof/>
          <w:color w:val="595959" w:themeColor="text1" w:themeTint="A6"/>
          <w:lang w:val="en-US"/>
        </w:rPr>
        <w:t xml:space="preserve">, </w:t>
      </w:r>
      <w:r w:rsidRPr="000A435A">
        <w:rPr>
          <w:rFonts w:ascii="Arial Narrow" w:hAnsi="Arial Narrow" w:cs="Arial"/>
          <w:b/>
          <w:iCs/>
          <w:noProof/>
          <w:color w:val="595959" w:themeColor="text1" w:themeTint="A6"/>
          <w:lang w:val="en-US"/>
        </w:rPr>
        <w:t>SALARY AND INVESTMENTS IN AGRICULTURE, FORESTRY AND FISHERIES IN ITALY</w:t>
      </w:r>
      <w:r w:rsidR="00050B6D" w:rsidRPr="000A435A">
        <w:rPr>
          <w:rFonts w:ascii="Arial Narrow" w:hAnsi="Arial Narrow" w:cs="Arial"/>
          <w:b/>
          <w:iCs/>
          <w:noProof/>
          <w:color w:val="595959" w:themeColor="text1" w:themeTint="A6"/>
          <w:lang w:val="en-US"/>
        </w:rPr>
        <w:t xml:space="preserve">. </w:t>
      </w:r>
      <w:r w:rsidRPr="000A435A">
        <w:rPr>
          <w:rFonts w:ascii="Arial Narrow" w:hAnsi="Arial Narrow" w:cs="Arial"/>
          <w:iCs/>
          <w:noProof/>
          <w:color w:val="595959" w:themeColor="text1" w:themeTint="A6"/>
          <w:lang w:val="en-US"/>
        </w:rPr>
        <w:t>Years 2020 and 2021, thousands of units, current values in millions of euros and percentage changes</w:t>
      </w:r>
    </w:p>
    <w:tbl>
      <w:tblPr>
        <w:tblW w:w="5000" w:type="pct"/>
        <w:tblCellMar>
          <w:left w:w="70" w:type="dxa"/>
          <w:right w:w="70" w:type="dxa"/>
        </w:tblCellMar>
        <w:tblLook w:val="04A0" w:firstRow="1" w:lastRow="0" w:firstColumn="1" w:lastColumn="0" w:noHBand="0" w:noVBand="1"/>
      </w:tblPr>
      <w:tblGrid>
        <w:gridCol w:w="4909"/>
        <w:gridCol w:w="1277"/>
        <w:gridCol w:w="1068"/>
        <w:gridCol w:w="182"/>
        <w:gridCol w:w="1327"/>
        <w:gridCol w:w="879"/>
      </w:tblGrid>
      <w:tr w:rsidR="002C35D3" w:rsidRPr="00AA1A17" w14:paraId="021A05EE" w14:textId="77777777" w:rsidTr="002C35D3">
        <w:trPr>
          <w:trHeight w:val="238"/>
        </w:trPr>
        <w:tc>
          <w:tcPr>
            <w:tcW w:w="2546" w:type="pct"/>
            <w:vMerge w:val="restart"/>
            <w:tcBorders>
              <w:top w:val="single" w:sz="4" w:space="0" w:color="auto"/>
              <w:left w:val="nil"/>
              <w:right w:val="nil"/>
            </w:tcBorders>
            <w:shd w:val="clear" w:color="000000" w:fill="FFFFFF"/>
            <w:noWrap/>
            <w:vAlign w:val="center"/>
            <w:hideMark/>
          </w:tcPr>
          <w:p w14:paraId="6DB9C390" w14:textId="008D815B" w:rsidR="002C35D3" w:rsidRPr="000A435A" w:rsidRDefault="000A435A" w:rsidP="0033577D">
            <w:pPr>
              <w:widowControl/>
              <w:autoSpaceDE/>
              <w:autoSpaceDN/>
              <w:spacing w:before="40" w:after="20"/>
              <w:rPr>
                <w:rFonts w:ascii="Arial Narrow" w:eastAsia="Times New Roman" w:hAnsi="Arial Narrow" w:cs="Times New Roman"/>
                <w:b/>
                <w:bCs/>
                <w:sz w:val="18"/>
                <w:szCs w:val="18"/>
                <w:lang w:val="en-US" w:eastAsia="it-IT"/>
              </w:rPr>
            </w:pPr>
            <w:r w:rsidRPr="000A435A">
              <w:rPr>
                <w:rFonts w:ascii="Arial Narrow" w:eastAsia="Times New Roman" w:hAnsi="Arial Narrow" w:cs="Times New Roman"/>
                <w:b/>
                <w:bCs/>
                <w:sz w:val="18"/>
                <w:szCs w:val="18"/>
                <w:lang w:val="en-US" w:eastAsia="it-IT"/>
              </w:rPr>
              <w:t>AGRICULTURE, FORESTRY AND FISHING ACTIVITIES</w:t>
            </w:r>
          </w:p>
        </w:tc>
        <w:tc>
          <w:tcPr>
            <w:tcW w:w="1216" w:type="pct"/>
            <w:gridSpan w:val="2"/>
            <w:tcBorders>
              <w:top w:val="single" w:sz="4" w:space="0" w:color="auto"/>
              <w:left w:val="nil"/>
              <w:bottom w:val="single" w:sz="4" w:space="0" w:color="auto"/>
              <w:right w:val="nil"/>
            </w:tcBorders>
            <w:shd w:val="clear" w:color="auto" w:fill="D9D9D9" w:themeFill="background1" w:themeFillShade="D9"/>
            <w:noWrap/>
            <w:vAlign w:val="center"/>
            <w:hideMark/>
          </w:tcPr>
          <w:p w14:paraId="0A90623A" w14:textId="77777777" w:rsidR="002C35D3" w:rsidRPr="00AA1A17" w:rsidRDefault="002C35D3" w:rsidP="0033577D">
            <w:pPr>
              <w:widowControl/>
              <w:autoSpaceDE/>
              <w:autoSpaceDN/>
              <w:spacing w:before="40" w:after="20"/>
              <w:jc w:val="center"/>
              <w:rPr>
                <w:rFonts w:ascii="Arial Narrow" w:eastAsia="Times New Roman" w:hAnsi="Arial Narrow" w:cs="Times New Roman"/>
                <w:b/>
                <w:bCs/>
                <w:sz w:val="18"/>
                <w:szCs w:val="18"/>
                <w:lang w:eastAsia="it-IT"/>
              </w:rPr>
            </w:pPr>
            <w:r w:rsidRPr="00AA1A17">
              <w:rPr>
                <w:rFonts w:ascii="Arial Narrow" w:eastAsia="Times New Roman" w:hAnsi="Arial Narrow" w:cs="Times New Roman"/>
                <w:b/>
                <w:bCs/>
                <w:sz w:val="18"/>
                <w:szCs w:val="18"/>
                <w:lang w:eastAsia="it-IT"/>
              </w:rPr>
              <w:t>2020</w:t>
            </w:r>
          </w:p>
        </w:tc>
        <w:tc>
          <w:tcPr>
            <w:tcW w:w="94" w:type="pct"/>
            <w:tcBorders>
              <w:top w:val="nil"/>
              <w:left w:val="nil"/>
              <w:bottom w:val="nil"/>
              <w:right w:val="nil"/>
            </w:tcBorders>
            <w:shd w:val="clear" w:color="auto" w:fill="auto"/>
            <w:noWrap/>
            <w:vAlign w:val="center"/>
            <w:hideMark/>
          </w:tcPr>
          <w:p w14:paraId="601508BC" w14:textId="77777777" w:rsidR="002C35D3" w:rsidRPr="00AA1A17" w:rsidRDefault="002C35D3" w:rsidP="0033577D">
            <w:pPr>
              <w:widowControl/>
              <w:autoSpaceDE/>
              <w:autoSpaceDN/>
              <w:spacing w:before="40" w:after="20"/>
              <w:jc w:val="center"/>
              <w:rPr>
                <w:rFonts w:ascii="Arial Narrow" w:eastAsia="Times New Roman" w:hAnsi="Arial Narrow" w:cs="Times New Roman"/>
                <w:b/>
                <w:bCs/>
                <w:sz w:val="18"/>
                <w:szCs w:val="18"/>
                <w:lang w:eastAsia="it-IT"/>
              </w:rPr>
            </w:pPr>
          </w:p>
        </w:tc>
        <w:tc>
          <w:tcPr>
            <w:tcW w:w="1143" w:type="pct"/>
            <w:gridSpan w:val="2"/>
            <w:tcBorders>
              <w:top w:val="single" w:sz="4" w:space="0" w:color="auto"/>
              <w:left w:val="nil"/>
              <w:bottom w:val="single" w:sz="4" w:space="0" w:color="auto"/>
              <w:right w:val="nil"/>
            </w:tcBorders>
            <w:shd w:val="clear" w:color="auto" w:fill="D9D9D9" w:themeFill="background1" w:themeFillShade="D9"/>
            <w:noWrap/>
            <w:vAlign w:val="center"/>
            <w:hideMark/>
          </w:tcPr>
          <w:p w14:paraId="21FD00F2" w14:textId="77777777" w:rsidR="002C35D3" w:rsidRPr="00AA1A17" w:rsidRDefault="002C35D3" w:rsidP="0033577D">
            <w:pPr>
              <w:widowControl/>
              <w:autoSpaceDE/>
              <w:autoSpaceDN/>
              <w:spacing w:before="40" w:after="20"/>
              <w:jc w:val="center"/>
              <w:rPr>
                <w:rFonts w:ascii="Arial Narrow" w:eastAsia="Times New Roman" w:hAnsi="Arial Narrow" w:cs="Times New Roman"/>
                <w:b/>
                <w:bCs/>
                <w:sz w:val="18"/>
                <w:szCs w:val="18"/>
                <w:lang w:eastAsia="it-IT"/>
              </w:rPr>
            </w:pPr>
            <w:r w:rsidRPr="00AA1A17">
              <w:rPr>
                <w:rFonts w:ascii="Arial Narrow" w:eastAsia="Times New Roman" w:hAnsi="Arial Narrow" w:cs="Times New Roman"/>
                <w:b/>
                <w:bCs/>
                <w:sz w:val="18"/>
                <w:szCs w:val="18"/>
                <w:lang w:eastAsia="it-IT"/>
              </w:rPr>
              <w:t>2021</w:t>
            </w:r>
          </w:p>
        </w:tc>
      </w:tr>
      <w:tr w:rsidR="002C35D3" w:rsidRPr="00AA1A17" w14:paraId="142CA5FA" w14:textId="77777777" w:rsidTr="002C35D3">
        <w:trPr>
          <w:trHeight w:val="238"/>
        </w:trPr>
        <w:tc>
          <w:tcPr>
            <w:tcW w:w="2546" w:type="pct"/>
            <w:vMerge/>
            <w:tcBorders>
              <w:left w:val="nil"/>
              <w:bottom w:val="single" w:sz="4" w:space="0" w:color="auto"/>
              <w:right w:val="nil"/>
            </w:tcBorders>
            <w:shd w:val="clear" w:color="000000" w:fill="FFFFFF"/>
            <w:noWrap/>
            <w:vAlign w:val="center"/>
            <w:hideMark/>
          </w:tcPr>
          <w:p w14:paraId="3B622FE9" w14:textId="69E834DC" w:rsidR="002C35D3" w:rsidRPr="00AA1A17" w:rsidRDefault="002C35D3" w:rsidP="0033577D">
            <w:pPr>
              <w:widowControl/>
              <w:autoSpaceDE/>
              <w:autoSpaceDN/>
              <w:spacing w:before="40" w:after="20"/>
              <w:jc w:val="right"/>
              <w:rPr>
                <w:rFonts w:ascii="Arial" w:eastAsia="Times New Roman" w:hAnsi="Arial" w:cs="Arial"/>
                <w:b/>
                <w:bCs/>
                <w:sz w:val="18"/>
                <w:szCs w:val="18"/>
                <w:lang w:eastAsia="it-IT"/>
              </w:rPr>
            </w:pPr>
          </w:p>
        </w:tc>
        <w:tc>
          <w:tcPr>
            <w:tcW w:w="662" w:type="pct"/>
            <w:tcBorders>
              <w:top w:val="nil"/>
              <w:left w:val="nil"/>
              <w:bottom w:val="nil"/>
              <w:right w:val="nil"/>
            </w:tcBorders>
            <w:shd w:val="clear" w:color="000000" w:fill="FFFFFF"/>
            <w:vAlign w:val="center"/>
            <w:hideMark/>
          </w:tcPr>
          <w:p w14:paraId="40D4DD2E" w14:textId="7E90BE2A" w:rsidR="002C35D3" w:rsidRPr="007202BC" w:rsidRDefault="007202BC" w:rsidP="0033577D">
            <w:pPr>
              <w:widowControl/>
              <w:autoSpaceDE/>
              <w:autoSpaceDN/>
              <w:spacing w:before="40" w:after="20"/>
              <w:jc w:val="right"/>
              <w:rPr>
                <w:rFonts w:ascii="Arial Narrow" w:eastAsia="Times New Roman" w:hAnsi="Arial Narrow" w:cs="Times New Roman"/>
                <w:b/>
                <w:bCs/>
                <w:sz w:val="18"/>
                <w:szCs w:val="18"/>
                <w:lang w:val="en-US" w:eastAsia="it-IT"/>
              </w:rPr>
            </w:pPr>
            <w:r w:rsidRPr="007202BC">
              <w:rPr>
                <w:rFonts w:ascii="Arial Narrow" w:eastAsia="Times New Roman" w:hAnsi="Arial Narrow" w:cs="Times New Roman"/>
                <w:b/>
                <w:bCs/>
                <w:sz w:val="18"/>
                <w:szCs w:val="18"/>
                <w:lang w:val="en-US" w:eastAsia="it-IT"/>
              </w:rPr>
              <w:t>AWU in thousands of units</w:t>
            </w:r>
          </w:p>
        </w:tc>
        <w:tc>
          <w:tcPr>
            <w:tcW w:w="554" w:type="pct"/>
            <w:tcBorders>
              <w:top w:val="nil"/>
              <w:left w:val="nil"/>
              <w:bottom w:val="single" w:sz="4" w:space="0" w:color="auto"/>
              <w:right w:val="nil"/>
            </w:tcBorders>
            <w:shd w:val="clear" w:color="000000" w:fill="FFFFFF"/>
            <w:vAlign w:val="center"/>
            <w:hideMark/>
          </w:tcPr>
          <w:p w14:paraId="41360EE5" w14:textId="327788C5" w:rsidR="002C35D3" w:rsidRPr="00AA1A17" w:rsidRDefault="00336328" w:rsidP="0033577D">
            <w:pPr>
              <w:widowControl/>
              <w:autoSpaceDE/>
              <w:autoSpaceDN/>
              <w:spacing w:before="40" w:after="20"/>
              <w:jc w:val="right"/>
              <w:rPr>
                <w:rFonts w:ascii="Arial Narrow" w:eastAsia="Times New Roman" w:hAnsi="Arial Narrow" w:cs="Times New Roman"/>
                <w:b/>
                <w:bCs/>
                <w:sz w:val="18"/>
                <w:szCs w:val="18"/>
                <w:lang w:eastAsia="it-IT"/>
              </w:rPr>
            </w:pPr>
            <w:proofErr w:type="spellStart"/>
            <w:r w:rsidRPr="00336328">
              <w:rPr>
                <w:rFonts w:ascii="Arial Narrow" w:eastAsia="Times New Roman" w:hAnsi="Arial Narrow" w:cs="Times New Roman"/>
                <w:b/>
                <w:bCs/>
                <w:sz w:val="18"/>
                <w:szCs w:val="18"/>
                <w:lang w:eastAsia="it-IT"/>
              </w:rPr>
              <w:t>Changes</w:t>
            </w:r>
            <w:proofErr w:type="spellEnd"/>
            <w:r w:rsidRPr="00336328">
              <w:rPr>
                <w:rFonts w:ascii="Arial Narrow" w:eastAsia="Times New Roman" w:hAnsi="Arial Narrow" w:cs="Times New Roman"/>
                <w:b/>
                <w:bCs/>
                <w:sz w:val="18"/>
                <w:szCs w:val="18"/>
                <w:lang w:eastAsia="it-IT"/>
              </w:rPr>
              <w:t xml:space="preserve"> %</w:t>
            </w:r>
          </w:p>
        </w:tc>
        <w:tc>
          <w:tcPr>
            <w:tcW w:w="94" w:type="pct"/>
            <w:tcBorders>
              <w:top w:val="nil"/>
              <w:left w:val="nil"/>
              <w:bottom w:val="nil"/>
              <w:right w:val="nil"/>
            </w:tcBorders>
            <w:shd w:val="clear" w:color="000000" w:fill="FFFFFF"/>
            <w:vAlign w:val="center"/>
            <w:hideMark/>
          </w:tcPr>
          <w:p w14:paraId="51E63138" w14:textId="77777777" w:rsidR="002C35D3" w:rsidRPr="00AA1A17" w:rsidRDefault="002C35D3" w:rsidP="0033577D">
            <w:pPr>
              <w:widowControl/>
              <w:autoSpaceDE/>
              <w:autoSpaceDN/>
              <w:spacing w:before="40" w:after="20"/>
              <w:jc w:val="right"/>
              <w:rPr>
                <w:rFonts w:ascii="Arial Narrow" w:eastAsia="Times New Roman" w:hAnsi="Arial Narrow" w:cs="Times New Roman"/>
                <w:b/>
                <w:bCs/>
                <w:sz w:val="18"/>
                <w:szCs w:val="18"/>
                <w:lang w:eastAsia="it-IT"/>
              </w:rPr>
            </w:pPr>
            <w:r w:rsidRPr="00AA1A17">
              <w:rPr>
                <w:rFonts w:ascii="Arial Narrow" w:eastAsia="Times New Roman" w:hAnsi="Arial Narrow" w:cs="Times New Roman"/>
                <w:b/>
                <w:bCs/>
                <w:sz w:val="18"/>
                <w:szCs w:val="18"/>
                <w:lang w:eastAsia="it-IT"/>
              </w:rPr>
              <w:t> </w:t>
            </w:r>
          </w:p>
        </w:tc>
        <w:tc>
          <w:tcPr>
            <w:tcW w:w="688" w:type="pct"/>
            <w:tcBorders>
              <w:top w:val="nil"/>
              <w:left w:val="nil"/>
              <w:bottom w:val="nil"/>
              <w:right w:val="nil"/>
            </w:tcBorders>
            <w:shd w:val="clear" w:color="000000" w:fill="FFFFFF"/>
            <w:vAlign w:val="center"/>
            <w:hideMark/>
          </w:tcPr>
          <w:p w14:paraId="06FB1CDF" w14:textId="55277AE2" w:rsidR="002C35D3" w:rsidRPr="00336328" w:rsidRDefault="007202BC" w:rsidP="0033577D">
            <w:pPr>
              <w:widowControl/>
              <w:autoSpaceDE/>
              <w:autoSpaceDN/>
              <w:spacing w:before="40" w:after="20"/>
              <w:jc w:val="right"/>
              <w:rPr>
                <w:rFonts w:ascii="Arial Narrow" w:eastAsia="Times New Roman" w:hAnsi="Arial Narrow" w:cs="Times New Roman"/>
                <w:b/>
                <w:bCs/>
                <w:sz w:val="18"/>
                <w:szCs w:val="18"/>
                <w:lang w:val="en-US" w:eastAsia="it-IT"/>
              </w:rPr>
            </w:pPr>
            <w:r w:rsidRPr="00336328">
              <w:rPr>
                <w:rFonts w:ascii="Arial Narrow" w:eastAsia="Times New Roman" w:hAnsi="Arial Narrow" w:cs="Times New Roman"/>
                <w:b/>
                <w:bCs/>
                <w:sz w:val="18"/>
                <w:szCs w:val="18"/>
                <w:lang w:val="en-US" w:eastAsia="it-IT"/>
              </w:rPr>
              <w:t>AWU in thousands of units</w:t>
            </w:r>
          </w:p>
        </w:tc>
        <w:tc>
          <w:tcPr>
            <w:tcW w:w="456" w:type="pct"/>
            <w:tcBorders>
              <w:top w:val="nil"/>
              <w:left w:val="nil"/>
              <w:bottom w:val="single" w:sz="4" w:space="0" w:color="auto"/>
              <w:right w:val="nil"/>
            </w:tcBorders>
            <w:shd w:val="clear" w:color="000000" w:fill="FFFFFF"/>
            <w:vAlign w:val="center"/>
            <w:hideMark/>
          </w:tcPr>
          <w:p w14:paraId="6A8F3D39" w14:textId="4142DA71" w:rsidR="002C35D3" w:rsidRPr="00AA1A17" w:rsidRDefault="00336328" w:rsidP="0033577D">
            <w:pPr>
              <w:widowControl/>
              <w:autoSpaceDE/>
              <w:autoSpaceDN/>
              <w:spacing w:before="40" w:after="20"/>
              <w:jc w:val="right"/>
              <w:rPr>
                <w:rFonts w:ascii="Arial Narrow" w:eastAsia="Times New Roman" w:hAnsi="Arial Narrow" w:cs="Times New Roman"/>
                <w:b/>
                <w:bCs/>
                <w:sz w:val="18"/>
                <w:szCs w:val="18"/>
                <w:lang w:eastAsia="it-IT"/>
              </w:rPr>
            </w:pPr>
            <w:proofErr w:type="spellStart"/>
            <w:r w:rsidRPr="00336328">
              <w:rPr>
                <w:rFonts w:ascii="Arial Narrow" w:eastAsia="Times New Roman" w:hAnsi="Arial Narrow" w:cs="Times New Roman"/>
                <w:b/>
                <w:bCs/>
                <w:sz w:val="18"/>
                <w:szCs w:val="18"/>
                <w:lang w:eastAsia="it-IT"/>
              </w:rPr>
              <w:t>Changes</w:t>
            </w:r>
            <w:proofErr w:type="spellEnd"/>
            <w:r w:rsidRPr="00336328">
              <w:rPr>
                <w:rFonts w:ascii="Arial Narrow" w:eastAsia="Times New Roman" w:hAnsi="Arial Narrow" w:cs="Times New Roman"/>
                <w:b/>
                <w:bCs/>
                <w:sz w:val="18"/>
                <w:szCs w:val="18"/>
                <w:lang w:eastAsia="it-IT"/>
              </w:rPr>
              <w:t xml:space="preserve"> %</w:t>
            </w:r>
          </w:p>
        </w:tc>
      </w:tr>
      <w:tr w:rsidR="005D02EA" w:rsidRPr="00AA1A17" w14:paraId="77829CB6" w14:textId="77777777" w:rsidTr="002C35D3">
        <w:trPr>
          <w:trHeight w:val="238"/>
        </w:trPr>
        <w:tc>
          <w:tcPr>
            <w:tcW w:w="2546" w:type="pct"/>
            <w:tcBorders>
              <w:top w:val="nil"/>
              <w:left w:val="nil"/>
              <w:bottom w:val="nil"/>
              <w:right w:val="nil"/>
            </w:tcBorders>
            <w:shd w:val="clear" w:color="000000" w:fill="FFFFFF"/>
            <w:noWrap/>
            <w:vAlign w:val="center"/>
            <w:hideMark/>
          </w:tcPr>
          <w:p w14:paraId="0FE81B60" w14:textId="384F1A91" w:rsidR="005D02EA" w:rsidRPr="00AA1A17" w:rsidRDefault="000A435A" w:rsidP="0033577D">
            <w:pPr>
              <w:widowControl/>
              <w:autoSpaceDE/>
              <w:autoSpaceDN/>
              <w:spacing w:before="40" w:after="20"/>
              <w:rPr>
                <w:rFonts w:ascii="Arial Narrow" w:eastAsia="Times New Roman" w:hAnsi="Arial Narrow" w:cs="Times New Roman"/>
                <w:sz w:val="18"/>
                <w:szCs w:val="18"/>
                <w:lang w:eastAsia="it-IT"/>
              </w:rPr>
            </w:pPr>
            <w:r>
              <w:rPr>
                <w:rFonts w:ascii="Arial Narrow" w:eastAsia="Times New Roman" w:hAnsi="Arial Narrow" w:cs="Times New Roman"/>
                <w:sz w:val="18"/>
                <w:szCs w:val="18"/>
                <w:lang w:eastAsia="it-IT"/>
              </w:rPr>
              <w:t>AWU</w:t>
            </w:r>
            <w:r w:rsidR="005D02EA" w:rsidRPr="00AA1A17">
              <w:rPr>
                <w:rFonts w:ascii="Arial Narrow" w:eastAsia="Times New Roman" w:hAnsi="Arial Narrow" w:cs="Times New Roman"/>
                <w:sz w:val="18"/>
                <w:szCs w:val="18"/>
                <w:lang w:eastAsia="it-IT"/>
              </w:rPr>
              <w:t xml:space="preserve"> </w:t>
            </w:r>
            <w:proofErr w:type="spellStart"/>
            <w:r w:rsidRPr="000A435A">
              <w:rPr>
                <w:rFonts w:ascii="Arial Narrow" w:eastAsia="Times New Roman" w:hAnsi="Arial Narrow" w:cs="Times New Roman"/>
                <w:sz w:val="18"/>
                <w:szCs w:val="18"/>
                <w:lang w:eastAsia="it-IT"/>
              </w:rPr>
              <w:t>employees</w:t>
            </w:r>
            <w:proofErr w:type="spellEnd"/>
          </w:p>
        </w:tc>
        <w:tc>
          <w:tcPr>
            <w:tcW w:w="662" w:type="pct"/>
            <w:tcBorders>
              <w:top w:val="single" w:sz="4" w:space="0" w:color="auto"/>
              <w:left w:val="nil"/>
              <w:bottom w:val="nil"/>
              <w:right w:val="nil"/>
            </w:tcBorders>
            <w:shd w:val="clear" w:color="auto" w:fill="D9D9D9" w:themeFill="background1" w:themeFillShade="D9"/>
            <w:noWrap/>
            <w:vAlign w:val="center"/>
            <w:hideMark/>
          </w:tcPr>
          <w:p w14:paraId="566EE427"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419</w:t>
            </w:r>
          </w:p>
        </w:tc>
        <w:tc>
          <w:tcPr>
            <w:tcW w:w="554" w:type="pct"/>
            <w:tcBorders>
              <w:top w:val="nil"/>
              <w:left w:val="nil"/>
              <w:bottom w:val="nil"/>
              <w:right w:val="nil"/>
            </w:tcBorders>
            <w:shd w:val="clear" w:color="000000" w:fill="FFFFFF"/>
            <w:noWrap/>
            <w:vAlign w:val="center"/>
            <w:hideMark/>
          </w:tcPr>
          <w:p w14:paraId="7733816F"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-3,4</w:t>
            </w:r>
          </w:p>
        </w:tc>
        <w:tc>
          <w:tcPr>
            <w:tcW w:w="94" w:type="pct"/>
            <w:tcBorders>
              <w:top w:val="nil"/>
              <w:left w:val="nil"/>
              <w:bottom w:val="nil"/>
              <w:right w:val="nil"/>
            </w:tcBorders>
            <w:shd w:val="clear" w:color="000000" w:fill="FFFFFF"/>
            <w:noWrap/>
            <w:vAlign w:val="center"/>
            <w:hideMark/>
          </w:tcPr>
          <w:p w14:paraId="0DF9744A"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 </w:t>
            </w:r>
          </w:p>
        </w:tc>
        <w:tc>
          <w:tcPr>
            <w:tcW w:w="688" w:type="pct"/>
            <w:tcBorders>
              <w:top w:val="single" w:sz="4" w:space="0" w:color="auto"/>
              <w:left w:val="nil"/>
              <w:bottom w:val="nil"/>
              <w:right w:val="nil"/>
            </w:tcBorders>
            <w:shd w:val="clear" w:color="auto" w:fill="D9D9D9" w:themeFill="background1" w:themeFillShade="D9"/>
            <w:noWrap/>
            <w:vAlign w:val="center"/>
            <w:hideMark/>
          </w:tcPr>
          <w:p w14:paraId="35EF0331"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442</w:t>
            </w:r>
          </w:p>
        </w:tc>
        <w:tc>
          <w:tcPr>
            <w:tcW w:w="456" w:type="pct"/>
            <w:tcBorders>
              <w:top w:val="nil"/>
              <w:left w:val="nil"/>
              <w:bottom w:val="nil"/>
              <w:right w:val="nil"/>
            </w:tcBorders>
            <w:shd w:val="clear" w:color="000000" w:fill="FFFFFF"/>
            <w:noWrap/>
            <w:vAlign w:val="center"/>
            <w:hideMark/>
          </w:tcPr>
          <w:p w14:paraId="2D5A2D25"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+5,5</w:t>
            </w:r>
          </w:p>
        </w:tc>
      </w:tr>
      <w:tr w:rsidR="005D02EA" w:rsidRPr="00AA1A17" w14:paraId="61BFE9A6" w14:textId="77777777" w:rsidTr="002C35D3">
        <w:trPr>
          <w:trHeight w:val="238"/>
        </w:trPr>
        <w:tc>
          <w:tcPr>
            <w:tcW w:w="2546" w:type="pct"/>
            <w:tcBorders>
              <w:top w:val="nil"/>
              <w:left w:val="nil"/>
              <w:bottom w:val="nil"/>
              <w:right w:val="nil"/>
            </w:tcBorders>
            <w:shd w:val="clear" w:color="000000" w:fill="FFFFFF"/>
            <w:noWrap/>
            <w:vAlign w:val="center"/>
            <w:hideMark/>
          </w:tcPr>
          <w:p w14:paraId="68C2DBC4" w14:textId="74555B83" w:rsidR="005D02EA" w:rsidRPr="00AA1A17" w:rsidRDefault="000A435A" w:rsidP="0033577D">
            <w:pPr>
              <w:widowControl/>
              <w:autoSpaceDE/>
              <w:autoSpaceDN/>
              <w:spacing w:before="40" w:after="20"/>
              <w:rPr>
                <w:rFonts w:ascii="Arial Narrow" w:eastAsia="Times New Roman" w:hAnsi="Arial Narrow" w:cs="Times New Roman"/>
                <w:sz w:val="18"/>
                <w:szCs w:val="18"/>
                <w:lang w:eastAsia="it-IT"/>
              </w:rPr>
            </w:pPr>
            <w:r>
              <w:rPr>
                <w:rFonts w:ascii="Arial Narrow" w:eastAsia="Times New Roman" w:hAnsi="Arial Narrow" w:cs="Times New Roman"/>
                <w:sz w:val="18"/>
                <w:szCs w:val="18"/>
                <w:lang w:eastAsia="it-IT"/>
              </w:rPr>
              <w:t>AWU</w:t>
            </w:r>
            <w:r w:rsidR="005D02EA" w:rsidRPr="00AA1A17">
              <w:rPr>
                <w:rFonts w:ascii="Arial Narrow" w:eastAsia="Times New Roman" w:hAnsi="Arial Narrow" w:cs="Times New Roman"/>
                <w:sz w:val="18"/>
                <w:szCs w:val="18"/>
                <w:lang w:eastAsia="it-IT"/>
              </w:rPr>
              <w:t xml:space="preserve"> </w:t>
            </w:r>
            <w:r w:rsidR="005333B0" w:rsidRPr="005333B0">
              <w:rPr>
                <w:rFonts w:ascii="Arial Narrow" w:eastAsia="Times New Roman" w:hAnsi="Arial Narrow" w:cs="Times New Roman"/>
                <w:sz w:val="18"/>
                <w:szCs w:val="18"/>
                <w:lang w:eastAsia="it-IT"/>
              </w:rPr>
              <w:t>self-</w:t>
            </w:r>
            <w:proofErr w:type="spellStart"/>
            <w:r w:rsidR="005333B0" w:rsidRPr="005333B0">
              <w:rPr>
                <w:rFonts w:ascii="Arial Narrow" w:eastAsia="Times New Roman" w:hAnsi="Arial Narrow" w:cs="Times New Roman"/>
                <w:sz w:val="18"/>
                <w:szCs w:val="18"/>
                <w:lang w:eastAsia="it-IT"/>
              </w:rPr>
              <w:t>employed</w:t>
            </w:r>
            <w:proofErr w:type="spellEnd"/>
          </w:p>
        </w:tc>
        <w:tc>
          <w:tcPr>
            <w:tcW w:w="662" w:type="pct"/>
            <w:tcBorders>
              <w:top w:val="nil"/>
              <w:left w:val="nil"/>
              <w:bottom w:val="nil"/>
              <w:right w:val="nil"/>
            </w:tcBorders>
            <w:shd w:val="clear" w:color="auto" w:fill="D9D9D9" w:themeFill="background1" w:themeFillShade="D9"/>
            <w:noWrap/>
            <w:vAlign w:val="center"/>
            <w:hideMark/>
          </w:tcPr>
          <w:p w14:paraId="1675CC8A"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803</w:t>
            </w:r>
          </w:p>
        </w:tc>
        <w:tc>
          <w:tcPr>
            <w:tcW w:w="554" w:type="pct"/>
            <w:tcBorders>
              <w:top w:val="nil"/>
              <w:left w:val="nil"/>
              <w:bottom w:val="nil"/>
              <w:right w:val="nil"/>
            </w:tcBorders>
            <w:shd w:val="clear" w:color="000000" w:fill="FFFFFF"/>
            <w:noWrap/>
            <w:vAlign w:val="center"/>
            <w:hideMark/>
          </w:tcPr>
          <w:p w14:paraId="403497E9"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-1,3</w:t>
            </w:r>
          </w:p>
        </w:tc>
        <w:tc>
          <w:tcPr>
            <w:tcW w:w="94" w:type="pct"/>
            <w:tcBorders>
              <w:top w:val="nil"/>
              <w:left w:val="nil"/>
              <w:bottom w:val="nil"/>
              <w:right w:val="nil"/>
            </w:tcBorders>
            <w:shd w:val="clear" w:color="000000" w:fill="FFFFFF"/>
            <w:noWrap/>
            <w:vAlign w:val="center"/>
            <w:hideMark/>
          </w:tcPr>
          <w:p w14:paraId="3CB48DF3"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 </w:t>
            </w:r>
          </w:p>
        </w:tc>
        <w:tc>
          <w:tcPr>
            <w:tcW w:w="688" w:type="pct"/>
            <w:tcBorders>
              <w:top w:val="nil"/>
              <w:left w:val="nil"/>
              <w:bottom w:val="nil"/>
              <w:right w:val="nil"/>
            </w:tcBorders>
            <w:shd w:val="clear" w:color="auto" w:fill="D9D9D9" w:themeFill="background1" w:themeFillShade="D9"/>
            <w:noWrap/>
            <w:vAlign w:val="center"/>
            <w:hideMark/>
          </w:tcPr>
          <w:p w14:paraId="75B687FA"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817</w:t>
            </w:r>
          </w:p>
        </w:tc>
        <w:tc>
          <w:tcPr>
            <w:tcW w:w="456" w:type="pct"/>
            <w:tcBorders>
              <w:top w:val="nil"/>
              <w:left w:val="nil"/>
              <w:bottom w:val="nil"/>
              <w:right w:val="nil"/>
            </w:tcBorders>
            <w:shd w:val="clear" w:color="000000" w:fill="FFFFFF"/>
            <w:noWrap/>
            <w:vAlign w:val="center"/>
            <w:hideMark/>
          </w:tcPr>
          <w:p w14:paraId="768B86D1"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+1,7</w:t>
            </w:r>
          </w:p>
        </w:tc>
      </w:tr>
      <w:tr w:rsidR="005D02EA" w:rsidRPr="00AA1A17" w14:paraId="7CF07A56" w14:textId="77777777" w:rsidTr="002C35D3">
        <w:trPr>
          <w:trHeight w:val="238"/>
        </w:trPr>
        <w:tc>
          <w:tcPr>
            <w:tcW w:w="2546" w:type="pct"/>
            <w:tcBorders>
              <w:top w:val="nil"/>
              <w:left w:val="nil"/>
              <w:bottom w:val="single" w:sz="4" w:space="0" w:color="auto"/>
              <w:right w:val="nil"/>
            </w:tcBorders>
            <w:shd w:val="clear" w:color="000000" w:fill="FFFFFF"/>
            <w:noWrap/>
            <w:vAlign w:val="center"/>
            <w:hideMark/>
          </w:tcPr>
          <w:p w14:paraId="1A736A89" w14:textId="2878EFAF" w:rsidR="005D02EA" w:rsidRPr="00AA1A17" w:rsidRDefault="007202BC" w:rsidP="0033577D">
            <w:pPr>
              <w:widowControl/>
              <w:autoSpaceDE/>
              <w:autoSpaceDN/>
              <w:spacing w:before="40" w:after="20"/>
              <w:rPr>
                <w:rFonts w:ascii="Arial Narrow" w:eastAsia="Times New Roman" w:hAnsi="Arial Narrow" w:cs="Times New Roman"/>
                <w:sz w:val="18"/>
                <w:szCs w:val="18"/>
                <w:lang w:eastAsia="it-IT"/>
              </w:rPr>
            </w:pPr>
            <w:r>
              <w:rPr>
                <w:rFonts w:ascii="Arial Narrow" w:eastAsia="Times New Roman" w:hAnsi="Arial Narrow" w:cs="Times New Roman"/>
                <w:sz w:val="18"/>
                <w:szCs w:val="18"/>
                <w:lang w:eastAsia="it-IT"/>
              </w:rPr>
              <w:t>Total</w:t>
            </w:r>
            <w:r w:rsidR="005D02EA" w:rsidRPr="00AA1A17">
              <w:rPr>
                <w:rFonts w:ascii="Arial Narrow" w:eastAsia="Times New Roman" w:hAnsi="Arial Narrow" w:cs="Times New Roman"/>
                <w:sz w:val="18"/>
                <w:szCs w:val="18"/>
                <w:lang w:eastAsia="it-IT"/>
              </w:rPr>
              <w:t xml:space="preserve"> </w:t>
            </w:r>
            <w:r>
              <w:rPr>
                <w:rFonts w:ascii="Arial Narrow" w:eastAsia="Times New Roman" w:hAnsi="Arial Narrow" w:cs="Times New Roman"/>
                <w:sz w:val="18"/>
                <w:szCs w:val="18"/>
                <w:lang w:eastAsia="it-IT"/>
              </w:rPr>
              <w:t>AWU</w:t>
            </w:r>
          </w:p>
        </w:tc>
        <w:tc>
          <w:tcPr>
            <w:tcW w:w="662" w:type="pct"/>
            <w:tcBorders>
              <w:top w:val="nil"/>
              <w:left w:val="nil"/>
              <w:bottom w:val="single" w:sz="4" w:space="0" w:color="auto"/>
              <w:right w:val="nil"/>
            </w:tcBorders>
            <w:shd w:val="clear" w:color="auto" w:fill="D9D9D9" w:themeFill="background1" w:themeFillShade="D9"/>
            <w:noWrap/>
            <w:vAlign w:val="center"/>
            <w:hideMark/>
          </w:tcPr>
          <w:p w14:paraId="58CACC74"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1.223</w:t>
            </w:r>
          </w:p>
        </w:tc>
        <w:tc>
          <w:tcPr>
            <w:tcW w:w="554" w:type="pct"/>
            <w:tcBorders>
              <w:top w:val="nil"/>
              <w:left w:val="nil"/>
              <w:bottom w:val="single" w:sz="4" w:space="0" w:color="auto"/>
              <w:right w:val="nil"/>
            </w:tcBorders>
            <w:shd w:val="clear" w:color="000000" w:fill="FFFFFF"/>
            <w:noWrap/>
            <w:vAlign w:val="center"/>
            <w:hideMark/>
          </w:tcPr>
          <w:p w14:paraId="7712714D"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-2,0</w:t>
            </w:r>
          </w:p>
        </w:tc>
        <w:tc>
          <w:tcPr>
            <w:tcW w:w="94" w:type="pct"/>
            <w:tcBorders>
              <w:top w:val="nil"/>
              <w:left w:val="nil"/>
              <w:bottom w:val="nil"/>
              <w:right w:val="nil"/>
            </w:tcBorders>
            <w:shd w:val="clear" w:color="000000" w:fill="FFFFFF"/>
            <w:noWrap/>
            <w:vAlign w:val="center"/>
            <w:hideMark/>
          </w:tcPr>
          <w:p w14:paraId="19919E25"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 </w:t>
            </w:r>
          </w:p>
        </w:tc>
        <w:tc>
          <w:tcPr>
            <w:tcW w:w="688" w:type="pct"/>
            <w:tcBorders>
              <w:top w:val="nil"/>
              <w:left w:val="nil"/>
              <w:bottom w:val="single" w:sz="4" w:space="0" w:color="auto"/>
              <w:right w:val="nil"/>
            </w:tcBorders>
            <w:shd w:val="clear" w:color="auto" w:fill="D9D9D9" w:themeFill="background1" w:themeFillShade="D9"/>
            <w:noWrap/>
            <w:vAlign w:val="center"/>
            <w:hideMark/>
          </w:tcPr>
          <w:p w14:paraId="026CBEFF"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1.259</w:t>
            </w:r>
          </w:p>
        </w:tc>
        <w:tc>
          <w:tcPr>
            <w:tcW w:w="456" w:type="pct"/>
            <w:tcBorders>
              <w:top w:val="nil"/>
              <w:left w:val="nil"/>
              <w:bottom w:val="single" w:sz="4" w:space="0" w:color="auto"/>
              <w:right w:val="nil"/>
            </w:tcBorders>
            <w:shd w:val="clear" w:color="000000" w:fill="FFFFFF"/>
            <w:noWrap/>
            <w:vAlign w:val="center"/>
            <w:hideMark/>
          </w:tcPr>
          <w:p w14:paraId="20E7F00A"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+3,0</w:t>
            </w:r>
          </w:p>
        </w:tc>
      </w:tr>
      <w:tr w:rsidR="005D02EA" w:rsidRPr="00AA1A17" w14:paraId="201AAB99" w14:textId="77777777" w:rsidTr="002C35D3">
        <w:trPr>
          <w:trHeight w:val="238"/>
        </w:trPr>
        <w:tc>
          <w:tcPr>
            <w:tcW w:w="2546" w:type="pct"/>
            <w:tcBorders>
              <w:top w:val="nil"/>
              <w:left w:val="nil"/>
              <w:bottom w:val="single" w:sz="4" w:space="0" w:color="auto"/>
              <w:right w:val="nil"/>
            </w:tcBorders>
            <w:shd w:val="clear" w:color="auto" w:fill="auto"/>
            <w:noWrap/>
            <w:vAlign w:val="center"/>
            <w:hideMark/>
          </w:tcPr>
          <w:p w14:paraId="309229C2" w14:textId="77777777" w:rsidR="005D02EA" w:rsidRPr="00AA1A17" w:rsidRDefault="005D02EA" w:rsidP="0033577D">
            <w:pPr>
              <w:widowControl/>
              <w:autoSpaceDE/>
              <w:autoSpaceDN/>
              <w:spacing w:before="40" w:after="20"/>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 </w:t>
            </w:r>
          </w:p>
        </w:tc>
        <w:tc>
          <w:tcPr>
            <w:tcW w:w="662" w:type="pct"/>
            <w:tcBorders>
              <w:top w:val="nil"/>
              <w:left w:val="nil"/>
              <w:bottom w:val="single" w:sz="4" w:space="0" w:color="auto"/>
              <w:right w:val="nil"/>
            </w:tcBorders>
            <w:shd w:val="clear" w:color="auto" w:fill="auto"/>
            <w:vAlign w:val="center"/>
            <w:hideMark/>
          </w:tcPr>
          <w:p w14:paraId="7258BC55" w14:textId="411C372D" w:rsidR="005D02EA" w:rsidRPr="00AA1A17" w:rsidRDefault="00921565" w:rsidP="0033577D">
            <w:pPr>
              <w:widowControl/>
              <w:autoSpaceDE/>
              <w:autoSpaceDN/>
              <w:spacing w:before="40" w:after="20"/>
              <w:jc w:val="right"/>
              <w:rPr>
                <w:rFonts w:ascii="Arial Narrow" w:eastAsia="Times New Roman" w:hAnsi="Arial Narrow" w:cs="Times New Roman"/>
                <w:b/>
                <w:bCs/>
                <w:sz w:val="18"/>
                <w:szCs w:val="18"/>
                <w:lang w:eastAsia="it-IT"/>
              </w:rPr>
            </w:pPr>
            <w:proofErr w:type="spellStart"/>
            <w:r w:rsidRPr="00921565">
              <w:rPr>
                <w:rFonts w:ascii="Arial Narrow" w:eastAsia="Times New Roman" w:hAnsi="Arial Narrow" w:cs="Times New Roman"/>
                <w:b/>
                <w:bCs/>
                <w:sz w:val="18"/>
                <w:szCs w:val="18"/>
                <w:lang w:eastAsia="it-IT"/>
              </w:rPr>
              <w:t>Millions</w:t>
            </w:r>
            <w:proofErr w:type="spellEnd"/>
            <w:r w:rsidRPr="00921565">
              <w:rPr>
                <w:rFonts w:ascii="Arial Narrow" w:eastAsia="Times New Roman" w:hAnsi="Arial Narrow" w:cs="Times New Roman"/>
                <w:b/>
                <w:bCs/>
                <w:sz w:val="18"/>
                <w:szCs w:val="18"/>
                <w:lang w:eastAsia="it-IT"/>
              </w:rPr>
              <w:t xml:space="preserve"> of </w:t>
            </w:r>
            <w:proofErr w:type="spellStart"/>
            <w:r w:rsidRPr="00921565">
              <w:rPr>
                <w:rFonts w:ascii="Arial Narrow" w:eastAsia="Times New Roman" w:hAnsi="Arial Narrow" w:cs="Times New Roman"/>
                <w:b/>
                <w:bCs/>
                <w:sz w:val="18"/>
                <w:szCs w:val="18"/>
                <w:lang w:eastAsia="it-IT"/>
              </w:rPr>
              <w:t>current</w:t>
            </w:r>
            <w:proofErr w:type="spellEnd"/>
            <w:r w:rsidRPr="00921565">
              <w:rPr>
                <w:rFonts w:ascii="Arial Narrow" w:eastAsia="Times New Roman" w:hAnsi="Arial Narrow" w:cs="Times New Roman"/>
                <w:b/>
                <w:bCs/>
                <w:sz w:val="18"/>
                <w:szCs w:val="18"/>
                <w:lang w:eastAsia="it-IT"/>
              </w:rPr>
              <w:t xml:space="preserve"> euro</w:t>
            </w:r>
          </w:p>
        </w:tc>
        <w:tc>
          <w:tcPr>
            <w:tcW w:w="554" w:type="pct"/>
            <w:tcBorders>
              <w:top w:val="nil"/>
              <w:left w:val="nil"/>
              <w:bottom w:val="single" w:sz="4" w:space="0" w:color="auto"/>
              <w:right w:val="nil"/>
            </w:tcBorders>
            <w:shd w:val="clear" w:color="000000" w:fill="FFFFFF"/>
            <w:vAlign w:val="center"/>
            <w:hideMark/>
          </w:tcPr>
          <w:p w14:paraId="513E064F" w14:textId="70404874" w:rsidR="005D02EA" w:rsidRPr="00AA1A17" w:rsidRDefault="00921565" w:rsidP="0033577D">
            <w:pPr>
              <w:widowControl/>
              <w:autoSpaceDE/>
              <w:autoSpaceDN/>
              <w:spacing w:before="40" w:after="20"/>
              <w:jc w:val="right"/>
              <w:rPr>
                <w:rFonts w:ascii="Arial Narrow" w:eastAsia="Times New Roman" w:hAnsi="Arial Narrow" w:cs="Times New Roman"/>
                <w:b/>
                <w:bCs/>
                <w:sz w:val="18"/>
                <w:szCs w:val="18"/>
                <w:lang w:eastAsia="it-IT"/>
              </w:rPr>
            </w:pPr>
            <w:proofErr w:type="spellStart"/>
            <w:r w:rsidRPr="00921565">
              <w:rPr>
                <w:rFonts w:ascii="Arial Narrow" w:eastAsia="Times New Roman" w:hAnsi="Arial Narrow" w:cs="Times New Roman"/>
                <w:b/>
                <w:bCs/>
                <w:sz w:val="18"/>
                <w:szCs w:val="18"/>
                <w:lang w:eastAsia="it-IT"/>
              </w:rPr>
              <w:t>Changes</w:t>
            </w:r>
            <w:proofErr w:type="spellEnd"/>
            <w:r w:rsidRPr="00921565">
              <w:rPr>
                <w:rFonts w:ascii="Arial Narrow" w:eastAsia="Times New Roman" w:hAnsi="Arial Narrow" w:cs="Times New Roman"/>
                <w:b/>
                <w:bCs/>
                <w:sz w:val="18"/>
                <w:szCs w:val="18"/>
                <w:lang w:eastAsia="it-IT"/>
              </w:rPr>
              <w:t xml:space="preserve"> %</w:t>
            </w:r>
          </w:p>
        </w:tc>
        <w:tc>
          <w:tcPr>
            <w:tcW w:w="94" w:type="pct"/>
            <w:tcBorders>
              <w:top w:val="nil"/>
              <w:left w:val="nil"/>
              <w:bottom w:val="nil"/>
              <w:right w:val="nil"/>
            </w:tcBorders>
            <w:shd w:val="clear" w:color="000000" w:fill="FFFFFF"/>
            <w:noWrap/>
            <w:vAlign w:val="center"/>
            <w:hideMark/>
          </w:tcPr>
          <w:p w14:paraId="5384E13C"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 </w:t>
            </w:r>
          </w:p>
        </w:tc>
        <w:tc>
          <w:tcPr>
            <w:tcW w:w="688" w:type="pct"/>
            <w:tcBorders>
              <w:top w:val="nil"/>
              <w:left w:val="nil"/>
              <w:bottom w:val="single" w:sz="4" w:space="0" w:color="auto"/>
              <w:right w:val="nil"/>
            </w:tcBorders>
            <w:shd w:val="clear" w:color="000000" w:fill="FFFFFF"/>
            <w:vAlign w:val="center"/>
            <w:hideMark/>
          </w:tcPr>
          <w:p w14:paraId="2BC1A127" w14:textId="75DDF2DA" w:rsidR="005D02EA" w:rsidRPr="00AA1A17" w:rsidRDefault="00921565" w:rsidP="0033577D">
            <w:pPr>
              <w:widowControl/>
              <w:autoSpaceDE/>
              <w:autoSpaceDN/>
              <w:spacing w:before="40" w:after="20"/>
              <w:jc w:val="right"/>
              <w:rPr>
                <w:rFonts w:ascii="Arial Narrow" w:eastAsia="Times New Roman" w:hAnsi="Arial Narrow" w:cs="Times New Roman"/>
                <w:b/>
                <w:bCs/>
                <w:sz w:val="18"/>
                <w:szCs w:val="18"/>
                <w:lang w:eastAsia="it-IT"/>
              </w:rPr>
            </w:pPr>
            <w:proofErr w:type="spellStart"/>
            <w:r w:rsidRPr="00921565">
              <w:rPr>
                <w:rFonts w:ascii="Arial Narrow" w:eastAsia="Times New Roman" w:hAnsi="Arial Narrow" w:cs="Times New Roman"/>
                <w:b/>
                <w:bCs/>
                <w:sz w:val="18"/>
                <w:szCs w:val="18"/>
                <w:lang w:eastAsia="it-IT"/>
              </w:rPr>
              <w:t>Millions</w:t>
            </w:r>
            <w:proofErr w:type="spellEnd"/>
            <w:r w:rsidRPr="00921565">
              <w:rPr>
                <w:rFonts w:ascii="Arial Narrow" w:eastAsia="Times New Roman" w:hAnsi="Arial Narrow" w:cs="Times New Roman"/>
                <w:b/>
                <w:bCs/>
                <w:sz w:val="18"/>
                <w:szCs w:val="18"/>
                <w:lang w:eastAsia="it-IT"/>
              </w:rPr>
              <w:t xml:space="preserve"> of </w:t>
            </w:r>
            <w:proofErr w:type="spellStart"/>
            <w:r w:rsidRPr="00921565">
              <w:rPr>
                <w:rFonts w:ascii="Arial Narrow" w:eastAsia="Times New Roman" w:hAnsi="Arial Narrow" w:cs="Times New Roman"/>
                <w:b/>
                <w:bCs/>
                <w:sz w:val="18"/>
                <w:szCs w:val="18"/>
                <w:lang w:eastAsia="it-IT"/>
              </w:rPr>
              <w:t>current</w:t>
            </w:r>
            <w:proofErr w:type="spellEnd"/>
            <w:r w:rsidRPr="00921565">
              <w:rPr>
                <w:rFonts w:ascii="Arial Narrow" w:eastAsia="Times New Roman" w:hAnsi="Arial Narrow" w:cs="Times New Roman"/>
                <w:b/>
                <w:bCs/>
                <w:sz w:val="18"/>
                <w:szCs w:val="18"/>
                <w:lang w:eastAsia="it-IT"/>
              </w:rPr>
              <w:t xml:space="preserve"> euro</w:t>
            </w:r>
          </w:p>
        </w:tc>
        <w:tc>
          <w:tcPr>
            <w:tcW w:w="456" w:type="pct"/>
            <w:tcBorders>
              <w:top w:val="nil"/>
              <w:left w:val="nil"/>
              <w:bottom w:val="single" w:sz="4" w:space="0" w:color="auto"/>
              <w:right w:val="nil"/>
            </w:tcBorders>
            <w:shd w:val="clear" w:color="000000" w:fill="FFFFFF"/>
            <w:vAlign w:val="center"/>
            <w:hideMark/>
          </w:tcPr>
          <w:p w14:paraId="3E500D4A" w14:textId="700A71CD" w:rsidR="005D02EA" w:rsidRPr="00AA1A17" w:rsidRDefault="00921565" w:rsidP="0033577D">
            <w:pPr>
              <w:widowControl/>
              <w:autoSpaceDE/>
              <w:autoSpaceDN/>
              <w:spacing w:before="40" w:after="20"/>
              <w:jc w:val="right"/>
              <w:rPr>
                <w:rFonts w:ascii="Arial Narrow" w:eastAsia="Times New Roman" w:hAnsi="Arial Narrow" w:cs="Times New Roman"/>
                <w:b/>
                <w:bCs/>
                <w:sz w:val="18"/>
                <w:szCs w:val="18"/>
                <w:lang w:eastAsia="it-IT"/>
              </w:rPr>
            </w:pPr>
            <w:proofErr w:type="spellStart"/>
            <w:r w:rsidRPr="00921565">
              <w:rPr>
                <w:rFonts w:ascii="Arial Narrow" w:eastAsia="Times New Roman" w:hAnsi="Arial Narrow" w:cs="Times New Roman"/>
                <w:b/>
                <w:bCs/>
                <w:sz w:val="18"/>
                <w:szCs w:val="18"/>
                <w:lang w:eastAsia="it-IT"/>
              </w:rPr>
              <w:t>Changes</w:t>
            </w:r>
            <w:proofErr w:type="spellEnd"/>
            <w:r w:rsidRPr="00921565">
              <w:rPr>
                <w:rFonts w:ascii="Arial Narrow" w:eastAsia="Times New Roman" w:hAnsi="Arial Narrow" w:cs="Times New Roman"/>
                <w:b/>
                <w:bCs/>
                <w:sz w:val="18"/>
                <w:szCs w:val="18"/>
                <w:lang w:eastAsia="it-IT"/>
              </w:rPr>
              <w:t xml:space="preserve"> %</w:t>
            </w:r>
          </w:p>
        </w:tc>
      </w:tr>
      <w:tr w:rsidR="005D02EA" w:rsidRPr="00AA1A17" w14:paraId="088813AA" w14:textId="77777777" w:rsidTr="002C35D3">
        <w:trPr>
          <w:trHeight w:val="238"/>
        </w:trPr>
        <w:tc>
          <w:tcPr>
            <w:tcW w:w="2546" w:type="pct"/>
            <w:tcBorders>
              <w:top w:val="nil"/>
              <w:left w:val="nil"/>
              <w:bottom w:val="nil"/>
              <w:right w:val="nil"/>
            </w:tcBorders>
            <w:shd w:val="clear" w:color="000000" w:fill="FFFFFF"/>
            <w:noWrap/>
            <w:vAlign w:val="center"/>
            <w:hideMark/>
          </w:tcPr>
          <w:p w14:paraId="3A35CCA5" w14:textId="2FBF1C6E" w:rsidR="005D02EA" w:rsidRPr="00AA1A17" w:rsidRDefault="00921565" w:rsidP="0033577D">
            <w:pPr>
              <w:widowControl/>
              <w:autoSpaceDE/>
              <w:autoSpaceDN/>
              <w:spacing w:before="40" w:after="20"/>
              <w:rPr>
                <w:rFonts w:ascii="Arial Narrow" w:eastAsia="Times New Roman" w:hAnsi="Arial Narrow" w:cs="Times New Roman"/>
                <w:sz w:val="18"/>
                <w:szCs w:val="18"/>
                <w:lang w:eastAsia="it-IT"/>
              </w:rPr>
            </w:pPr>
            <w:proofErr w:type="spellStart"/>
            <w:r w:rsidRPr="00921565">
              <w:rPr>
                <w:rFonts w:ascii="Arial Narrow" w:eastAsia="Times New Roman" w:hAnsi="Arial Narrow" w:cs="Times New Roman"/>
                <w:sz w:val="18"/>
                <w:szCs w:val="18"/>
                <w:lang w:eastAsia="it-IT"/>
              </w:rPr>
              <w:t>Income</w:t>
            </w:r>
            <w:proofErr w:type="spellEnd"/>
            <w:r w:rsidRPr="00921565">
              <w:rPr>
                <w:rFonts w:ascii="Arial Narrow" w:eastAsia="Times New Roman" w:hAnsi="Arial Narrow" w:cs="Times New Roman"/>
                <w:sz w:val="18"/>
                <w:szCs w:val="18"/>
                <w:lang w:eastAsia="it-IT"/>
              </w:rPr>
              <w:t xml:space="preserve"> from </w:t>
            </w:r>
            <w:proofErr w:type="spellStart"/>
            <w:r w:rsidRPr="00921565">
              <w:rPr>
                <w:rFonts w:ascii="Arial Narrow" w:eastAsia="Times New Roman" w:hAnsi="Arial Narrow" w:cs="Times New Roman"/>
                <w:sz w:val="18"/>
                <w:szCs w:val="18"/>
                <w:lang w:eastAsia="it-IT"/>
              </w:rPr>
              <w:t>employment</w:t>
            </w:r>
            <w:proofErr w:type="spellEnd"/>
          </w:p>
        </w:tc>
        <w:tc>
          <w:tcPr>
            <w:tcW w:w="662" w:type="pct"/>
            <w:tcBorders>
              <w:top w:val="nil"/>
              <w:left w:val="nil"/>
              <w:bottom w:val="nil"/>
              <w:right w:val="nil"/>
            </w:tcBorders>
            <w:shd w:val="clear" w:color="auto" w:fill="D9D9D9" w:themeFill="background1" w:themeFillShade="D9"/>
            <w:noWrap/>
            <w:vAlign w:val="center"/>
            <w:hideMark/>
          </w:tcPr>
          <w:p w14:paraId="3CF8BB65"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9.467</w:t>
            </w:r>
          </w:p>
        </w:tc>
        <w:tc>
          <w:tcPr>
            <w:tcW w:w="554" w:type="pct"/>
            <w:tcBorders>
              <w:top w:val="nil"/>
              <w:left w:val="nil"/>
              <w:bottom w:val="nil"/>
              <w:right w:val="nil"/>
            </w:tcBorders>
            <w:shd w:val="clear" w:color="000000" w:fill="FFFFFF"/>
            <w:noWrap/>
            <w:vAlign w:val="center"/>
            <w:hideMark/>
          </w:tcPr>
          <w:p w14:paraId="2D39E949"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-0,8</w:t>
            </w:r>
          </w:p>
        </w:tc>
        <w:tc>
          <w:tcPr>
            <w:tcW w:w="94" w:type="pct"/>
            <w:tcBorders>
              <w:top w:val="nil"/>
              <w:left w:val="nil"/>
              <w:bottom w:val="nil"/>
              <w:right w:val="nil"/>
            </w:tcBorders>
            <w:shd w:val="clear" w:color="000000" w:fill="FFFFFF"/>
            <w:noWrap/>
            <w:vAlign w:val="center"/>
            <w:hideMark/>
          </w:tcPr>
          <w:p w14:paraId="21B755F6"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 </w:t>
            </w:r>
          </w:p>
        </w:tc>
        <w:tc>
          <w:tcPr>
            <w:tcW w:w="688" w:type="pct"/>
            <w:tcBorders>
              <w:top w:val="nil"/>
              <w:left w:val="nil"/>
              <w:bottom w:val="nil"/>
              <w:right w:val="nil"/>
            </w:tcBorders>
            <w:shd w:val="clear" w:color="auto" w:fill="D9D9D9" w:themeFill="background1" w:themeFillShade="D9"/>
            <w:noWrap/>
            <w:vAlign w:val="center"/>
            <w:hideMark/>
          </w:tcPr>
          <w:p w14:paraId="116979F0"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9.743</w:t>
            </w:r>
          </w:p>
        </w:tc>
        <w:tc>
          <w:tcPr>
            <w:tcW w:w="456" w:type="pct"/>
            <w:tcBorders>
              <w:top w:val="nil"/>
              <w:left w:val="nil"/>
              <w:bottom w:val="nil"/>
              <w:right w:val="nil"/>
            </w:tcBorders>
            <w:shd w:val="clear" w:color="000000" w:fill="FFFFFF"/>
            <w:noWrap/>
            <w:vAlign w:val="center"/>
            <w:hideMark/>
          </w:tcPr>
          <w:p w14:paraId="1677AF2D"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+2,9</w:t>
            </w:r>
          </w:p>
        </w:tc>
      </w:tr>
      <w:tr w:rsidR="005D02EA" w:rsidRPr="00AA1A17" w14:paraId="4FCE0EE5" w14:textId="77777777" w:rsidTr="002C35D3">
        <w:trPr>
          <w:trHeight w:val="238"/>
        </w:trPr>
        <w:tc>
          <w:tcPr>
            <w:tcW w:w="2546" w:type="pct"/>
            <w:tcBorders>
              <w:top w:val="nil"/>
              <w:left w:val="nil"/>
              <w:bottom w:val="nil"/>
              <w:right w:val="nil"/>
            </w:tcBorders>
            <w:shd w:val="clear" w:color="000000" w:fill="FFFFFF"/>
            <w:noWrap/>
            <w:vAlign w:val="center"/>
            <w:hideMark/>
          </w:tcPr>
          <w:p w14:paraId="67670AB7" w14:textId="3E2AC167" w:rsidR="005D02EA" w:rsidRPr="00AA1A17" w:rsidRDefault="00921565" w:rsidP="0033577D">
            <w:pPr>
              <w:widowControl/>
              <w:autoSpaceDE/>
              <w:autoSpaceDN/>
              <w:spacing w:before="40" w:after="20"/>
              <w:rPr>
                <w:rFonts w:ascii="Arial Narrow" w:eastAsia="Times New Roman" w:hAnsi="Arial Narrow" w:cs="Times New Roman"/>
                <w:sz w:val="18"/>
                <w:szCs w:val="18"/>
                <w:lang w:eastAsia="it-IT"/>
              </w:rPr>
            </w:pPr>
            <w:r w:rsidRPr="00921565">
              <w:rPr>
                <w:rFonts w:ascii="Arial Narrow" w:eastAsia="Times New Roman" w:hAnsi="Arial Narrow" w:cs="Times New Roman"/>
                <w:sz w:val="18"/>
                <w:szCs w:val="18"/>
                <w:lang w:eastAsia="it-IT"/>
              </w:rPr>
              <w:t xml:space="preserve">Gross </w:t>
            </w:r>
            <w:proofErr w:type="spellStart"/>
            <w:r w:rsidRPr="00921565">
              <w:rPr>
                <w:rFonts w:ascii="Arial Narrow" w:eastAsia="Times New Roman" w:hAnsi="Arial Narrow" w:cs="Times New Roman"/>
                <w:sz w:val="18"/>
                <w:szCs w:val="18"/>
                <w:lang w:eastAsia="it-IT"/>
              </w:rPr>
              <w:t>internal</w:t>
            </w:r>
            <w:proofErr w:type="spellEnd"/>
            <w:r w:rsidRPr="00921565">
              <w:rPr>
                <w:rFonts w:ascii="Arial Narrow" w:eastAsia="Times New Roman" w:hAnsi="Arial Narrow" w:cs="Times New Roman"/>
                <w:sz w:val="18"/>
                <w:szCs w:val="18"/>
                <w:lang w:eastAsia="it-IT"/>
              </w:rPr>
              <w:t xml:space="preserve"> </w:t>
            </w:r>
            <w:proofErr w:type="spellStart"/>
            <w:r w:rsidRPr="00921565">
              <w:rPr>
                <w:rFonts w:ascii="Arial Narrow" w:eastAsia="Times New Roman" w:hAnsi="Arial Narrow" w:cs="Times New Roman"/>
                <w:sz w:val="18"/>
                <w:szCs w:val="18"/>
                <w:lang w:eastAsia="it-IT"/>
              </w:rPr>
              <w:t>salary</w:t>
            </w:r>
            <w:proofErr w:type="spellEnd"/>
          </w:p>
        </w:tc>
        <w:tc>
          <w:tcPr>
            <w:tcW w:w="662" w:type="pct"/>
            <w:tcBorders>
              <w:top w:val="nil"/>
              <w:left w:val="nil"/>
              <w:bottom w:val="nil"/>
              <w:right w:val="nil"/>
            </w:tcBorders>
            <w:shd w:val="clear" w:color="auto" w:fill="D9D9D9" w:themeFill="background1" w:themeFillShade="D9"/>
            <w:noWrap/>
            <w:vAlign w:val="center"/>
            <w:hideMark/>
          </w:tcPr>
          <w:p w14:paraId="771303E4"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7.770</w:t>
            </w:r>
          </w:p>
        </w:tc>
        <w:tc>
          <w:tcPr>
            <w:tcW w:w="554" w:type="pct"/>
            <w:tcBorders>
              <w:top w:val="nil"/>
              <w:left w:val="nil"/>
              <w:bottom w:val="nil"/>
              <w:right w:val="nil"/>
            </w:tcBorders>
            <w:shd w:val="clear" w:color="000000" w:fill="FFFFFF"/>
            <w:noWrap/>
            <w:vAlign w:val="center"/>
            <w:hideMark/>
          </w:tcPr>
          <w:p w14:paraId="2F8933DF"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-1,0</w:t>
            </w:r>
          </w:p>
        </w:tc>
        <w:tc>
          <w:tcPr>
            <w:tcW w:w="94" w:type="pct"/>
            <w:tcBorders>
              <w:top w:val="nil"/>
              <w:left w:val="nil"/>
              <w:bottom w:val="nil"/>
              <w:right w:val="nil"/>
            </w:tcBorders>
            <w:shd w:val="clear" w:color="000000" w:fill="FFFFFF"/>
            <w:noWrap/>
            <w:vAlign w:val="center"/>
            <w:hideMark/>
          </w:tcPr>
          <w:p w14:paraId="3D97B72C"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 </w:t>
            </w:r>
          </w:p>
        </w:tc>
        <w:tc>
          <w:tcPr>
            <w:tcW w:w="688" w:type="pct"/>
            <w:tcBorders>
              <w:top w:val="nil"/>
              <w:left w:val="nil"/>
              <w:bottom w:val="nil"/>
              <w:right w:val="nil"/>
            </w:tcBorders>
            <w:shd w:val="clear" w:color="auto" w:fill="D9D9D9" w:themeFill="background1" w:themeFillShade="D9"/>
            <w:noWrap/>
            <w:vAlign w:val="center"/>
            <w:hideMark/>
          </w:tcPr>
          <w:p w14:paraId="005ADF91"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7.983</w:t>
            </w:r>
          </w:p>
        </w:tc>
        <w:tc>
          <w:tcPr>
            <w:tcW w:w="456" w:type="pct"/>
            <w:tcBorders>
              <w:top w:val="nil"/>
              <w:left w:val="nil"/>
              <w:bottom w:val="nil"/>
              <w:right w:val="nil"/>
            </w:tcBorders>
            <w:shd w:val="clear" w:color="000000" w:fill="FFFFFF"/>
            <w:noWrap/>
            <w:vAlign w:val="center"/>
            <w:hideMark/>
          </w:tcPr>
          <w:p w14:paraId="393F6337"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+2,7</w:t>
            </w:r>
          </w:p>
        </w:tc>
      </w:tr>
      <w:tr w:rsidR="005D02EA" w:rsidRPr="00AA1A17" w14:paraId="2209FD37" w14:textId="77777777" w:rsidTr="002C35D3">
        <w:trPr>
          <w:trHeight w:val="238"/>
        </w:trPr>
        <w:tc>
          <w:tcPr>
            <w:tcW w:w="2546" w:type="pct"/>
            <w:tcBorders>
              <w:top w:val="nil"/>
              <w:left w:val="nil"/>
              <w:bottom w:val="nil"/>
              <w:right w:val="nil"/>
            </w:tcBorders>
            <w:shd w:val="clear" w:color="000000" w:fill="FFFFFF"/>
            <w:noWrap/>
            <w:vAlign w:val="center"/>
            <w:hideMark/>
          </w:tcPr>
          <w:p w14:paraId="2F1E4E38" w14:textId="4529696F" w:rsidR="005D02EA" w:rsidRPr="00921565" w:rsidRDefault="00921565" w:rsidP="0033577D">
            <w:pPr>
              <w:widowControl/>
              <w:autoSpaceDE/>
              <w:autoSpaceDN/>
              <w:spacing w:before="40" w:after="20"/>
              <w:rPr>
                <w:rFonts w:ascii="Arial Narrow" w:eastAsia="Times New Roman" w:hAnsi="Arial Narrow" w:cs="Times New Roman"/>
                <w:sz w:val="18"/>
                <w:szCs w:val="18"/>
                <w:lang w:val="en-US" w:eastAsia="it-IT"/>
              </w:rPr>
            </w:pPr>
            <w:r w:rsidRPr="00921565">
              <w:rPr>
                <w:rFonts w:ascii="Arial Narrow" w:eastAsia="Times New Roman" w:hAnsi="Arial Narrow" w:cs="Times New Roman"/>
                <w:sz w:val="18"/>
                <w:szCs w:val="18"/>
                <w:lang w:val="en-US" w:eastAsia="it-IT"/>
              </w:rPr>
              <w:t>Social contributions paid by the employer</w:t>
            </w:r>
          </w:p>
        </w:tc>
        <w:tc>
          <w:tcPr>
            <w:tcW w:w="662" w:type="pct"/>
            <w:tcBorders>
              <w:top w:val="nil"/>
              <w:left w:val="nil"/>
              <w:bottom w:val="single" w:sz="4" w:space="0" w:color="auto"/>
              <w:right w:val="nil"/>
            </w:tcBorders>
            <w:shd w:val="clear" w:color="auto" w:fill="D9D9D9" w:themeFill="background1" w:themeFillShade="D9"/>
            <w:noWrap/>
            <w:vAlign w:val="center"/>
            <w:hideMark/>
          </w:tcPr>
          <w:p w14:paraId="38AB8AD1"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1.696</w:t>
            </w:r>
          </w:p>
        </w:tc>
        <w:tc>
          <w:tcPr>
            <w:tcW w:w="554" w:type="pct"/>
            <w:tcBorders>
              <w:top w:val="nil"/>
              <w:left w:val="nil"/>
              <w:bottom w:val="single" w:sz="4" w:space="0" w:color="auto"/>
              <w:right w:val="nil"/>
            </w:tcBorders>
            <w:shd w:val="clear" w:color="000000" w:fill="FFFFFF"/>
            <w:noWrap/>
            <w:vAlign w:val="center"/>
            <w:hideMark/>
          </w:tcPr>
          <w:p w14:paraId="27F950EA"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-0,2</w:t>
            </w:r>
          </w:p>
        </w:tc>
        <w:tc>
          <w:tcPr>
            <w:tcW w:w="94" w:type="pct"/>
            <w:tcBorders>
              <w:top w:val="nil"/>
              <w:left w:val="nil"/>
              <w:bottom w:val="nil"/>
              <w:right w:val="nil"/>
            </w:tcBorders>
            <w:shd w:val="clear" w:color="000000" w:fill="FFFFFF"/>
            <w:noWrap/>
            <w:vAlign w:val="center"/>
            <w:hideMark/>
          </w:tcPr>
          <w:p w14:paraId="22A1E472"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 </w:t>
            </w:r>
          </w:p>
        </w:tc>
        <w:tc>
          <w:tcPr>
            <w:tcW w:w="688" w:type="pct"/>
            <w:tcBorders>
              <w:top w:val="nil"/>
              <w:left w:val="nil"/>
              <w:bottom w:val="single" w:sz="4" w:space="0" w:color="auto"/>
              <w:right w:val="nil"/>
            </w:tcBorders>
            <w:shd w:val="clear" w:color="auto" w:fill="D9D9D9" w:themeFill="background1" w:themeFillShade="D9"/>
            <w:noWrap/>
            <w:vAlign w:val="center"/>
            <w:hideMark/>
          </w:tcPr>
          <w:p w14:paraId="37C5AF2C"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1.760</w:t>
            </w:r>
          </w:p>
        </w:tc>
        <w:tc>
          <w:tcPr>
            <w:tcW w:w="456" w:type="pct"/>
            <w:tcBorders>
              <w:top w:val="nil"/>
              <w:left w:val="nil"/>
              <w:bottom w:val="single" w:sz="4" w:space="0" w:color="auto"/>
              <w:right w:val="nil"/>
            </w:tcBorders>
            <w:shd w:val="clear" w:color="000000" w:fill="FFFFFF"/>
            <w:noWrap/>
            <w:vAlign w:val="center"/>
            <w:hideMark/>
          </w:tcPr>
          <w:p w14:paraId="35DE08F2"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+3,7</w:t>
            </w:r>
          </w:p>
        </w:tc>
      </w:tr>
      <w:tr w:rsidR="005D02EA" w:rsidRPr="00AA1A17" w14:paraId="1FAF0B60" w14:textId="77777777" w:rsidTr="002C35D3">
        <w:trPr>
          <w:trHeight w:val="238"/>
        </w:trPr>
        <w:tc>
          <w:tcPr>
            <w:tcW w:w="2546" w:type="pct"/>
            <w:tcBorders>
              <w:top w:val="single" w:sz="4" w:space="0" w:color="auto"/>
              <w:left w:val="nil"/>
              <w:bottom w:val="nil"/>
              <w:right w:val="nil"/>
            </w:tcBorders>
            <w:shd w:val="clear" w:color="000000" w:fill="FFFFFF"/>
            <w:noWrap/>
            <w:vAlign w:val="center"/>
            <w:hideMark/>
          </w:tcPr>
          <w:p w14:paraId="7443DD87" w14:textId="6CCA843B" w:rsidR="005D02EA" w:rsidRPr="00921565" w:rsidRDefault="00921565" w:rsidP="0033577D">
            <w:pPr>
              <w:widowControl/>
              <w:autoSpaceDE/>
              <w:autoSpaceDN/>
              <w:spacing w:before="40" w:after="20"/>
              <w:rPr>
                <w:rFonts w:ascii="Arial Narrow" w:eastAsia="Times New Roman" w:hAnsi="Arial Narrow" w:cs="Times New Roman"/>
                <w:sz w:val="18"/>
                <w:szCs w:val="18"/>
                <w:lang w:val="en-US" w:eastAsia="it-IT"/>
              </w:rPr>
            </w:pPr>
            <w:r w:rsidRPr="00921565">
              <w:rPr>
                <w:rFonts w:ascii="Arial Narrow" w:eastAsia="Times New Roman" w:hAnsi="Arial Narrow" w:cs="Times New Roman"/>
                <w:sz w:val="18"/>
                <w:szCs w:val="18"/>
                <w:lang w:val="en-US" w:eastAsia="it-IT"/>
              </w:rPr>
              <w:t>Gross fixed investments (current values)</w:t>
            </w:r>
          </w:p>
        </w:tc>
        <w:tc>
          <w:tcPr>
            <w:tcW w:w="662" w:type="pct"/>
            <w:tcBorders>
              <w:top w:val="nil"/>
              <w:left w:val="nil"/>
              <w:bottom w:val="nil"/>
              <w:right w:val="nil"/>
            </w:tcBorders>
            <w:shd w:val="clear" w:color="auto" w:fill="D9D9D9" w:themeFill="background1" w:themeFillShade="D9"/>
            <w:noWrap/>
            <w:vAlign w:val="center"/>
            <w:hideMark/>
          </w:tcPr>
          <w:p w14:paraId="6A9666DF" w14:textId="12AE80D0"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9.</w:t>
            </w:r>
            <w:r w:rsidR="00E432F9" w:rsidRPr="00AA1A17">
              <w:rPr>
                <w:rFonts w:ascii="Arial Narrow" w:eastAsia="Times New Roman" w:hAnsi="Arial Narrow" w:cs="Times New Roman"/>
                <w:sz w:val="18"/>
                <w:szCs w:val="18"/>
                <w:lang w:eastAsia="it-IT"/>
              </w:rPr>
              <w:t>208</w:t>
            </w:r>
          </w:p>
        </w:tc>
        <w:tc>
          <w:tcPr>
            <w:tcW w:w="554" w:type="pct"/>
            <w:tcBorders>
              <w:top w:val="nil"/>
              <w:left w:val="nil"/>
              <w:bottom w:val="nil"/>
              <w:right w:val="nil"/>
            </w:tcBorders>
            <w:shd w:val="clear" w:color="000000" w:fill="FFFFFF"/>
            <w:noWrap/>
            <w:vAlign w:val="center"/>
            <w:hideMark/>
          </w:tcPr>
          <w:p w14:paraId="26F56955" w14:textId="7FB7107A"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w:t>
            </w:r>
            <w:r w:rsidR="00E432F9" w:rsidRPr="00AA1A17">
              <w:rPr>
                <w:rFonts w:ascii="Arial Narrow" w:eastAsia="Times New Roman" w:hAnsi="Arial Narrow" w:cs="Times New Roman"/>
                <w:sz w:val="18"/>
                <w:szCs w:val="18"/>
                <w:lang w:eastAsia="it-IT"/>
              </w:rPr>
              <w:t>1</w:t>
            </w:r>
            <w:r w:rsidRPr="00AA1A17">
              <w:rPr>
                <w:rFonts w:ascii="Arial Narrow" w:eastAsia="Times New Roman" w:hAnsi="Arial Narrow" w:cs="Times New Roman"/>
                <w:sz w:val="18"/>
                <w:szCs w:val="18"/>
                <w:lang w:eastAsia="it-IT"/>
              </w:rPr>
              <w:t>,</w:t>
            </w:r>
            <w:r w:rsidR="00E432F9" w:rsidRPr="00AA1A17">
              <w:rPr>
                <w:rFonts w:ascii="Arial Narrow" w:eastAsia="Times New Roman" w:hAnsi="Arial Narrow" w:cs="Times New Roman"/>
                <w:sz w:val="18"/>
                <w:szCs w:val="18"/>
                <w:lang w:eastAsia="it-IT"/>
              </w:rPr>
              <w:t>7</w:t>
            </w:r>
          </w:p>
        </w:tc>
        <w:tc>
          <w:tcPr>
            <w:tcW w:w="94" w:type="pct"/>
            <w:tcBorders>
              <w:top w:val="nil"/>
              <w:left w:val="nil"/>
              <w:bottom w:val="nil"/>
              <w:right w:val="nil"/>
            </w:tcBorders>
            <w:shd w:val="clear" w:color="000000" w:fill="FFFFFF"/>
            <w:noWrap/>
            <w:vAlign w:val="center"/>
            <w:hideMark/>
          </w:tcPr>
          <w:p w14:paraId="2FD6A012"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 </w:t>
            </w:r>
          </w:p>
        </w:tc>
        <w:tc>
          <w:tcPr>
            <w:tcW w:w="688" w:type="pct"/>
            <w:tcBorders>
              <w:top w:val="nil"/>
              <w:left w:val="nil"/>
              <w:bottom w:val="nil"/>
              <w:right w:val="nil"/>
            </w:tcBorders>
            <w:shd w:val="clear" w:color="auto" w:fill="D9D9D9" w:themeFill="background1" w:themeFillShade="D9"/>
            <w:noWrap/>
            <w:vAlign w:val="center"/>
            <w:hideMark/>
          </w:tcPr>
          <w:p w14:paraId="57C7A33C"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10.920</w:t>
            </w:r>
          </w:p>
        </w:tc>
        <w:tc>
          <w:tcPr>
            <w:tcW w:w="456" w:type="pct"/>
            <w:tcBorders>
              <w:top w:val="nil"/>
              <w:left w:val="nil"/>
              <w:bottom w:val="nil"/>
              <w:right w:val="nil"/>
            </w:tcBorders>
            <w:shd w:val="clear" w:color="000000" w:fill="FFFFFF"/>
            <w:noWrap/>
            <w:vAlign w:val="center"/>
            <w:hideMark/>
          </w:tcPr>
          <w:p w14:paraId="20CE26B1" w14:textId="790FAF1C"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w:t>
            </w:r>
            <w:r w:rsidR="00E432F9" w:rsidRPr="00AA1A17">
              <w:rPr>
                <w:rFonts w:ascii="Arial Narrow" w:eastAsia="Times New Roman" w:hAnsi="Arial Narrow" w:cs="Times New Roman"/>
                <w:sz w:val="18"/>
                <w:szCs w:val="18"/>
                <w:lang w:eastAsia="it-IT"/>
              </w:rPr>
              <w:t>8</w:t>
            </w:r>
            <w:r w:rsidRPr="00AA1A17">
              <w:rPr>
                <w:rFonts w:ascii="Arial Narrow" w:eastAsia="Times New Roman" w:hAnsi="Arial Narrow" w:cs="Times New Roman"/>
                <w:sz w:val="18"/>
                <w:szCs w:val="18"/>
                <w:lang w:eastAsia="it-IT"/>
              </w:rPr>
              <w:t>,</w:t>
            </w:r>
            <w:r w:rsidR="00E432F9" w:rsidRPr="00AA1A17">
              <w:rPr>
                <w:rFonts w:ascii="Arial Narrow" w:eastAsia="Times New Roman" w:hAnsi="Arial Narrow" w:cs="Times New Roman"/>
                <w:sz w:val="18"/>
                <w:szCs w:val="18"/>
                <w:lang w:eastAsia="it-IT"/>
              </w:rPr>
              <w:t>6</w:t>
            </w:r>
          </w:p>
        </w:tc>
      </w:tr>
      <w:tr w:rsidR="005D02EA" w:rsidRPr="00AA1A17" w14:paraId="4C22A60A" w14:textId="77777777" w:rsidTr="002C35D3">
        <w:trPr>
          <w:trHeight w:val="238"/>
        </w:trPr>
        <w:tc>
          <w:tcPr>
            <w:tcW w:w="2546" w:type="pct"/>
            <w:tcBorders>
              <w:top w:val="nil"/>
              <w:left w:val="nil"/>
              <w:bottom w:val="single" w:sz="4" w:space="0" w:color="auto"/>
              <w:right w:val="nil"/>
            </w:tcBorders>
            <w:shd w:val="clear" w:color="000000" w:fill="FFFFFF"/>
            <w:noWrap/>
            <w:vAlign w:val="center"/>
            <w:hideMark/>
          </w:tcPr>
          <w:p w14:paraId="195428C3" w14:textId="65A639AD" w:rsidR="005D02EA" w:rsidRPr="00921565" w:rsidRDefault="00921565" w:rsidP="0033577D">
            <w:pPr>
              <w:widowControl/>
              <w:autoSpaceDE/>
              <w:autoSpaceDN/>
              <w:spacing w:before="40" w:after="20"/>
              <w:rPr>
                <w:rFonts w:ascii="Arial Narrow" w:eastAsia="Times New Roman" w:hAnsi="Arial Narrow" w:cs="Times New Roman"/>
                <w:sz w:val="18"/>
                <w:szCs w:val="18"/>
                <w:lang w:val="en-US" w:eastAsia="it-IT"/>
              </w:rPr>
            </w:pPr>
            <w:r w:rsidRPr="00921565">
              <w:rPr>
                <w:rFonts w:ascii="Arial Narrow" w:eastAsia="Times New Roman" w:hAnsi="Arial Narrow" w:cs="Times New Roman"/>
                <w:sz w:val="18"/>
                <w:szCs w:val="18"/>
                <w:lang w:val="en-US" w:eastAsia="it-IT"/>
              </w:rPr>
              <w:t>Gross fixed investments (</w:t>
            </w:r>
            <w:r w:rsidR="00215769">
              <w:rPr>
                <w:rFonts w:ascii="Arial Narrow" w:eastAsia="Times New Roman" w:hAnsi="Arial Narrow" w:cs="Times New Roman"/>
                <w:sz w:val="18"/>
                <w:szCs w:val="18"/>
                <w:lang w:val="en-US" w:eastAsia="it-IT"/>
              </w:rPr>
              <w:t>chained</w:t>
            </w:r>
            <w:r w:rsidRPr="00921565">
              <w:rPr>
                <w:rFonts w:ascii="Arial Narrow" w:eastAsia="Times New Roman" w:hAnsi="Arial Narrow" w:cs="Times New Roman"/>
                <w:sz w:val="18"/>
                <w:szCs w:val="18"/>
                <w:lang w:val="en-US" w:eastAsia="it-IT"/>
              </w:rPr>
              <w:t xml:space="preserve"> values with reference year 2015)</w:t>
            </w:r>
          </w:p>
        </w:tc>
        <w:tc>
          <w:tcPr>
            <w:tcW w:w="662" w:type="pct"/>
            <w:tcBorders>
              <w:top w:val="nil"/>
              <w:left w:val="nil"/>
              <w:bottom w:val="single" w:sz="4" w:space="0" w:color="auto"/>
              <w:right w:val="nil"/>
            </w:tcBorders>
            <w:shd w:val="clear" w:color="auto" w:fill="D9D9D9" w:themeFill="background1" w:themeFillShade="D9"/>
            <w:noWrap/>
            <w:vAlign w:val="center"/>
            <w:hideMark/>
          </w:tcPr>
          <w:p w14:paraId="4CAC6DDF" w14:textId="69BDB4D0"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8.7</w:t>
            </w:r>
            <w:r w:rsidR="00E432F9" w:rsidRPr="00AA1A17">
              <w:rPr>
                <w:rFonts w:ascii="Arial Narrow" w:eastAsia="Times New Roman" w:hAnsi="Arial Narrow" w:cs="Times New Roman"/>
                <w:sz w:val="18"/>
                <w:szCs w:val="18"/>
                <w:lang w:eastAsia="it-IT"/>
              </w:rPr>
              <w:t>4</w:t>
            </w:r>
            <w:r w:rsidRPr="00AA1A17">
              <w:rPr>
                <w:rFonts w:ascii="Arial Narrow" w:eastAsia="Times New Roman" w:hAnsi="Arial Narrow" w:cs="Times New Roman"/>
                <w:sz w:val="18"/>
                <w:szCs w:val="18"/>
                <w:lang w:eastAsia="it-IT"/>
              </w:rPr>
              <w:t>9</w:t>
            </w:r>
          </w:p>
        </w:tc>
        <w:tc>
          <w:tcPr>
            <w:tcW w:w="554" w:type="pct"/>
            <w:tcBorders>
              <w:top w:val="nil"/>
              <w:left w:val="nil"/>
              <w:bottom w:val="single" w:sz="4" w:space="0" w:color="auto"/>
              <w:right w:val="nil"/>
            </w:tcBorders>
            <w:shd w:val="clear" w:color="000000" w:fill="FFFFFF"/>
            <w:noWrap/>
            <w:vAlign w:val="center"/>
            <w:hideMark/>
          </w:tcPr>
          <w:p w14:paraId="0DFFE439" w14:textId="6668BB2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w:t>
            </w:r>
            <w:r w:rsidR="00E432F9" w:rsidRPr="00AA1A17">
              <w:rPr>
                <w:rFonts w:ascii="Arial Narrow" w:eastAsia="Times New Roman" w:hAnsi="Arial Narrow" w:cs="Times New Roman"/>
                <w:sz w:val="18"/>
                <w:szCs w:val="18"/>
                <w:lang w:eastAsia="it-IT"/>
              </w:rPr>
              <w:t>1</w:t>
            </w:r>
            <w:r w:rsidRPr="00AA1A17">
              <w:rPr>
                <w:rFonts w:ascii="Arial Narrow" w:eastAsia="Times New Roman" w:hAnsi="Arial Narrow" w:cs="Times New Roman"/>
                <w:sz w:val="18"/>
                <w:szCs w:val="18"/>
                <w:lang w:eastAsia="it-IT"/>
              </w:rPr>
              <w:t>,</w:t>
            </w:r>
            <w:r w:rsidR="00E432F9" w:rsidRPr="00AA1A17">
              <w:rPr>
                <w:rFonts w:ascii="Arial Narrow" w:eastAsia="Times New Roman" w:hAnsi="Arial Narrow" w:cs="Times New Roman"/>
                <w:sz w:val="18"/>
                <w:szCs w:val="18"/>
                <w:lang w:eastAsia="it-IT"/>
              </w:rPr>
              <w:t>7</w:t>
            </w:r>
          </w:p>
        </w:tc>
        <w:tc>
          <w:tcPr>
            <w:tcW w:w="94" w:type="pct"/>
            <w:tcBorders>
              <w:top w:val="nil"/>
              <w:left w:val="nil"/>
              <w:bottom w:val="nil"/>
              <w:right w:val="nil"/>
            </w:tcBorders>
            <w:shd w:val="clear" w:color="000000" w:fill="FFFFFF"/>
            <w:noWrap/>
            <w:vAlign w:val="center"/>
            <w:hideMark/>
          </w:tcPr>
          <w:p w14:paraId="2CE31AE0"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 </w:t>
            </w:r>
          </w:p>
        </w:tc>
        <w:tc>
          <w:tcPr>
            <w:tcW w:w="688" w:type="pct"/>
            <w:tcBorders>
              <w:top w:val="nil"/>
              <w:left w:val="nil"/>
              <w:bottom w:val="single" w:sz="4" w:space="0" w:color="auto"/>
              <w:right w:val="nil"/>
            </w:tcBorders>
            <w:shd w:val="clear" w:color="auto" w:fill="D9D9D9" w:themeFill="background1" w:themeFillShade="D9"/>
            <w:noWrap/>
            <w:vAlign w:val="center"/>
            <w:hideMark/>
          </w:tcPr>
          <w:p w14:paraId="1F8AD7BF" w14:textId="77777777"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10.234</w:t>
            </w:r>
          </w:p>
        </w:tc>
        <w:tc>
          <w:tcPr>
            <w:tcW w:w="456" w:type="pct"/>
            <w:tcBorders>
              <w:top w:val="nil"/>
              <w:left w:val="nil"/>
              <w:bottom w:val="single" w:sz="4" w:space="0" w:color="auto"/>
              <w:right w:val="nil"/>
            </w:tcBorders>
            <w:shd w:val="clear" w:color="000000" w:fill="FFFFFF"/>
            <w:noWrap/>
            <w:vAlign w:val="center"/>
            <w:hideMark/>
          </w:tcPr>
          <w:p w14:paraId="2C838218" w14:textId="5AE0AD72" w:rsidR="005D02EA" w:rsidRPr="00AA1A17" w:rsidRDefault="005D02EA" w:rsidP="0033577D">
            <w:pPr>
              <w:widowControl/>
              <w:autoSpaceDE/>
              <w:autoSpaceDN/>
              <w:spacing w:before="40" w:after="20"/>
              <w:jc w:val="right"/>
              <w:rPr>
                <w:rFonts w:ascii="Arial Narrow" w:eastAsia="Times New Roman" w:hAnsi="Arial Narrow" w:cs="Times New Roman"/>
                <w:sz w:val="18"/>
                <w:szCs w:val="18"/>
                <w:lang w:eastAsia="it-IT"/>
              </w:rPr>
            </w:pPr>
            <w:r w:rsidRPr="00AA1A17">
              <w:rPr>
                <w:rFonts w:ascii="Arial Narrow" w:eastAsia="Times New Roman" w:hAnsi="Arial Narrow" w:cs="Times New Roman"/>
                <w:sz w:val="18"/>
                <w:szCs w:val="18"/>
                <w:lang w:eastAsia="it-IT"/>
              </w:rPr>
              <w:t>+17,</w:t>
            </w:r>
            <w:r w:rsidR="00E432F9" w:rsidRPr="00AA1A17">
              <w:rPr>
                <w:rFonts w:ascii="Arial Narrow" w:eastAsia="Times New Roman" w:hAnsi="Arial Narrow" w:cs="Times New Roman"/>
                <w:sz w:val="18"/>
                <w:szCs w:val="18"/>
                <w:lang w:eastAsia="it-IT"/>
              </w:rPr>
              <w:t>0</w:t>
            </w:r>
          </w:p>
        </w:tc>
      </w:tr>
    </w:tbl>
    <w:p w14:paraId="7C765DA4" w14:textId="77777777" w:rsidR="00263C69" w:rsidRPr="0049409E" w:rsidRDefault="00263C69" w:rsidP="00BA6BE2">
      <w:pPr>
        <w:widowControl/>
        <w:suppressAutoHyphens/>
        <w:autoSpaceDE/>
        <w:spacing w:after="120"/>
        <w:jc w:val="both"/>
        <w:textAlignment w:val="baseline"/>
        <w:rPr>
          <w:rFonts w:ascii="Trebuchet MS" w:eastAsia="Times New Roman" w:hAnsi="Trebuchet MS" w:cs="Arial"/>
          <w:color w:val="595959" w:themeColor="text1" w:themeTint="A6"/>
          <w:sz w:val="2"/>
          <w:szCs w:val="20"/>
          <w:lang w:eastAsia="it-IT"/>
        </w:rPr>
      </w:pPr>
    </w:p>
    <w:p w14:paraId="10DDF37A" w14:textId="77777777" w:rsidR="009453DC" w:rsidRPr="00601667" w:rsidRDefault="009453DC" w:rsidP="004C19F8">
      <w:pPr>
        <w:pStyle w:val="Titolo1"/>
        <w:spacing w:after="120"/>
        <w:ind w:left="0" w:right="-34"/>
        <w:rPr>
          <w:rStyle w:val="fontstyle01"/>
          <w:rFonts w:ascii="Trebuchet MS" w:eastAsia="Times New Roman" w:hAnsi="Trebuchet MS" w:cs="Times New Roman"/>
          <w:b/>
          <w:iCs/>
          <w:color w:val="595959" w:themeColor="text1" w:themeTint="A6"/>
          <w:sz w:val="14"/>
          <w:lang w:eastAsia="it-IT"/>
        </w:rPr>
      </w:pPr>
    </w:p>
    <w:p w14:paraId="0FA4E59C" w14:textId="7DA5CD9F" w:rsidR="004C19F8" w:rsidRPr="00CE5009" w:rsidRDefault="00CE5009" w:rsidP="0033577D">
      <w:pPr>
        <w:pStyle w:val="Titolo1"/>
        <w:spacing w:after="120"/>
        <w:ind w:left="0" w:right="-34"/>
        <w:rPr>
          <w:b w:val="0"/>
          <w:i/>
          <w:color w:val="595959" w:themeColor="text1" w:themeTint="A6"/>
          <w:spacing w:val="14"/>
          <w:w w:val="80"/>
          <w:sz w:val="21"/>
          <w:szCs w:val="21"/>
          <w:lang w:val="en-US"/>
        </w:rPr>
      </w:pPr>
      <w:r w:rsidRPr="00CE5009">
        <w:rPr>
          <w:rStyle w:val="fontstyle01"/>
          <w:rFonts w:ascii="Trebuchet MS" w:eastAsia="Times New Roman" w:hAnsi="Trebuchet MS" w:cs="Times New Roman"/>
          <w:b/>
          <w:iCs/>
          <w:color w:val="595959" w:themeColor="text1" w:themeTint="A6"/>
          <w:lang w:val="en-US" w:eastAsia="it-IT"/>
        </w:rPr>
        <w:t>In twenty years, 20% of the work units have been lost</w:t>
      </w:r>
      <w:r w:rsidR="004C19F8" w:rsidRPr="00CE5009">
        <w:rPr>
          <w:rStyle w:val="fontstyle01"/>
          <w:rFonts w:ascii="Trebuchet MS" w:eastAsia="Times New Roman" w:hAnsi="Trebuchet MS" w:cs="Times New Roman"/>
          <w:b/>
          <w:iCs/>
          <w:color w:val="595959" w:themeColor="text1" w:themeTint="A6"/>
          <w:lang w:val="en-US" w:eastAsia="it-IT"/>
        </w:rPr>
        <w:t xml:space="preserve"> </w:t>
      </w:r>
    </w:p>
    <w:p w14:paraId="378128A9" w14:textId="10F2AB51" w:rsidR="00F130A3" w:rsidRPr="00CE5009" w:rsidRDefault="00CE5009" w:rsidP="0033577D">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CE5009">
        <w:rPr>
          <w:rFonts w:ascii="Trebuchet MS" w:eastAsia="Times New Roman" w:hAnsi="Trebuchet MS" w:cs="Arial"/>
          <w:color w:val="595959" w:themeColor="text1" w:themeTint="A6"/>
          <w:sz w:val="20"/>
          <w:szCs w:val="20"/>
          <w:lang w:val="en-US" w:eastAsia="it-IT"/>
        </w:rPr>
        <w:t>The labor input employed in the primary sector has peculiar characteristics compared to the rest of the economy, also because it is characterized by fiscal and administrative laws and regulations that differ from those adopted for the other economic sectors.</w:t>
      </w:r>
    </w:p>
    <w:p w14:paraId="6AE2E156" w14:textId="1E63C145" w:rsidR="0033577D" w:rsidRDefault="00C00936" w:rsidP="0033577D">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C00936">
        <w:rPr>
          <w:rFonts w:ascii="Trebuchet MS" w:eastAsia="Times New Roman" w:hAnsi="Trebuchet MS" w:cs="Arial"/>
          <w:color w:val="595959" w:themeColor="text1" w:themeTint="A6"/>
          <w:sz w:val="20"/>
          <w:szCs w:val="20"/>
          <w:lang w:val="en-US" w:eastAsia="it-IT"/>
        </w:rPr>
        <w:t xml:space="preserve">From the beginning of the 2000s to today, the labor input in agriculture, </w:t>
      </w:r>
      <w:proofErr w:type="gramStart"/>
      <w:r w:rsidRPr="00C00936">
        <w:rPr>
          <w:rFonts w:ascii="Trebuchet MS" w:eastAsia="Times New Roman" w:hAnsi="Trebuchet MS" w:cs="Arial"/>
          <w:color w:val="595959" w:themeColor="text1" w:themeTint="A6"/>
          <w:sz w:val="20"/>
          <w:szCs w:val="20"/>
          <w:lang w:val="en-US" w:eastAsia="it-IT"/>
        </w:rPr>
        <w:t>forestry</w:t>
      </w:r>
      <w:proofErr w:type="gramEnd"/>
      <w:r w:rsidRPr="00C00936">
        <w:rPr>
          <w:rFonts w:ascii="Trebuchet MS" w:eastAsia="Times New Roman" w:hAnsi="Trebuchet MS" w:cs="Arial"/>
          <w:color w:val="595959" w:themeColor="text1" w:themeTint="A6"/>
          <w:sz w:val="20"/>
          <w:szCs w:val="20"/>
          <w:lang w:val="en-US" w:eastAsia="it-IT"/>
        </w:rPr>
        <w:t xml:space="preserve"> and fishing, measured in Ula, has undergone a drastic reduction, from almost 1.5 million units in 2000 to just over 1.2 million in 2021 and showing a much more marked contraction trend of the national economy as a whole (Figure 1)</w:t>
      </w:r>
      <w:r>
        <w:rPr>
          <w:rFonts w:ascii="Trebuchet MS" w:eastAsia="Times New Roman" w:hAnsi="Trebuchet MS" w:cs="Arial"/>
          <w:color w:val="595959" w:themeColor="text1" w:themeTint="A6"/>
          <w:sz w:val="20"/>
          <w:szCs w:val="20"/>
          <w:lang w:val="en-US" w:eastAsia="it-IT"/>
        </w:rPr>
        <w:t>.</w:t>
      </w:r>
      <w:r w:rsidR="00F130A3" w:rsidRPr="00C00936">
        <w:rPr>
          <w:rFonts w:ascii="Trebuchet MS" w:eastAsia="Times New Roman" w:hAnsi="Trebuchet MS" w:cs="Arial"/>
          <w:color w:val="595959" w:themeColor="text1" w:themeTint="A6"/>
          <w:sz w:val="20"/>
          <w:szCs w:val="20"/>
          <w:lang w:val="en-US" w:eastAsia="it-IT"/>
        </w:rPr>
        <w:t xml:space="preserve"> </w:t>
      </w:r>
      <w:r w:rsidR="00415D8A" w:rsidRPr="00415D8A">
        <w:rPr>
          <w:rFonts w:ascii="Trebuchet MS" w:eastAsia="Times New Roman" w:hAnsi="Trebuchet MS" w:cs="Arial"/>
          <w:color w:val="595959" w:themeColor="text1" w:themeTint="A6"/>
          <w:sz w:val="20"/>
          <w:szCs w:val="20"/>
          <w:lang w:val="en-US" w:eastAsia="it-IT"/>
        </w:rPr>
        <w:t>The decline was essentially concentrated in the years from 2000 to 2013, when the A</w:t>
      </w:r>
      <w:r w:rsidR="00415D8A">
        <w:rPr>
          <w:rFonts w:ascii="Trebuchet MS" w:eastAsia="Times New Roman" w:hAnsi="Trebuchet MS" w:cs="Arial"/>
          <w:color w:val="595959" w:themeColor="text1" w:themeTint="A6"/>
          <w:sz w:val="20"/>
          <w:szCs w:val="20"/>
          <w:lang w:val="en-US" w:eastAsia="it-IT"/>
        </w:rPr>
        <w:t>WU</w:t>
      </w:r>
      <w:r w:rsidR="00415D8A" w:rsidRPr="00415D8A">
        <w:rPr>
          <w:rFonts w:ascii="Trebuchet MS" w:eastAsia="Times New Roman" w:hAnsi="Trebuchet MS" w:cs="Arial"/>
          <w:color w:val="595959" w:themeColor="text1" w:themeTint="A6"/>
          <w:sz w:val="20"/>
          <w:szCs w:val="20"/>
          <w:lang w:val="en-US" w:eastAsia="it-IT"/>
        </w:rPr>
        <w:t xml:space="preserve"> in the primary sector reached the minimum point with less than 1.2 million units.</w:t>
      </w:r>
      <w:r w:rsidR="00F130A3" w:rsidRPr="00415D8A">
        <w:rPr>
          <w:rFonts w:ascii="Trebuchet MS" w:eastAsia="Times New Roman" w:hAnsi="Trebuchet MS" w:cs="Arial"/>
          <w:color w:val="595959" w:themeColor="text1" w:themeTint="A6"/>
          <w:sz w:val="20"/>
          <w:szCs w:val="20"/>
          <w:lang w:val="en-US" w:eastAsia="it-IT"/>
        </w:rPr>
        <w:t xml:space="preserve"> </w:t>
      </w:r>
      <w:r w:rsidR="00415D8A" w:rsidRPr="00415D8A">
        <w:rPr>
          <w:rFonts w:ascii="Trebuchet MS" w:eastAsia="Times New Roman" w:hAnsi="Trebuchet MS" w:cs="Arial"/>
          <w:color w:val="595959" w:themeColor="text1" w:themeTint="A6"/>
          <w:sz w:val="20"/>
          <w:szCs w:val="20"/>
          <w:lang w:val="en-US" w:eastAsia="it-IT"/>
        </w:rPr>
        <w:t xml:space="preserve">Subsequently, in the years 2014-2016, labor input showed a slow recovery and then </w:t>
      </w:r>
      <w:proofErr w:type="gramStart"/>
      <w:r w:rsidR="00415D8A" w:rsidRPr="00415D8A">
        <w:rPr>
          <w:rFonts w:ascii="Trebuchet MS" w:eastAsia="Times New Roman" w:hAnsi="Trebuchet MS" w:cs="Arial"/>
          <w:color w:val="595959" w:themeColor="text1" w:themeTint="A6"/>
          <w:sz w:val="20"/>
          <w:szCs w:val="20"/>
          <w:lang w:val="en-US" w:eastAsia="it-IT"/>
        </w:rPr>
        <w:t>again</w:t>
      </w:r>
      <w:proofErr w:type="gramEnd"/>
      <w:r w:rsidR="00415D8A" w:rsidRPr="00415D8A">
        <w:rPr>
          <w:rFonts w:ascii="Trebuchet MS" w:eastAsia="Times New Roman" w:hAnsi="Trebuchet MS" w:cs="Arial"/>
          <w:color w:val="595959" w:themeColor="text1" w:themeTint="A6"/>
          <w:sz w:val="20"/>
          <w:szCs w:val="20"/>
          <w:lang w:val="en-US" w:eastAsia="it-IT"/>
        </w:rPr>
        <w:t xml:space="preserve"> a negative dynamic between 2016 and 2020. In 2021 there was a recovery, with overall employment returning to pre-pandemic </w:t>
      </w:r>
      <w:r w:rsidR="005333B0" w:rsidRPr="00415D8A">
        <w:rPr>
          <w:rFonts w:ascii="Trebuchet MS" w:eastAsia="Times New Roman" w:hAnsi="Trebuchet MS" w:cs="Arial"/>
          <w:color w:val="595959" w:themeColor="text1" w:themeTint="A6"/>
          <w:sz w:val="20"/>
          <w:szCs w:val="20"/>
          <w:lang w:val="en-US" w:eastAsia="it-IT"/>
        </w:rPr>
        <w:t>levels,</w:t>
      </w:r>
      <w:r w:rsidR="00415D8A" w:rsidRPr="00415D8A">
        <w:rPr>
          <w:rFonts w:ascii="Trebuchet MS" w:eastAsia="Times New Roman" w:hAnsi="Trebuchet MS" w:cs="Arial"/>
          <w:color w:val="595959" w:themeColor="text1" w:themeTint="A6"/>
          <w:sz w:val="20"/>
          <w:szCs w:val="20"/>
          <w:lang w:val="en-US" w:eastAsia="it-IT"/>
        </w:rPr>
        <w:t xml:space="preserve"> with approximately 1 million 259 thousand A</w:t>
      </w:r>
      <w:r w:rsidR="00415D8A">
        <w:rPr>
          <w:rFonts w:ascii="Trebuchet MS" w:eastAsia="Times New Roman" w:hAnsi="Trebuchet MS" w:cs="Arial"/>
          <w:color w:val="595959" w:themeColor="text1" w:themeTint="A6"/>
          <w:sz w:val="20"/>
          <w:szCs w:val="20"/>
          <w:lang w:val="en-US" w:eastAsia="it-IT"/>
        </w:rPr>
        <w:t>WU</w:t>
      </w:r>
      <w:r w:rsidR="00415D8A" w:rsidRPr="00415D8A">
        <w:rPr>
          <w:rFonts w:ascii="Trebuchet MS" w:eastAsia="Times New Roman" w:hAnsi="Trebuchet MS" w:cs="Arial"/>
          <w:color w:val="595959" w:themeColor="text1" w:themeTint="A6"/>
          <w:sz w:val="20"/>
          <w:szCs w:val="20"/>
          <w:lang w:val="en-US" w:eastAsia="it-IT"/>
        </w:rPr>
        <w:t>.</w:t>
      </w:r>
      <w:r w:rsidR="0033577D">
        <w:rPr>
          <w:rFonts w:ascii="Trebuchet MS" w:eastAsia="Times New Roman" w:hAnsi="Trebuchet MS" w:cs="Arial"/>
          <w:color w:val="595959" w:themeColor="text1" w:themeTint="A6"/>
          <w:sz w:val="20"/>
          <w:szCs w:val="20"/>
          <w:lang w:val="en-US" w:eastAsia="it-IT"/>
        </w:rPr>
        <w:br w:type="page"/>
      </w:r>
    </w:p>
    <w:p w14:paraId="73FA33AD" w14:textId="77777777" w:rsidR="00F130A3" w:rsidRPr="00415D8A" w:rsidRDefault="00F130A3"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p>
    <w:p w14:paraId="140E1B00" w14:textId="41C19C6A" w:rsidR="00D21637" w:rsidRPr="000D4FDD" w:rsidRDefault="00C00936" w:rsidP="00F64F98">
      <w:pPr>
        <w:spacing w:after="120"/>
        <w:jc w:val="both"/>
        <w:rPr>
          <w:b/>
          <w:color w:val="17365D"/>
          <w:spacing w:val="14"/>
          <w:w w:val="80"/>
          <w:lang w:val="en-US"/>
        </w:rPr>
      </w:pPr>
      <w:r w:rsidRPr="000D4FDD">
        <w:rPr>
          <w:rFonts w:ascii="Arial Narrow" w:hAnsi="Arial Narrow" w:cs="Arial"/>
          <w:b/>
          <w:iCs/>
          <w:noProof/>
          <w:color w:val="595959" w:themeColor="text1" w:themeTint="A6"/>
          <w:lang w:val="en-US"/>
        </w:rPr>
        <w:t>FIGURE</w:t>
      </w:r>
      <w:r w:rsidR="00D21637" w:rsidRPr="000D4FDD">
        <w:rPr>
          <w:rFonts w:ascii="Arial Narrow" w:hAnsi="Arial Narrow" w:cs="Arial"/>
          <w:b/>
          <w:iCs/>
          <w:noProof/>
          <w:color w:val="595959" w:themeColor="text1" w:themeTint="A6"/>
          <w:lang w:val="en-US"/>
        </w:rPr>
        <w:t xml:space="preserve"> 1. </w:t>
      </w:r>
      <w:r w:rsidR="000D4FDD" w:rsidRPr="000D4FDD">
        <w:rPr>
          <w:rFonts w:ascii="Arial Narrow" w:hAnsi="Arial Narrow" w:cs="Arial"/>
          <w:b/>
          <w:iCs/>
          <w:noProof/>
          <w:color w:val="595959" w:themeColor="text1" w:themeTint="A6"/>
          <w:lang w:val="en-US"/>
        </w:rPr>
        <w:t>PERFORMANCE OF WORK UNITS (AWU) FOR AGRICULTURE, FORESTRY A</w:t>
      </w:r>
      <w:r w:rsidR="002C248A">
        <w:rPr>
          <w:rFonts w:ascii="Arial Narrow" w:hAnsi="Arial Narrow" w:cs="Arial"/>
          <w:b/>
          <w:iCs/>
          <w:noProof/>
          <w:color w:val="595959" w:themeColor="text1" w:themeTint="A6"/>
          <w:lang w:val="en-US"/>
        </w:rPr>
        <w:t>ND FISHERIES AND TOTAL ECONOMY</w:t>
      </w:r>
      <w:r w:rsidR="00D21637" w:rsidRPr="000D4FDD">
        <w:rPr>
          <w:rFonts w:ascii="Arial Narrow" w:hAnsi="Arial Narrow" w:cs="Arial"/>
          <w:b/>
          <w:i/>
          <w:iCs/>
          <w:noProof/>
          <w:color w:val="17365D"/>
          <w:lang w:val="en-US"/>
        </w:rPr>
        <w:t xml:space="preserve">. </w:t>
      </w:r>
      <w:r w:rsidR="002C248A" w:rsidRPr="002C248A">
        <w:rPr>
          <w:rFonts w:ascii="Arial Narrow" w:hAnsi="Arial Narrow" w:cs="Arial"/>
          <w:iCs/>
          <w:noProof/>
          <w:color w:val="595959" w:themeColor="text1" w:themeTint="A6"/>
          <w:lang w:val="en-US"/>
        </w:rPr>
        <w:t>Years 2000-2021, base index numbers 2000 = 100</w:t>
      </w:r>
      <w:r w:rsidR="00D21637" w:rsidRPr="000D4FDD">
        <w:rPr>
          <w:b/>
          <w:color w:val="17365D"/>
          <w:spacing w:val="14"/>
          <w:w w:val="80"/>
          <w:lang w:val="en-US"/>
        </w:rPr>
        <w:t xml:space="preserve"> </w:t>
      </w:r>
    </w:p>
    <w:p w14:paraId="10CC8236" w14:textId="2670661D" w:rsidR="00F64F98" w:rsidRDefault="002C248A" w:rsidP="00F64F98">
      <w:pPr>
        <w:spacing w:after="120"/>
        <w:jc w:val="both"/>
        <w:rPr>
          <w:b/>
          <w:color w:val="17365D"/>
          <w:spacing w:val="14"/>
          <w:w w:val="80"/>
          <w:sz w:val="18"/>
          <w:szCs w:val="18"/>
        </w:rPr>
      </w:pPr>
      <w:r>
        <w:rPr>
          <w:noProof/>
          <w:lang w:eastAsia="it-IT"/>
        </w:rPr>
        <w:drawing>
          <wp:inline distT="0" distB="0" distL="0" distR="0" wp14:anchorId="410A2C85" wp14:editId="1B17E291">
            <wp:extent cx="6122670" cy="2159635"/>
            <wp:effectExtent l="0" t="0" r="11430" b="12065"/>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CA5C08A" w14:textId="77777777" w:rsidR="00D21637" w:rsidRPr="00BA6BE2" w:rsidRDefault="00D21637" w:rsidP="00BA6BE2">
      <w:pPr>
        <w:widowControl/>
        <w:suppressAutoHyphens/>
        <w:autoSpaceDE/>
        <w:spacing w:after="120"/>
        <w:jc w:val="both"/>
        <w:textAlignment w:val="baseline"/>
        <w:rPr>
          <w:rFonts w:ascii="Trebuchet MS" w:eastAsia="Times New Roman" w:hAnsi="Trebuchet MS" w:cs="Arial"/>
          <w:color w:val="595959" w:themeColor="text1" w:themeTint="A6"/>
          <w:sz w:val="20"/>
          <w:szCs w:val="20"/>
          <w:lang w:eastAsia="it-IT"/>
        </w:rPr>
      </w:pPr>
    </w:p>
    <w:p w14:paraId="3B5764B9" w14:textId="6372256C" w:rsidR="00D87C8F" w:rsidRPr="00356FC3" w:rsidRDefault="00D21637" w:rsidP="00BA6BE2">
      <w:pPr>
        <w:widowControl/>
        <w:suppressAutoHyphens/>
        <w:autoSpaceDE/>
        <w:spacing w:after="120"/>
        <w:jc w:val="both"/>
        <w:textAlignment w:val="baseline"/>
        <w:rPr>
          <w:rFonts w:ascii="Arial Narrow" w:hAnsi="Arial Narrow" w:cs="Arial"/>
          <w:iCs/>
          <w:noProof/>
          <w:color w:val="17365D"/>
          <w:lang w:val="en-US"/>
        </w:rPr>
      </w:pPr>
      <w:r w:rsidRPr="00356FC3">
        <w:rPr>
          <w:rFonts w:ascii="Arial Narrow" w:hAnsi="Arial Narrow" w:cs="Arial"/>
          <w:b/>
          <w:iCs/>
          <w:noProof/>
          <w:color w:val="595959" w:themeColor="text1" w:themeTint="A6"/>
          <w:lang w:val="en-US"/>
        </w:rPr>
        <w:t>FIGUR</w:t>
      </w:r>
      <w:r w:rsidR="002160A4" w:rsidRPr="00356FC3">
        <w:rPr>
          <w:rFonts w:ascii="Arial Narrow" w:hAnsi="Arial Narrow" w:cs="Arial"/>
          <w:b/>
          <w:iCs/>
          <w:noProof/>
          <w:color w:val="595959" w:themeColor="text1" w:themeTint="A6"/>
          <w:lang w:val="en-US"/>
        </w:rPr>
        <w:t>E</w:t>
      </w:r>
      <w:r w:rsidRPr="00356FC3">
        <w:rPr>
          <w:rFonts w:ascii="Arial Narrow" w:hAnsi="Arial Narrow" w:cs="Arial"/>
          <w:b/>
          <w:iCs/>
          <w:noProof/>
          <w:color w:val="595959" w:themeColor="text1" w:themeTint="A6"/>
          <w:lang w:val="en-US"/>
        </w:rPr>
        <w:t xml:space="preserve"> 2. </w:t>
      </w:r>
      <w:r w:rsidR="00356FC3" w:rsidRPr="00356FC3">
        <w:rPr>
          <w:rFonts w:ascii="Arial Narrow" w:hAnsi="Arial Narrow" w:cs="Arial"/>
          <w:b/>
          <w:iCs/>
          <w:noProof/>
          <w:color w:val="595959" w:themeColor="text1" w:themeTint="A6"/>
          <w:lang w:val="en-US"/>
        </w:rPr>
        <w:t>AGRICULTURE, FORESTRY AND FISHING WORK UNITS BY PROFESSIONAL POSITION</w:t>
      </w:r>
      <w:r w:rsidRPr="00356FC3">
        <w:rPr>
          <w:rFonts w:ascii="Arial Narrow" w:hAnsi="Arial Narrow" w:cs="Arial"/>
          <w:b/>
          <w:iCs/>
          <w:noProof/>
          <w:color w:val="17365D"/>
          <w:lang w:val="en-US"/>
        </w:rPr>
        <w:t xml:space="preserve">. </w:t>
      </w:r>
      <w:r w:rsidR="00356FC3" w:rsidRPr="00356FC3">
        <w:rPr>
          <w:rFonts w:ascii="Arial Narrow" w:hAnsi="Arial Narrow" w:cs="Arial"/>
          <w:iCs/>
          <w:noProof/>
          <w:color w:val="595959" w:themeColor="text1" w:themeTint="A6"/>
          <w:lang w:val="en-US"/>
        </w:rPr>
        <w:t>Years</w:t>
      </w:r>
      <w:r w:rsidR="00356FC3">
        <w:rPr>
          <w:rFonts w:ascii="Arial Narrow" w:hAnsi="Arial Narrow" w:cs="Arial"/>
          <w:b/>
          <w:iCs/>
          <w:noProof/>
          <w:color w:val="17365D"/>
          <w:lang w:val="en-US"/>
        </w:rPr>
        <w:t xml:space="preserve"> </w:t>
      </w:r>
      <w:r w:rsidR="00356FC3" w:rsidRPr="00356FC3">
        <w:rPr>
          <w:rFonts w:ascii="Arial Narrow" w:hAnsi="Arial Narrow" w:cs="Arial"/>
          <w:iCs/>
          <w:noProof/>
          <w:color w:val="595959" w:themeColor="text1" w:themeTint="A6"/>
          <w:lang w:val="en-US"/>
        </w:rPr>
        <w:t>2000-2021, thousands of units</w:t>
      </w:r>
    </w:p>
    <w:p w14:paraId="38919450" w14:textId="06876F13" w:rsidR="00951B03" w:rsidRDefault="005333B0" w:rsidP="00D0098A">
      <w:pPr>
        <w:widowControl/>
        <w:suppressAutoHyphens/>
        <w:autoSpaceDE/>
        <w:spacing w:after="120"/>
        <w:jc w:val="both"/>
        <w:textAlignment w:val="baseline"/>
        <w:rPr>
          <w:rFonts w:ascii="Trebuchet MS" w:eastAsia="Times New Roman" w:hAnsi="Trebuchet MS" w:cs="Arial"/>
          <w:color w:val="595959" w:themeColor="text1" w:themeTint="A6"/>
          <w:sz w:val="20"/>
          <w:szCs w:val="20"/>
          <w:lang w:eastAsia="it-IT"/>
        </w:rPr>
      </w:pPr>
      <w:r>
        <w:rPr>
          <w:noProof/>
          <w:lang w:eastAsia="it-IT"/>
        </w:rPr>
        <w:drawing>
          <wp:inline distT="0" distB="0" distL="0" distR="0" wp14:anchorId="6FF09D3A" wp14:editId="46A3F19E">
            <wp:extent cx="6122670" cy="2160000"/>
            <wp:effectExtent l="0" t="0" r="11430" b="12065"/>
            <wp:docPr id="30"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3451E9E" w14:textId="77777777" w:rsidR="0033577D" w:rsidRDefault="0033577D" w:rsidP="0033577D">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p>
    <w:p w14:paraId="5515F0B0" w14:textId="79D81FB3" w:rsidR="00F130A3" w:rsidRPr="00D0098A" w:rsidRDefault="005333B0" w:rsidP="0033577D">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5333B0">
        <w:rPr>
          <w:rFonts w:ascii="Trebuchet MS" w:eastAsia="Times New Roman" w:hAnsi="Trebuchet MS" w:cs="Arial"/>
          <w:color w:val="595959" w:themeColor="text1" w:themeTint="A6"/>
          <w:sz w:val="20"/>
          <w:szCs w:val="20"/>
          <w:lang w:val="en-US" w:eastAsia="it-IT"/>
        </w:rPr>
        <w:t>The progressive contraction of labor input over the years was determined by the trend of self-employed people (equal to over 65% of total employees) who, from 2000 to 2021, fell by almost 280,000 units (Figure 2</w:t>
      </w:r>
      <w:r w:rsidR="00D0098A" w:rsidRPr="005333B0">
        <w:rPr>
          <w:rFonts w:ascii="Trebuchet MS" w:eastAsia="Times New Roman" w:hAnsi="Trebuchet MS" w:cs="Arial"/>
          <w:color w:val="595959" w:themeColor="text1" w:themeTint="A6"/>
          <w:sz w:val="20"/>
          <w:szCs w:val="20"/>
          <w:lang w:val="en-US" w:eastAsia="it-IT"/>
        </w:rPr>
        <w:t xml:space="preserve">). </w:t>
      </w:r>
      <w:r w:rsidR="00D0098A" w:rsidRPr="00D0098A">
        <w:rPr>
          <w:rFonts w:ascii="Trebuchet MS" w:eastAsia="Times New Roman" w:hAnsi="Trebuchet MS" w:cs="Arial"/>
          <w:color w:val="595959" w:themeColor="text1" w:themeTint="A6"/>
          <w:sz w:val="20"/>
          <w:szCs w:val="20"/>
          <w:lang w:val="en-US" w:eastAsia="it-IT"/>
        </w:rPr>
        <w:t>The number of employees was more stable, with a fluctuating trend tending upwards over time, and in 2021 there were about 50 thousand more employees than in 2000.</w:t>
      </w:r>
    </w:p>
    <w:p w14:paraId="45BF80A1" w14:textId="51B4C216" w:rsidR="00F130A3" w:rsidRPr="00D0098A" w:rsidRDefault="00D0098A" w:rsidP="0033577D">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D0098A">
        <w:rPr>
          <w:rFonts w:ascii="Trebuchet MS" w:eastAsia="Times New Roman" w:hAnsi="Trebuchet MS" w:cs="Arial"/>
          <w:color w:val="595959" w:themeColor="text1" w:themeTint="A6"/>
          <w:sz w:val="20"/>
          <w:szCs w:val="20"/>
          <w:lang w:val="en-US" w:eastAsia="it-IT"/>
        </w:rPr>
        <w:t>From 2000 to 2021 the total A</w:t>
      </w:r>
      <w:r>
        <w:rPr>
          <w:rFonts w:ascii="Trebuchet MS" w:eastAsia="Times New Roman" w:hAnsi="Trebuchet MS" w:cs="Arial"/>
          <w:color w:val="595959" w:themeColor="text1" w:themeTint="A6"/>
          <w:sz w:val="20"/>
          <w:szCs w:val="20"/>
          <w:lang w:val="en-US" w:eastAsia="it-IT"/>
        </w:rPr>
        <w:t>WU</w:t>
      </w:r>
      <w:r w:rsidRPr="00D0098A">
        <w:rPr>
          <w:rFonts w:ascii="Trebuchet MS" w:eastAsia="Times New Roman" w:hAnsi="Trebuchet MS" w:cs="Arial"/>
          <w:color w:val="595959" w:themeColor="text1" w:themeTint="A6"/>
          <w:sz w:val="20"/>
          <w:szCs w:val="20"/>
          <w:lang w:val="en-US" w:eastAsia="it-IT"/>
        </w:rPr>
        <w:t xml:space="preserve"> of the primary sector represented between 5.1% and 6.3% of the total of the entire economy. In 2020, the incidence of </w:t>
      </w:r>
      <w:r>
        <w:rPr>
          <w:rFonts w:ascii="Trebuchet MS" w:eastAsia="Times New Roman" w:hAnsi="Trebuchet MS" w:cs="Arial"/>
          <w:color w:val="595959" w:themeColor="text1" w:themeTint="A6"/>
          <w:sz w:val="20"/>
          <w:szCs w:val="20"/>
          <w:lang w:val="en-US" w:eastAsia="it-IT"/>
        </w:rPr>
        <w:t>AWU</w:t>
      </w:r>
      <w:r w:rsidRPr="00D0098A">
        <w:rPr>
          <w:rFonts w:ascii="Trebuchet MS" w:eastAsia="Times New Roman" w:hAnsi="Trebuchet MS" w:cs="Arial"/>
          <w:color w:val="595959" w:themeColor="text1" w:themeTint="A6"/>
          <w:sz w:val="20"/>
          <w:szCs w:val="20"/>
          <w:lang w:val="en-US" w:eastAsia="it-IT"/>
        </w:rPr>
        <w:t xml:space="preserve"> in the sector increased compared to previous years, reaching 5.6%, the highest value since 2004.</w:t>
      </w:r>
      <w:r w:rsidR="00F130A3" w:rsidRPr="00D0098A">
        <w:rPr>
          <w:rFonts w:ascii="Trebuchet MS" w:eastAsia="Times New Roman" w:hAnsi="Trebuchet MS" w:cs="Arial"/>
          <w:color w:val="595959" w:themeColor="text1" w:themeTint="A6"/>
          <w:sz w:val="20"/>
          <w:szCs w:val="20"/>
          <w:lang w:val="en-US" w:eastAsia="it-IT"/>
        </w:rPr>
        <w:t xml:space="preserve"> </w:t>
      </w:r>
    </w:p>
    <w:p w14:paraId="46896F63" w14:textId="79B71C59" w:rsidR="009453DC" w:rsidRPr="00D0098A" w:rsidRDefault="00D0098A" w:rsidP="0033577D">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D0098A">
        <w:rPr>
          <w:rFonts w:ascii="Trebuchet MS" w:eastAsia="Times New Roman" w:hAnsi="Trebuchet MS" w:cs="Arial"/>
          <w:color w:val="595959" w:themeColor="text1" w:themeTint="A6"/>
          <w:sz w:val="20"/>
          <w:szCs w:val="20"/>
          <w:lang w:val="en-US" w:eastAsia="it-IT"/>
        </w:rPr>
        <w:t>In the same period, the weight of the value added of the agricultural sector on the total</w:t>
      </w:r>
      <w:r>
        <w:rPr>
          <w:rFonts w:ascii="Trebuchet MS" w:eastAsia="Times New Roman" w:hAnsi="Trebuchet MS" w:cs="Arial"/>
          <w:color w:val="595959" w:themeColor="text1" w:themeTint="A6"/>
          <w:sz w:val="20"/>
          <w:szCs w:val="20"/>
          <w:lang w:val="en-US" w:eastAsia="it-IT"/>
        </w:rPr>
        <w:t xml:space="preserve"> economy</w:t>
      </w:r>
      <w:r w:rsidRPr="00D0098A">
        <w:rPr>
          <w:rFonts w:ascii="Trebuchet MS" w:eastAsia="Times New Roman" w:hAnsi="Trebuchet MS" w:cs="Arial"/>
          <w:color w:val="595959" w:themeColor="text1" w:themeTint="A6"/>
          <w:sz w:val="20"/>
          <w:szCs w:val="20"/>
          <w:lang w:val="en-US" w:eastAsia="it-IT"/>
        </w:rPr>
        <w:t xml:space="preserve"> showed a slow decline, from 2.9% in 2000 to just over 2% between 2007 and 2011, to return to slightly i</w:t>
      </w:r>
      <w:r>
        <w:rPr>
          <w:rFonts w:ascii="Trebuchet MS" w:eastAsia="Times New Roman" w:hAnsi="Trebuchet MS" w:cs="Arial"/>
          <w:color w:val="595959" w:themeColor="text1" w:themeTint="A6"/>
          <w:sz w:val="20"/>
          <w:szCs w:val="20"/>
          <w:lang w:val="en-US" w:eastAsia="it-IT"/>
        </w:rPr>
        <w:t>ncrease in the years 2020-2021</w:t>
      </w:r>
      <w:r w:rsidRPr="00D0098A">
        <w:rPr>
          <w:rFonts w:ascii="Trebuchet MS" w:eastAsia="Times New Roman" w:hAnsi="Trebuchet MS" w:cs="Arial"/>
          <w:color w:val="595959" w:themeColor="text1" w:themeTint="A6"/>
          <w:sz w:val="20"/>
          <w:szCs w:val="20"/>
          <w:lang w:val="en-US" w:eastAsia="it-IT"/>
        </w:rPr>
        <w:t>, amounting to around 2.2%.</w:t>
      </w:r>
      <w:r w:rsidR="00F130A3" w:rsidRPr="00D0098A">
        <w:rPr>
          <w:rFonts w:ascii="Trebuchet MS" w:eastAsia="Times New Roman" w:hAnsi="Trebuchet MS" w:cs="Arial"/>
          <w:color w:val="595959" w:themeColor="text1" w:themeTint="A6"/>
          <w:sz w:val="20"/>
          <w:szCs w:val="20"/>
          <w:lang w:val="en-US" w:eastAsia="it-IT"/>
        </w:rPr>
        <w:t xml:space="preserve"> </w:t>
      </w:r>
    </w:p>
    <w:p w14:paraId="1A93ADC6" w14:textId="010728D7" w:rsidR="00F130A3" w:rsidRPr="009B7333" w:rsidRDefault="00D6556C" w:rsidP="0033577D">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D6556C">
        <w:rPr>
          <w:rFonts w:ascii="Trebuchet MS" w:eastAsia="Times New Roman" w:hAnsi="Trebuchet MS" w:cs="Arial"/>
          <w:color w:val="595959" w:themeColor="text1" w:themeTint="A6"/>
          <w:sz w:val="20"/>
          <w:szCs w:val="20"/>
          <w:lang w:val="en-US" w:eastAsia="it-IT"/>
        </w:rPr>
        <w:t xml:space="preserve">Self-employed workers in the primary sector represent a significant share of </w:t>
      </w:r>
      <w:r>
        <w:rPr>
          <w:rFonts w:ascii="Trebuchet MS" w:eastAsia="Times New Roman" w:hAnsi="Trebuchet MS" w:cs="Arial"/>
          <w:color w:val="595959" w:themeColor="text1" w:themeTint="A6"/>
          <w:sz w:val="20"/>
          <w:szCs w:val="20"/>
          <w:lang w:val="en-US" w:eastAsia="it-IT"/>
        </w:rPr>
        <w:t>s</w:t>
      </w:r>
      <w:r w:rsidRPr="00D6556C">
        <w:rPr>
          <w:rFonts w:ascii="Trebuchet MS" w:eastAsia="Times New Roman" w:hAnsi="Trebuchet MS" w:cs="Arial"/>
          <w:color w:val="595959" w:themeColor="text1" w:themeTint="A6"/>
          <w:sz w:val="20"/>
          <w:szCs w:val="20"/>
          <w:lang w:val="en-US" w:eastAsia="it-IT"/>
        </w:rPr>
        <w:t>elf-employed employment in the entire economy.</w:t>
      </w:r>
      <w:r w:rsidR="00F130A3" w:rsidRPr="00D6556C">
        <w:rPr>
          <w:rFonts w:ascii="Trebuchet MS" w:eastAsia="Times New Roman" w:hAnsi="Trebuchet MS" w:cs="Arial"/>
          <w:color w:val="595959" w:themeColor="text1" w:themeTint="A6"/>
          <w:sz w:val="20"/>
          <w:szCs w:val="20"/>
          <w:lang w:val="en-US" w:eastAsia="it-IT"/>
        </w:rPr>
        <w:t xml:space="preserve"> </w:t>
      </w:r>
      <w:r w:rsidR="009B7333" w:rsidRPr="009B7333">
        <w:rPr>
          <w:rFonts w:ascii="Trebuchet MS" w:eastAsia="Times New Roman" w:hAnsi="Trebuchet MS" w:cs="Arial"/>
          <w:color w:val="595959" w:themeColor="text1" w:themeTint="A6"/>
          <w:sz w:val="20"/>
          <w:szCs w:val="20"/>
          <w:lang w:val="en-US" w:eastAsia="it-IT"/>
        </w:rPr>
        <w:t>In the period 2000-2012 their weight decreased and the incidence on the national total of self-employed fell to 10.9% from 14.5% in 2000 and 2001, to then settle around 11.5% in the period 2013- 2019.</w:t>
      </w:r>
      <w:r w:rsidR="00F130A3" w:rsidRPr="009B7333">
        <w:rPr>
          <w:rFonts w:ascii="Trebuchet MS" w:eastAsia="Times New Roman" w:hAnsi="Trebuchet MS" w:cs="Arial"/>
          <w:color w:val="595959" w:themeColor="text1" w:themeTint="A6"/>
          <w:sz w:val="20"/>
          <w:szCs w:val="20"/>
          <w:lang w:val="en-US" w:eastAsia="it-IT"/>
        </w:rPr>
        <w:t xml:space="preserve"> </w:t>
      </w:r>
      <w:r w:rsidR="009B7333" w:rsidRPr="009B7333">
        <w:rPr>
          <w:rFonts w:ascii="Trebuchet MS" w:eastAsia="Times New Roman" w:hAnsi="Trebuchet MS" w:cs="Arial"/>
          <w:color w:val="595959" w:themeColor="text1" w:themeTint="A6"/>
          <w:sz w:val="20"/>
          <w:szCs w:val="20"/>
          <w:lang w:val="en-US" w:eastAsia="it-IT"/>
        </w:rPr>
        <w:t>In the last two years, the contribution of the primary sector to the overall employment of self-employed persons has returned to growth, accounting for 13.2% in 2020 and 12.4% in 2021.</w:t>
      </w:r>
      <w:r w:rsidR="00F130A3" w:rsidRPr="009B7333">
        <w:rPr>
          <w:rFonts w:ascii="Trebuchet MS" w:eastAsia="Times New Roman" w:hAnsi="Trebuchet MS" w:cs="Arial"/>
          <w:color w:val="595959" w:themeColor="text1" w:themeTint="A6"/>
          <w:sz w:val="20"/>
          <w:szCs w:val="20"/>
          <w:lang w:val="en-US" w:eastAsia="it-IT"/>
        </w:rPr>
        <w:t xml:space="preserve"> </w:t>
      </w:r>
      <w:r w:rsidR="009B7333" w:rsidRPr="009B7333">
        <w:rPr>
          <w:rFonts w:ascii="Trebuchet MS" w:eastAsia="Times New Roman" w:hAnsi="Trebuchet MS" w:cs="Arial"/>
          <w:color w:val="595959" w:themeColor="text1" w:themeTint="A6"/>
          <w:sz w:val="20"/>
          <w:szCs w:val="20"/>
          <w:lang w:val="en-US" w:eastAsia="it-IT"/>
        </w:rPr>
        <w:t>Employees in the primary sector, on the other hand, represented, almost stably, about 2.5% of the total economy for the entire period 2000-2021 (Figure 4).</w:t>
      </w:r>
    </w:p>
    <w:p w14:paraId="6183C7F2" w14:textId="77777777" w:rsidR="00360729" w:rsidRPr="009B7333" w:rsidRDefault="00360729"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p>
    <w:p w14:paraId="51F1EACA" w14:textId="77777777" w:rsidR="00D21637" w:rsidRPr="009B7333" w:rsidRDefault="00D21637" w:rsidP="00D21637">
      <w:pPr>
        <w:jc w:val="both"/>
        <w:rPr>
          <w:rFonts w:ascii="Arial Narrow" w:hAnsi="Arial Narrow" w:cs="Arial"/>
          <w:b/>
          <w:iCs/>
          <w:noProof/>
          <w:color w:val="17365D"/>
          <w:sz w:val="20"/>
          <w:szCs w:val="20"/>
          <w:lang w:val="en-US"/>
        </w:rPr>
      </w:pPr>
    </w:p>
    <w:p w14:paraId="10139438" w14:textId="4FE5774B" w:rsidR="00D21637" w:rsidRPr="002224B3" w:rsidRDefault="00D21637" w:rsidP="005848CE">
      <w:pPr>
        <w:spacing w:after="120"/>
        <w:jc w:val="both"/>
        <w:rPr>
          <w:rFonts w:ascii="Arial Narrow" w:hAnsi="Arial Narrow" w:cs="Arial"/>
          <w:iCs/>
          <w:noProof/>
          <w:color w:val="17365D"/>
          <w:lang w:val="en-US"/>
        </w:rPr>
      </w:pPr>
      <w:r w:rsidRPr="002224B3">
        <w:rPr>
          <w:rFonts w:ascii="Arial Narrow" w:hAnsi="Arial Narrow" w:cs="Arial"/>
          <w:b/>
          <w:iCs/>
          <w:noProof/>
          <w:color w:val="595959" w:themeColor="text1" w:themeTint="A6"/>
          <w:lang w:val="en-US"/>
        </w:rPr>
        <w:lastRenderedPageBreak/>
        <w:t>FIGUR</w:t>
      </w:r>
      <w:r w:rsidR="008C37C2" w:rsidRPr="002224B3">
        <w:rPr>
          <w:rFonts w:ascii="Arial Narrow" w:hAnsi="Arial Narrow" w:cs="Arial"/>
          <w:b/>
          <w:iCs/>
          <w:noProof/>
          <w:color w:val="595959" w:themeColor="text1" w:themeTint="A6"/>
          <w:lang w:val="en-US"/>
        </w:rPr>
        <w:t>E</w:t>
      </w:r>
      <w:r w:rsidRPr="002224B3">
        <w:rPr>
          <w:rFonts w:ascii="Arial Narrow" w:hAnsi="Arial Narrow" w:cs="Arial"/>
          <w:b/>
          <w:iCs/>
          <w:noProof/>
          <w:color w:val="595959" w:themeColor="text1" w:themeTint="A6"/>
          <w:lang w:val="en-US"/>
        </w:rPr>
        <w:t xml:space="preserve"> 3. </w:t>
      </w:r>
      <w:r w:rsidR="002224B3" w:rsidRPr="002224B3">
        <w:rPr>
          <w:rFonts w:ascii="Arial Narrow" w:hAnsi="Arial Narrow" w:cs="Arial"/>
          <w:b/>
          <w:iCs/>
          <w:noProof/>
          <w:color w:val="595959" w:themeColor="text1" w:themeTint="A6"/>
          <w:lang w:val="en-US"/>
        </w:rPr>
        <w:t xml:space="preserve">PERFORMANCE OF WORK UNITS (AWU) </w:t>
      </w:r>
      <w:r w:rsidR="002224B3">
        <w:rPr>
          <w:rFonts w:ascii="Arial Narrow" w:hAnsi="Arial Narrow" w:cs="Arial"/>
          <w:b/>
          <w:iCs/>
          <w:noProof/>
          <w:color w:val="595959" w:themeColor="text1" w:themeTint="A6"/>
          <w:lang w:val="en-US"/>
        </w:rPr>
        <w:t>EMPLOYEES AND SELF-EMPLOYED IN</w:t>
      </w:r>
      <w:r w:rsidR="002224B3" w:rsidRPr="002224B3">
        <w:rPr>
          <w:rFonts w:ascii="Arial Narrow" w:hAnsi="Arial Narrow" w:cs="Arial"/>
          <w:b/>
          <w:iCs/>
          <w:noProof/>
          <w:color w:val="595959" w:themeColor="text1" w:themeTint="A6"/>
          <w:lang w:val="en-US"/>
        </w:rPr>
        <w:t xml:space="preserve"> AGRICULTURE, FORESTRY</w:t>
      </w:r>
      <w:r w:rsidR="002224B3">
        <w:rPr>
          <w:rFonts w:ascii="Arial Narrow" w:hAnsi="Arial Narrow" w:cs="Arial"/>
          <w:b/>
          <w:iCs/>
          <w:noProof/>
          <w:color w:val="595959" w:themeColor="text1" w:themeTint="A6"/>
          <w:lang w:val="en-US"/>
        </w:rPr>
        <w:t xml:space="preserve"> AND FISHERIES</w:t>
      </w:r>
      <w:r w:rsidRPr="002224B3">
        <w:rPr>
          <w:rFonts w:ascii="Arial Narrow" w:hAnsi="Arial Narrow" w:cs="Arial"/>
          <w:b/>
          <w:iCs/>
          <w:noProof/>
          <w:color w:val="17365D"/>
          <w:lang w:val="en-US"/>
        </w:rPr>
        <w:t xml:space="preserve">. </w:t>
      </w:r>
      <w:r w:rsidR="002224B3" w:rsidRPr="002224B3">
        <w:rPr>
          <w:rFonts w:ascii="Arial Narrow" w:hAnsi="Arial Narrow" w:cs="Arial"/>
          <w:iCs/>
          <w:noProof/>
          <w:color w:val="595959" w:themeColor="text1" w:themeTint="A6"/>
          <w:lang w:val="en-US"/>
        </w:rPr>
        <w:t>Years 2000-2021, base index numbers 2000 = 100</w:t>
      </w:r>
    </w:p>
    <w:p w14:paraId="24AD182E" w14:textId="085F656B" w:rsidR="005848CE" w:rsidRDefault="002D12D5" w:rsidP="00D21637">
      <w:pPr>
        <w:jc w:val="both"/>
        <w:rPr>
          <w:rFonts w:ascii="Arial Narrow" w:hAnsi="Arial Narrow" w:cs="Arial"/>
          <w:iCs/>
          <w:noProof/>
          <w:color w:val="17365D"/>
          <w:sz w:val="20"/>
          <w:szCs w:val="20"/>
        </w:rPr>
      </w:pPr>
      <w:r>
        <w:rPr>
          <w:noProof/>
          <w:lang w:eastAsia="it-IT"/>
        </w:rPr>
        <w:drawing>
          <wp:inline distT="0" distB="0" distL="0" distR="0" wp14:anchorId="4EC27D62" wp14:editId="2DECD64D">
            <wp:extent cx="6122670" cy="2160000"/>
            <wp:effectExtent l="0" t="0" r="11430" b="12065"/>
            <wp:docPr id="31" name="Gra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E8C986" w14:textId="2C871C2F" w:rsidR="00D21637" w:rsidRDefault="00D21637" w:rsidP="00D21637">
      <w:pPr>
        <w:jc w:val="both"/>
        <w:rPr>
          <w:rFonts w:ascii="Arial Narrow" w:hAnsi="Arial Narrow" w:cs="Arial"/>
          <w:iCs/>
          <w:noProof/>
          <w:color w:val="17365D"/>
          <w:sz w:val="20"/>
          <w:szCs w:val="20"/>
        </w:rPr>
      </w:pPr>
    </w:p>
    <w:p w14:paraId="4667A2AD" w14:textId="77777777" w:rsidR="009D6727" w:rsidRDefault="009D6727" w:rsidP="005848CE">
      <w:pPr>
        <w:spacing w:after="120"/>
        <w:jc w:val="both"/>
        <w:rPr>
          <w:rFonts w:ascii="Arial Narrow" w:hAnsi="Arial Narrow" w:cs="Arial"/>
          <w:b/>
          <w:iCs/>
          <w:noProof/>
          <w:color w:val="595959" w:themeColor="text1" w:themeTint="A6"/>
          <w:lang w:val="en-US"/>
        </w:rPr>
      </w:pPr>
    </w:p>
    <w:p w14:paraId="5A08D0E7" w14:textId="65108914" w:rsidR="00D21637" w:rsidRPr="002E2083" w:rsidRDefault="002E2083" w:rsidP="005848CE">
      <w:pPr>
        <w:spacing w:after="120"/>
        <w:jc w:val="both"/>
        <w:rPr>
          <w:rFonts w:ascii="Arial Narrow" w:hAnsi="Arial Narrow" w:cs="Arial"/>
          <w:iCs/>
          <w:noProof/>
          <w:color w:val="000000" w:themeColor="text1"/>
          <w:lang w:val="en-US"/>
        </w:rPr>
      </w:pPr>
      <w:r w:rsidRPr="002E2083">
        <w:rPr>
          <w:rFonts w:ascii="Arial Narrow" w:hAnsi="Arial Narrow" w:cs="Arial"/>
          <w:b/>
          <w:iCs/>
          <w:noProof/>
          <w:color w:val="595959" w:themeColor="text1" w:themeTint="A6"/>
          <w:lang w:val="en-US"/>
        </w:rPr>
        <w:t>FIGURE</w:t>
      </w:r>
      <w:r w:rsidR="00D21637" w:rsidRPr="002E2083">
        <w:rPr>
          <w:rFonts w:ascii="Arial Narrow" w:hAnsi="Arial Narrow" w:cs="Arial"/>
          <w:b/>
          <w:iCs/>
          <w:noProof/>
          <w:color w:val="595959" w:themeColor="text1" w:themeTint="A6"/>
          <w:lang w:val="en-US"/>
        </w:rPr>
        <w:t xml:space="preserve"> 4. </w:t>
      </w:r>
      <w:r w:rsidRPr="002E2083">
        <w:rPr>
          <w:rFonts w:ascii="Arial Narrow" w:hAnsi="Arial Narrow" w:cs="Arial"/>
          <w:b/>
          <w:iCs/>
          <w:noProof/>
          <w:color w:val="595959" w:themeColor="text1" w:themeTint="A6"/>
          <w:lang w:val="en-US"/>
        </w:rPr>
        <w:t>IMPACT OF AGRICULTURE, FORESTRY AND FISHERIES WORK UNITS (AWU) ON THE TOTAL ECONOMY BY POSITION IN THE PROFESSION</w:t>
      </w:r>
      <w:r w:rsidR="00D21637" w:rsidRPr="002E2083">
        <w:rPr>
          <w:rFonts w:ascii="Arial Narrow" w:hAnsi="Arial Narrow" w:cs="Arial"/>
          <w:b/>
          <w:iCs/>
          <w:noProof/>
          <w:color w:val="595959" w:themeColor="text1" w:themeTint="A6"/>
          <w:lang w:val="en-US"/>
        </w:rPr>
        <w:t>.</w:t>
      </w:r>
      <w:r w:rsidR="00D21637" w:rsidRPr="002E2083">
        <w:rPr>
          <w:rFonts w:ascii="Arial Narrow" w:hAnsi="Arial Narrow" w:cs="Arial"/>
          <w:b/>
          <w:iCs/>
          <w:noProof/>
          <w:color w:val="17365D"/>
          <w:lang w:val="en-US"/>
        </w:rPr>
        <w:t xml:space="preserve"> </w:t>
      </w:r>
      <w:r>
        <w:rPr>
          <w:rFonts w:ascii="Arial Narrow" w:hAnsi="Arial Narrow" w:cs="Arial"/>
          <w:iCs/>
          <w:noProof/>
          <w:color w:val="595959" w:themeColor="text1" w:themeTint="A6"/>
          <w:lang w:val="en-US"/>
        </w:rPr>
        <w:t>Years 2</w:t>
      </w:r>
      <w:r w:rsidRPr="002E2083">
        <w:rPr>
          <w:rFonts w:ascii="Arial Narrow" w:hAnsi="Arial Narrow" w:cs="Arial"/>
          <w:iCs/>
          <w:noProof/>
          <w:color w:val="595959" w:themeColor="text1" w:themeTint="A6"/>
          <w:lang w:val="en-US"/>
        </w:rPr>
        <w:t>000-2021, percentage values</w:t>
      </w:r>
    </w:p>
    <w:p w14:paraId="5651024D" w14:textId="63EEBD1F" w:rsidR="00D21637" w:rsidRPr="00FF69E6" w:rsidRDefault="002E2083" w:rsidP="00D21637">
      <w:pPr>
        <w:jc w:val="both"/>
        <w:rPr>
          <w:rFonts w:ascii="Arial Narrow" w:hAnsi="Arial Narrow" w:cs="Arial"/>
          <w:iCs/>
          <w:noProof/>
          <w:color w:val="17365D"/>
        </w:rPr>
      </w:pPr>
      <w:r>
        <w:rPr>
          <w:noProof/>
          <w:lang w:eastAsia="it-IT"/>
        </w:rPr>
        <w:drawing>
          <wp:inline distT="0" distB="0" distL="0" distR="0" wp14:anchorId="58DA40E7" wp14:editId="3C753A3A">
            <wp:extent cx="6122670" cy="2160000"/>
            <wp:effectExtent l="0" t="0" r="11430" b="12065"/>
            <wp:docPr id="38" name="Gra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51B0E9" w14:textId="77777777" w:rsidR="00D87C8F" w:rsidRPr="00BA6BE2" w:rsidRDefault="00D87C8F" w:rsidP="00BA6BE2">
      <w:pPr>
        <w:widowControl/>
        <w:suppressAutoHyphens/>
        <w:autoSpaceDE/>
        <w:spacing w:after="120"/>
        <w:jc w:val="both"/>
        <w:textAlignment w:val="baseline"/>
        <w:rPr>
          <w:rFonts w:ascii="Trebuchet MS" w:eastAsia="Times New Roman" w:hAnsi="Trebuchet MS" w:cs="Arial"/>
          <w:color w:val="595959" w:themeColor="text1" w:themeTint="A6"/>
          <w:sz w:val="20"/>
          <w:szCs w:val="20"/>
          <w:lang w:eastAsia="it-IT"/>
        </w:rPr>
      </w:pPr>
    </w:p>
    <w:p w14:paraId="4F039956" w14:textId="24C59105" w:rsidR="00F130A3" w:rsidRPr="004A43EF" w:rsidRDefault="004A43EF" w:rsidP="00E20DEB">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4A43EF">
        <w:rPr>
          <w:rFonts w:ascii="Trebuchet MS" w:eastAsia="Times New Roman" w:hAnsi="Trebuchet MS" w:cs="Arial"/>
          <w:color w:val="595959" w:themeColor="text1" w:themeTint="A6"/>
          <w:sz w:val="20"/>
          <w:szCs w:val="20"/>
          <w:lang w:val="en-US" w:eastAsia="it-IT"/>
        </w:rPr>
        <w:t>Another relevant aspect of employment in the agriculture, forestry and fishing sector is the irregularity rate of the labor input used.</w:t>
      </w:r>
      <w:r w:rsidR="00F130A3" w:rsidRPr="004A43EF">
        <w:rPr>
          <w:rFonts w:ascii="Trebuchet MS" w:eastAsia="Times New Roman" w:hAnsi="Trebuchet MS" w:cs="Arial"/>
          <w:color w:val="595959" w:themeColor="text1" w:themeTint="A6"/>
          <w:sz w:val="20"/>
          <w:szCs w:val="20"/>
          <w:lang w:val="en-US" w:eastAsia="it-IT"/>
        </w:rPr>
        <w:t xml:space="preserve"> </w:t>
      </w:r>
      <w:r w:rsidRPr="004A43EF">
        <w:rPr>
          <w:rFonts w:ascii="Trebuchet MS" w:eastAsia="Times New Roman" w:hAnsi="Trebuchet MS" w:cs="Arial"/>
          <w:color w:val="595959" w:themeColor="text1" w:themeTint="A6"/>
          <w:sz w:val="20"/>
          <w:szCs w:val="20"/>
          <w:lang w:val="en-US" w:eastAsia="it-IT"/>
        </w:rPr>
        <w:t xml:space="preserve">The trend of illegal immigrants recorded, like the total economy, a sharp decline in 2003 </w:t>
      </w:r>
      <w:proofErr w:type="gramStart"/>
      <w:r w:rsidRPr="004A43EF">
        <w:rPr>
          <w:rFonts w:ascii="Trebuchet MS" w:eastAsia="Times New Roman" w:hAnsi="Trebuchet MS" w:cs="Arial"/>
          <w:color w:val="595959" w:themeColor="text1" w:themeTint="A6"/>
          <w:sz w:val="20"/>
          <w:szCs w:val="20"/>
          <w:lang w:val="en-US" w:eastAsia="it-IT"/>
        </w:rPr>
        <w:t>due to the effect</w:t>
      </w:r>
      <w:proofErr w:type="gramEnd"/>
      <w:r w:rsidRPr="004A43EF">
        <w:rPr>
          <w:rFonts w:ascii="Trebuchet MS" w:eastAsia="Times New Roman" w:hAnsi="Trebuchet MS" w:cs="Arial"/>
          <w:color w:val="595959" w:themeColor="text1" w:themeTint="A6"/>
          <w:sz w:val="20"/>
          <w:szCs w:val="20"/>
          <w:lang w:val="en-US" w:eastAsia="it-IT"/>
        </w:rPr>
        <w:t xml:space="preserve"> of law 189 of 30 July 2002 (also known as the "</w:t>
      </w:r>
      <w:proofErr w:type="spellStart"/>
      <w:r w:rsidRPr="004A43EF">
        <w:rPr>
          <w:rFonts w:ascii="Trebuchet MS" w:eastAsia="Times New Roman" w:hAnsi="Trebuchet MS" w:cs="Arial"/>
          <w:color w:val="595959" w:themeColor="text1" w:themeTint="A6"/>
          <w:sz w:val="20"/>
          <w:szCs w:val="20"/>
          <w:lang w:val="en-US" w:eastAsia="it-IT"/>
        </w:rPr>
        <w:t>Bossi-Fini</w:t>
      </w:r>
      <w:proofErr w:type="spellEnd"/>
      <w:r w:rsidRPr="004A43EF">
        <w:rPr>
          <w:rFonts w:ascii="Trebuchet MS" w:eastAsia="Times New Roman" w:hAnsi="Trebuchet MS" w:cs="Arial"/>
          <w:color w:val="595959" w:themeColor="text1" w:themeTint="A6"/>
          <w:sz w:val="20"/>
          <w:szCs w:val="20"/>
          <w:lang w:val="en-US" w:eastAsia="it-IT"/>
        </w:rPr>
        <w:t>" law) which, in terms of immigration, marked the beginning of the work regularization phase.</w:t>
      </w:r>
      <w:r w:rsidR="00F130A3" w:rsidRPr="004A43EF">
        <w:rPr>
          <w:rFonts w:ascii="Trebuchet MS" w:eastAsia="Times New Roman" w:hAnsi="Trebuchet MS" w:cs="Arial"/>
          <w:color w:val="595959" w:themeColor="text1" w:themeTint="A6"/>
          <w:sz w:val="20"/>
          <w:szCs w:val="20"/>
          <w:lang w:val="en-US" w:eastAsia="it-IT"/>
        </w:rPr>
        <w:t xml:space="preserve"> </w:t>
      </w:r>
    </w:p>
    <w:p w14:paraId="581E4F62" w14:textId="65168AB0" w:rsidR="00F130A3" w:rsidRPr="004A43EF" w:rsidRDefault="004A43EF" w:rsidP="00E20DEB">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4A43EF">
        <w:rPr>
          <w:rFonts w:ascii="Trebuchet MS" w:eastAsia="Times New Roman" w:hAnsi="Trebuchet MS" w:cs="Arial"/>
          <w:color w:val="595959" w:themeColor="text1" w:themeTint="A6"/>
          <w:sz w:val="20"/>
          <w:szCs w:val="20"/>
          <w:lang w:val="en-US" w:eastAsia="it-IT"/>
        </w:rPr>
        <w:t>After 2003, irregular employment in the primary sector recovered an upward trend until 2008, recording a growth rate higher than that of the total economy.</w:t>
      </w:r>
      <w:r w:rsidR="00F130A3" w:rsidRPr="004A43EF">
        <w:rPr>
          <w:rFonts w:ascii="Trebuchet MS" w:eastAsia="Times New Roman" w:hAnsi="Trebuchet MS" w:cs="Arial"/>
          <w:color w:val="595959" w:themeColor="text1" w:themeTint="A6"/>
          <w:sz w:val="20"/>
          <w:szCs w:val="20"/>
          <w:lang w:val="en-US" w:eastAsia="it-IT"/>
        </w:rPr>
        <w:t xml:space="preserve"> </w:t>
      </w:r>
      <w:r w:rsidRPr="004A43EF">
        <w:rPr>
          <w:rFonts w:ascii="Trebuchet MS" w:eastAsia="Times New Roman" w:hAnsi="Trebuchet MS" w:cs="Arial"/>
          <w:color w:val="595959" w:themeColor="text1" w:themeTint="A6"/>
          <w:sz w:val="20"/>
          <w:szCs w:val="20"/>
          <w:lang w:val="en-US" w:eastAsia="it-IT"/>
        </w:rPr>
        <w:t>After substantial stability in the 2009-2013 period, irregular workers in the agricultural sector resumed growth until 2018.</w:t>
      </w:r>
      <w:r w:rsidR="00F130A3" w:rsidRPr="004A43EF">
        <w:rPr>
          <w:rFonts w:ascii="Trebuchet MS" w:eastAsia="Times New Roman" w:hAnsi="Trebuchet MS" w:cs="Arial"/>
          <w:color w:val="595959" w:themeColor="text1" w:themeTint="A6"/>
          <w:sz w:val="20"/>
          <w:szCs w:val="20"/>
          <w:lang w:val="en-US" w:eastAsia="it-IT"/>
        </w:rPr>
        <w:t xml:space="preserve"> </w:t>
      </w:r>
      <w:r w:rsidRPr="004A43EF">
        <w:rPr>
          <w:rFonts w:ascii="Trebuchet MS" w:eastAsia="Times New Roman" w:hAnsi="Trebuchet MS" w:cs="Arial"/>
          <w:color w:val="595959" w:themeColor="text1" w:themeTint="A6"/>
          <w:sz w:val="20"/>
          <w:szCs w:val="20"/>
          <w:lang w:val="en-US" w:eastAsia="it-IT"/>
        </w:rPr>
        <w:t xml:space="preserve">In the last available year, 2019, the irregular </w:t>
      </w:r>
      <w:r>
        <w:rPr>
          <w:rFonts w:ascii="Trebuchet MS" w:eastAsia="Times New Roman" w:hAnsi="Trebuchet MS" w:cs="Arial"/>
          <w:color w:val="595959" w:themeColor="text1" w:themeTint="A6"/>
          <w:sz w:val="20"/>
          <w:szCs w:val="20"/>
          <w:lang w:val="en-US" w:eastAsia="it-IT"/>
        </w:rPr>
        <w:t>AWU</w:t>
      </w:r>
      <w:r w:rsidRPr="004A43EF">
        <w:rPr>
          <w:rFonts w:ascii="Trebuchet MS" w:eastAsia="Times New Roman" w:hAnsi="Trebuchet MS" w:cs="Arial"/>
          <w:color w:val="595959" w:themeColor="text1" w:themeTint="A6"/>
          <w:sz w:val="20"/>
          <w:szCs w:val="20"/>
          <w:lang w:val="en-US" w:eastAsia="it-IT"/>
        </w:rPr>
        <w:t xml:space="preserve"> have decreased overall, although for the total economy the turnaround has already occurred the previous year.</w:t>
      </w:r>
    </w:p>
    <w:p w14:paraId="1DD845F5" w14:textId="45770558" w:rsidR="00F130A3" w:rsidRPr="00B304AE" w:rsidRDefault="00B304AE" w:rsidP="00E20DEB">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B304AE">
        <w:rPr>
          <w:rFonts w:ascii="Trebuchet MS" w:eastAsia="Times New Roman" w:hAnsi="Trebuchet MS" w:cs="Arial"/>
          <w:color w:val="595959" w:themeColor="text1" w:themeTint="A6"/>
          <w:sz w:val="20"/>
          <w:szCs w:val="20"/>
          <w:lang w:val="en-US" w:eastAsia="it-IT"/>
        </w:rPr>
        <w:t>Considering the rates of irregularity, the agricultural sector presents a very different situation between employees and self-employed.</w:t>
      </w:r>
      <w:r w:rsidR="00F130A3" w:rsidRPr="00B304AE">
        <w:rPr>
          <w:rFonts w:ascii="Trebuchet MS" w:eastAsia="Times New Roman" w:hAnsi="Trebuchet MS" w:cs="Arial"/>
          <w:color w:val="595959" w:themeColor="text1" w:themeTint="A6"/>
          <w:sz w:val="20"/>
          <w:szCs w:val="20"/>
          <w:lang w:val="en-US" w:eastAsia="it-IT"/>
        </w:rPr>
        <w:t xml:space="preserve"> </w:t>
      </w:r>
      <w:r w:rsidRPr="00B304AE">
        <w:rPr>
          <w:rFonts w:ascii="Trebuchet MS" w:eastAsia="Times New Roman" w:hAnsi="Trebuchet MS" w:cs="Arial"/>
          <w:color w:val="595959" w:themeColor="text1" w:themeTint="A6"/>
          <w:sz w:val="20"/>
          <w:szCs w:val="20"/>
          <w:lang w:val="en-US" w:eastAsia="it-IT"/>
        </w:rPr>
        <w:t>For employees, the average irregularity rate for the 2000-2019 period was 35.6%, more than double that of the total economy (15.3%).</w:t>
      </w:r>
      <w:r w:rsidR="00F130A3" w:rsidRPr="00B304AE">
        <w:rPr>
          <w:rFonts w:ascii="Trebuchet MS" w:eastAsia="Times New Roman" w:hAnsi="Trebuchet MS" w:cs="Arial"/>
          <w:color w:val="595959" w:themeColor="text1" w:themeTint="A6"/>
          <w:sz w:val="20"/>
          <w:szCs w:val="20"/>
          <w:lang w:val="en-US" w:eastAsia="it-IT"/>
        </w:rPr>
        <w:t xml:space="preserve"> </w:t>
      </w:r>
      <w:r w:rsidRPr="00B304AE">
        <w:rPr>
          <w:rFonts w:ascii="Trebuchet MS" w:eastAsia="Times New Roman" w:hAnsi="Trebuchet MS" w:cs="Arial"/>
          <w:color w:val="595959" w:themeColor="text1" w:themeTint="A6"/>
          <w:sz w:val="20"/>
          <w:szCs w:val="20"/>
          <w:lang w:val="en-US" w:eastAsia="it-IT"/>
        </w:rPr>
        <w:t>A specular situation was recorded for the self-employed: the average rate of irregularity for the agricultural sector is 7.6%, about half of that resulting for the total economy (14.4%).</w:t>
      </w:r>
      <w:r w:rsidR="00F130A3" w:rsidRPr="00B304AE">
        <w:rPr>
          <w:rFonts w:ascii="Trebuchet MS" w:eastAsia="Times New Roman" w:hAnsi="Trebuchet MS" w:cs="Arial"/>
          <w:color w:val="595959" w:themeColor="text1" w:themeTint="A6"/>
          <w:sz w:val="20"/>
          <w:szCs w:val="20"/>
          <w:lang w:val="en-US" w:eastAsia="it-IT"/>
        </w:rPr>
        <w:t xml:space="preserve"> </w:t>
      </w:r>
    </w:p>
    <w:p w14:paraId="0D009C4D" w14:textId="11B3AB52" w:rsidR="00F130A3" w:rsidRPr="00B304AE" w:rsidRDefault="00B304AE" w:rsidP="00E20DEB">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B304AE">
        <w:rPr>
          <w:rFonts w:ascii="Trebuchet MS" w:eastAsia="Times New Roman" w:hAnsi="Trebuchet MS" w:cs="Arial"/>
          <w:color w:val="595959" w:themeColor="text1" w:themeTint="A6"/>
          <w:sz w:val="20"/>
          <w:szCs w:val="20"/>
          <w:lang w:val="en-US" w:eastAsia="it-IT"/>
        </w:rPr>
        <w:t>The regularization of 2003 had a significant impact only on the irregularity rate of employees (down to 28.8% from 34.5% in 2002) while that of the self-employed remained unchanged (6.7%).</w:t>
      </w:r>
      <w:r w:rsidR="00F130A3" w:rsidRPr="00B304AE">
        <w:rPr>
          <w:rFonts w:ascii="Trebuchet MS" w:eastAsia="Times New Roman" w:hAnsi="Trebuchet MS" w:cs="Arial"/>
          <w:color w:val="595959" w:themeColor="text1" w:themeTint="A6"/>
          <w:sz w:val="20"/>
          <w:szCs w:val="20"/>
          <w:lang w:val="en-US" w:eastAsia="it-IT"/>
        </w:rPr>
        <w:t xml:space="preserve"> </w:t>
      </w:r>
    </w:p>
    <w:p w14:paraId="6B78F6B5" w14:textId="1E4C8776" w:rsidR="00F130A3" w:rsidRPr="00210491" w:rsidRDefault="00210491" w:rsidP="00E20DEB">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210491">
        <w:rPr>
          <w:rFonts w:ascii="Trebuchet MS" w:eastAsia="Times New Roman" w:hAnsi="Trebuchet MS" w:cs="Arial"/>
          <w:color w:val="595959" w:themeColor="text1" w:themeTint="A6"/>
          <w:sz w:val="20"/>
          <w:szCs w:val="20"/>
          <w:lang w:val="en-US" w:eastAsia="it-IT"/>
        </w:rPr>
        <w:t>After 2003, the rates of irregularity increased continuously until 2019.</w:t>
      </w:r>
      <w:r w:rsidR="00F130A3" w:rsidRPr="00210491">
        <w:rPr>
          <w:rFonts w:ascii="Trebuchet MS" w:eastAsia="Times New Roman" w:hAnsi="Trebuchet MS" w:cs="Arial"/>
          <w:color w:val="595959" w:themeColor="text1" w:themeTint="A6"/>
          <w:sz w:val="20"/>
          <w:szCs w:val="20"/>
          <w:lang w:val="en-US" w:eastAsia="it-IT"/>
        </w:rPr>
        <w:t xml:space="preserve"> </w:t>
      </w:r>
      <w:r w:rsidRPr="00210491">
        <w:rPr>
          <w:rFonts w:ascii="Trebuchet MS" w:eastAsia="Times New Roman" w:hAnsi="Trebuchet MS" w:cs="Arial"/>
          <w:color w:val="595959" w:themeColor="text1" w:themeTint="A6"/>
          <w:sz w:val="20"/>
          <w:szCs w:val="20"/>
          <w:lang w:val="en-US" w:eastAsia="it-IT"/>
        </w:rPr>
        <w:t>For the total AWUs of agriculture, forestry and fishing, the irregularity rate, which stood at 13.9% in 2000, reached 18.8% in 2019.</w:t>
      </w:r>
      <w:r w:rsidR="00F130A3" w:rsidRPr="00210491">
        <w:rPr>
          <w:rFonts w:ascii="Trebuchet MS" w:eastAsia="Times New Roman" w:hAnsi="Trebuchet MS" w:cs="Arial"/>
          <w:color w:val="595959" w:themeColor="text1" w:themeTint="A6"/>
          <w:sz w:val="20"/>
          <w:szCs w:val="20"/>
          <w:lang w:val="en-US" w:eastAsia="it-IT"/>
        </w:rPr>
        <w:t xml:space="preserve"> </w:t>
      </w:r>
      <w:r w:rsidRPr="00210491">
        <w:rPr>
          <w:rFonts w:ascii="Trebuchet MS" w:eastAsia="Times New Roman" w:hAnsi="Trebuchet MS" w:cs="Arial"/>
          <w:color w:val="595959" w:themeColor="text1" w:themeTint="A6"/>
          <w:sz w:val="20"/>
          <w:szCs w:val="20"/>
          <w:lang w:val="en-US" w:eastAsia="it-IT"/>
        </w:rPr>
        <w:t xml:space="preserve">It remained lower than that of the national economy </w:t>
      </w:r>
      <w:proofErr w:type="gramStart"/>
      <w:r w:rsidRPr="00210491">
        <w:rPr>
          <w:rFonts w:ascii="Trebuchet MS" w:eastAsia="Times New Roman" w:hAnsi="Trebuchet MS" w:cs="Arial"/>
          <w:color w:val="595959" w:themeColor="text1" w:themeTint="A6"/>
          <w:sz w:val="20"/>
          <w:szCs w:val="20"/>
          <w:lang w:val="en-US" w:eastAsia="it-IT"/>
        </w:rPr>
        <w:t>as a whole until</w:t>
      </w:r>
      <w:proofErr w:type="gramEnd"/>
      <w:r w:rsidRPr="00210491">
        <w:rPr>
          <w:rFonts w:ascii="Trebuchet MS" w:eastAsia="Times New Roman" w:hAnsi="Trebuchet MS" w:cs="Arial"/>
          <w:color w:val="595959" w:themeColor="text1" w:themeTint="A6"/>
          <w:sz w:val="20"/>
          <w:szCs w:val="20"/>
          <w:lang w:val="en-US" w:eastAsia="it-IT"/>
        </w:rPr>
        <w:t xml:space="preserve"> 2004, indeed undergoing a more incisive downsizing of the total following the measures in favor of the emergence in 2003.</w:t>
      </w:r>
    </w:p>
    <w:p w14:paraId="1A9D7B90" w14:textId="45E77CE0" w:rsidR="00F130A3" w:rsidRDefault="00210491" w:rsidP="00E20DEB">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210491">
        <w:rPr>
          <w:rFonts w:ascii="Trebuchet MS" w:eastAsia="Times New Roman" w:hAnsi="Trebuchet MS" w:cs="Arial"/>
          <w:color w:val="595959" w:themeColor="text1" w:themeTint="A6"/>
          <w:sz w:val="20"/>
          <w:szCs w:val="20"/>
          <w:lang w:val="en-US" w:eastAsia="it-IT"/>
        </w:rPr>
        <w:lastRenderedPageBreak/>
        <w:t>Since 2005, however, the rate of irregularities in the agriculture, forestry and fishing sectors has overtaken that of the national economy, showing a trend of constant growth.</w:t>
      </w:r>
      <w:r w:rsidR="00F130A3" w:rsidRPr="00210491">
        <w:rPr>
          <w:rFonts w:ascii="Trebuchet MS" w:eastAsia="Times New Roman" w:hAnsi="Trebuchet MS" w:cs="Arial"/>
          <w:color w:val="595959" w:themeColor="text1" w:themeTint="A6"/>
          <w:sz w:val="20"/>
          <w:szCs w:val="20"/>
          <w:lang w:val="en-US" w:eastAsia="it-IT"/>
        </w:rPr>
        <w:t xml:space="preserve"> </w:t>
      </w:r>
      <w:r w:rsidRPr="00210491">
        <w:rPr>
          <w:rFonts w:ascii="Trebuchet MS" w:eastAsia="Times New Roman" w:hAnsi="Trebuchet MS" w:cs="Arial"/>
          <w:color w:val="595959" w:themeColor="text1" w:themeTint="A6"/>
          <w:sz w:val="20"/>
          <w:szCs w:val="20"/>
          <w:lang w:val="en-US" w:eastAsia="it-IT"/>
        </w:rPr>
        <w:t>The gap between the two indicators has gradually widened since 2015 to reach a differential of almost 4 percentage points in 2019 (Figure 5).</w:t>
      </w:r>
    </w:p>
    <w:p w14:paraId="5CAE6E5F" w14:textId="77777777" w:rsidR="00E20DEB" w:rsidRPr="00210491" w:rsidRDefault="00E20DEB" w:rsidP="00E20DEB">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p>
    <w:p w14:paraId="6205A6C6" w14:textId="20B85231" w:rsidR="00D21637" w:rsidRPr="008B52BB" w:rsidRDefault="00433C5E" w:rsidP="00C63E47">
      <w:pPr>
        <w:spacing w:after="120"/>
        <w:jc w:val="both"/>
        <w:rPr>
          <w:rFonts w:ascii="Arial Narrow" w:hAnsi="Arial Narrow" w:cs="Arial"/>
          <w:iCs/>
          <w:noProof/>
          <w:color w:val="1F497D" w:themeColor="text2"/>
          <w:lang w:val="en-US"/>
        </w:rPr>
      </w:pPr>
      <w:r w:rsidRPr="008B52BB">
        <w:rPr>
          <w:rFonts w:ascii="Arial Narrow" w:hAnsi="Arial Narrow" w:cs="Arial"/>
          <w:b/>
          <w:iCs/>
          <w:noProof/>
          <w:color w:val="595959" w:themeColor="text1" w:themeTint="A6"/>
          <w:lang w:val="en-US"/>
        </w:rPr>
        <w:t>FIGURE</w:t>
      </w:r>
      <w:r w:rsidR="00D21637" w:rsidRPr="008B52BB">
        <w:rPr>
          <w:rFonts w:ascii="Arial Narrow" w:hAnsi="Arial Narrow" w:cs="Arial"/>
          <w:b/>
          <w:iCs/>
          <w:noProof/>
          <w:color w:val="595959" w:themeColor="text1" w:themeTint="A6"/>
          <w:lang w:val="en-US"/>
        </w:rPr>
        <w:t xml:space="preserve"> 5. </w:t>
      </w:r>
      <w:r w:rsidR="008B52BB" w:rsidRPr="008B52BB">
        <w:rPr>
          <w:rFonts w:ascii="Arial Narrow" w:hAnsi="Arial Narrow" w:cs="Arial"/>
          <w:b/>
          <w:iCs/>
          <w:noProof/>
          <w:color w:val="595959" w:themeColor="text1" w:themeTint="A6"/>
          <w:lang w:val="en-US"/>
        </w:rPr>
        <w:t>RATE OF IRREGULARITY OF THE LABOR INPUT OF AGRICULTURE, FORESTRY AND FISHING AND OF THE TOTAL ECONOMY</w:t>
      </w:r>
      <w:r w:rsidR="00D21637" w:rsidRPr="008B52BB">
        <w:rPr>
          <w:rFonts w:ascii="Arial Narrow" w:hAnsi="Arial Narrow" w:cs="Arial"/>
          <w:b/>
          <w:iCs/>
          <w:noProof/>
          <w:color w:val="595959" w:themeColor="text1" w:themeTint="A6"/>
          <w:lang w:val="en-US"/>
        </w:rPr>
        <w:t>.</w:t>
      </w:r>
      <w:r w:rsidR="00D21637" w:rsidRPr="008B52BB">
        <w:rPr>
          <w:rFonts w:ascii="Arial Narrow" w:hAnsi="Arial Narrow" w:cs="Arial"/>
          <w:b/>
          <w:iCs/>
          <w:noProof/>
          <w:color w:val="1F497D" w:themeColor="text2"/>
          <w:lang w:val="en-US"/>
        </w:rPr>
        <w:t xml:space="preserve"> </w:t>
      </w:r>
      <w:r w:rsidR="008B52BB">
        <w:rPr>
          <w:rFonts w:ascii="Arial Narrow" w:hAnsi="Arial Narrow" w:cs="Arial"/>
          <w:iCs/>
          <w:noProof/>
          <w:color w:val="595959" w:themeColor="text1" w:themeTint="A6"/>
          <w:lang w:val="en-US"/>
        </w:rPr>
        <w:t>Years 2</w:t>
      </w:r>
      <w:r w:rsidR="008B52BB" w:rsidRPr="008B52BB">
        <w:rPr>
          <w:rFonts w:ascii="Arial Narrow" w:hAnsi="Arial Narrow" w:cs="Arial"/>
          <w:iCs/>
          <w:noProof/>
          <w:color w:val="595959" w:themeColor="text1" w:themeTint="A6"/>
          <w:lang w:val="en-US"/>
        </w:rPr>
        <w:t>000-2019, percentage values</w:t>
      </w:r>
    </w:p>
    <w:p w14:paraId="15D419A7" w14:textId="705B9BA1" w:rsidR="00C63E47" w:rsidRDefault="008B52BB" w:rsidP="00D21637">
      <w:pPr>
        <w:jc w:val="both"/>
        <w:rPr>
          <w:rFonts w:ascii="Arial Narrow" w:hAnsi="Arial Narrow" w:cs="Arial"/>
          <w:b/>
          <w:iCs/>
          <w:noProof/>
          <w:color w:val="1F497D" w:themeColor="text2"/>
          <w:sz w:val="20"/>
          <w:szCs w:val="20"/>
        </w:rPr>
      </w:pPr>
      <w:r>
        <w:rPr>
          <w:noProof/>
          <w:lang w:eastAsia="it-IT"/>
        </w:rPr>
        <w:drawing>
          <wp:inline distT="0" distB="0" distL="0" distR="0" wp14:anchorId="056E5A57" wp14:editId="10D89B98">
            <wp:extent cx="6122670" cy="2160000"/>
            <wp:effectExtent l="0" t="0" r="11430" b="12065"/>
            <wp:docPr id="39" name="Gra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E6B346" w14:textId="77777777" w:rsidR="00D21637" w:rsidRPr="00F75E5D" w:rsidRDefault="00D21637" w:rsidP="00D21637">
      <w:pPr>
        <w:jc w:val="both"/>
        <w:rPr>
          <w:rFonts w:ascii="Arial Narrow" w:hAnsi="Arial Narrow" w:cs="Arial"/>
          <w:b/>
          <w:iCs/>
          <w:noProof/>
          <w:color w:val="1F497D" w:themeColor="text2"/>
          <w:sz w:val="6"/>
          <w:szCs w:val="20"/>
        </w:rPr>
      </w:pPr>
    </w:p>
    <w:p w14:paraId="3467AA80" w14:textId="77777777" w:rsidR="005C27D6" w:rsidRDefault="005C27D6" w:rsidP="00D21637">
      <w:pPr>
        <w:jc w:val="both"/>
        <w:rPr>
          <w:rFonts w:ascii="Arial Narrow" w:hAnsi="Arial Narrow" w:cs="Arial"/>
          <w:b/>
          <w:iCs/>
          <w:noProof/>
          <w:color w:val="1F497D" w:themeColor="text2"/>
          <w:sz w:val="20"/>
          <w:szCs w:val="20"/>
        </w:rPr>
      </w:pPr>
    </w:p>
    <w:p w14:paraId="2EA5B44C" w14:textId="77777777" w:rsidR="00E20DEB" w:rsidRDefault="00E20DEB" w:rsidP="00F130A3">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p>
    <w:p w14:paraId="6E1AFFB3" w14:textId="26029709" w:rsidR="00F130A3" w:rsidRDefault="00C74E44" w:rsidP="00F130A3">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C74E44">
        <w:rPr>
          <w:rFonts w:ascii="Trebuchet MS" w:eastAsia="Times New Roman" w:hAnsi="Trebuchet MS" w:cs="Arial"/>
          <w:color w:val="595959" w:themeColor="text1" w:themeTint="A6"/>
          <w:sz w:val="20"/>
          <w:szCs w:val="20"/>
          <w:lang w:val="en-US" w:eastAsia="it-IT"/>
        </w:rPr>
        <w:t>Compensation from employment in the primary sector have shown a growing trend since the early 2000s (Figure 6).</w:t>
      </w:r>
      <w:r w:rsidR="00F130A3" w:rsidRPr="00C74E44">
        <w:rPr>
          <w:rFonts w:ascii="Trebuchet MS" w:eastAsia="Times New Roman" w:hAnsi="Trebuchet MS" w:cs="Arial"/>
          <w:color w:val="595959" w:themeColor="text1" w:themeTint="A6"/>
          <w:sz w:val="20"/>
          <w:szCs w:val="20"/>
          <w:lang w:val="en-US" w:eastAsia="it-IT"/>
        </w:rPr>
        <w:t xml:space="preserve"> </w:t>
      </w:r>
      <w:r w:rsidRPr="00C74E44">
        <w:rPr>
          <w:rFonts w:ascii="Trebuchet MS" w:eastAsia="Times New Roman" w:hAnsi="Trebuchet MS" w:cs="Arial"/>
          <w:color w:val="595959" w:themeColor="text1" w:themeTint="A6"/>
          <w:sz w:val="20"/>
          <w:szCs w:val="20"/>
          <w:lang w:val="en-US" w:eastAsia="it-IT"/>
        </w:rPr>
        <w:t>In fact, the relative stability of the employed work units was accompanied by an upward trend in the average income per employee.</w:t>
      </w:r>
      <w:r w:rsidR="00F130A3" w:rsidRPr="00C74E44">
        <w:rPr>
          <w:rFonts w:ascii="Trebuchet MS" w:eastAsia="Times New Roman" w:hAnsi="Trebuchet MS" w:cs="Arial"/>
          <w:color w:val="595959" w:themeColor="text1" w:themeTint="A6"/>
          <w:sz w:val="20"/>
          <w:szCs w:val="20"/>
          <w:lang w:val="en-US" w:eastAsia="it-IT"/>
        </w:rPr>
        <w:t xml:space="preserve"> </w:t>
      </w:r>
    </w:p>
    <w:p w14:paraId="4C68FC6D" w14:textId="77777777" w:rsidR="00E20DEB" w:rsidRPr="00C74E44" w:rsidRDefault="00E20DEB" w:rsidP="00F130A3">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p>
    <w:p w14:paraId="009D427C" w14:textId="77777777" w:rsidR="00F36834" w:rsidRPr="00C74E44" w:rsidRDefault="00F36834" w:rsidP="007E7693">
      <w:pPr>
        <w:spacing w:after="120"/>
        <w:jc w:val="both"/>
        <w:rPr>
          <w:rFonts w:ascii="Arial Narrow" w:hAnsi="Arial Narrow" w:cs="Arial"/>
          <w:b/>
          <w:iCs/>
          <w:noProof/>
          <w:color w:val="595959" w:themeColor="text1" w:themeTint="A6"/>
          <w:sz w:val="6"/>
          <w:lang w:val="en-US"/>
        </w:rPr>
      </w:pPr>
    </w:p>
    <w:p w14:paraId="12995F69" w14:textId="391317A9" w:rsidR="00D21637" w:rsidRPr="00C74E44" w:rsidRDefault="00C74E44" w:rsidP="007E7693">
      <w:pPr>
        <w:spacing w:after="120"/>
        <w:jc w:val="both"/>
        <w:rPr>
          <w:rFonts w:ascii="Arial Narrow" w:hAnsi="Arial Narrow" w:cs="Arial"/>
          <w:iCs/>
          <w:noProof/>
          <w:color w:val="595959" w:themeColor="text1" w:themeTint="A6"/>
          <w:lang w:val="en-US"/>
        </w:rPr>
      </w:pPr>
      <w:r w:rsidRPr="00C74E44">
        <w:rPr>
          <w:rFonts w:ascii="Arial Narrow" w:hAnsi="Arial Narrow" w:cs="Arial"/>
          <w:b/>
          <w:iCs/>
          <w:noProof/>
          <w:color w:val="595959" w:themeColor="text1" w:themeTint="A6"/>
          <w:lang w:val="en-US"/>
        </w:rPr>
        <w:t>FIGURE</w:t>
      </w:r>
      <w:r w:rsidR="00D21637" w:rsidRPr="00C74E44">
        <w:rPr>
          <w:rFonts w:ascii="Arial Narrow" w:hAnsi="Arial Narrow" w:cs="Arial"/>
          <w:b/>
          <w:iCs/>
          <w:noProof/>
          <w:color w:val="595959" w:themeColor="text1" w:themeTint="A6"/>
          <w:lang w:val="en-US"/>
        </w:rPr>
        <w:t xml:space="preserve"> 6. </w:t>
      </w:r>
      <w:r w:rsidRPr="00C74E44">
        <w:rPr>
          <w:rFonts w:ascii="Arial Narrow" w:hAnsi="Arial Narrow" w:cs="Arial"/>
          <w:b/>
          <w:iCs/>
          <w:noProof/>
          <w:color w:val="595959" w:themeColor="text1" w:themeTint="A6"/>
          <w:lang w:val="en-US"/>
        </w:rPr>
        <w:t>TREND IN INCOME FROM EMPLOYEES IN AGRICULTURE, FORESTRY AND FISHERIES</w:t>
      </w:r>
      <w:r w:rsidR="00D21637" w:rsidRPr="00C74E44">
        <w:rPr>
          <w:rFonts w:ascii="Arial Narrow" w:hAnsi="Arial Narrow" w:cs="Arial"/>
          <w:b/>
          <w:iCs/>
          <w:noProof/>
          <w:color w:val="1F497D" w:themeColor="text2"/>
          <w:lang w:val="en-US"/>
        </w:rPr>
        <w:t xml:space="preserve">. </w:t>
      </w:r>
      <w:r w:rsidRPr="00C74E44">
        <w:rPr>
          <w:rFonts w:ascii="Arial Narrow" w:hAnsi="Arial Narrow" w:cs="Arial"/>
          <w:iCs/>
          <w:noProof/>
          <w:color w:val="595959" w:themeColor="text1" w:themeTint="A6"/>
          <w:lang w:val="en-US"/>
        </w:rPr>
        <w:t>Years 2000-2021, base index numbers 2000 = 100</w:t>
      </w:r>
    </w:p>
    <w:p w14:paraId="0F103F9E" w14:textId="0C687398" w:rsidR="00C623A0" w:rsidRDefault="0001480C" w:rsidP="007E7693">
      <w:pPr>
        <w:spacing w:after="120"/>
        <w:jc w:val="both"/>
        <w:rPr>
          <w:rFonts w:ascii="Arial Narrow" w:hAnsi="Arial Narrow" w:cs="Arial"/>
          <w:iCs/>
          <w:noProof/>
          <w:color w:val="595959" w:themeColor="text1" w:themeTint="A6"/>
        </w:rPr>
      </w:pPr>
      <w:r>
        <w:rPr>
          <w:noProof/>
          <w:lang w:eastAsia="it-IT"/>
        </w:rPr>
        <w:drawing>
          <wp:inline distT="0" distB="0" distL="0" distR="0" wp14:anchorId="1E2750D5" wp14:editId="6DA717F9">
            <wp:extent cx="6122670" cy="2160000"/>
            <wp:effectExtent l="0" t="0" r="11430" b="12065"/>
            <wp:docPr id="40" name="Gra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D2690A" w14:textId="77777777" w:rsidR="009D6727" w:rsidRDefault="009D6727" w:rsidP="003F4634">
      <w:pPr>
        <w:spacing w:after="120"/>
        <w:jc w:val="both"/>
        <w:rPr>
          <w:rFonts w:ascii="Arial Narrow" w:hAnsi="Arial Narrow" w:cs="Arial"/>
          <w:b/>
          <w:iCs/>
          <w:noProof/>
          <w:color w:val="595959" w:themeColor="text1" w:themeTint="A6"/>
          <w:lang w:val="en-US"/>
        </w:rPr>
      </w:pPr>
      <w:r>
        <w:rPr>
          <w:rFonts w:ascii="Arial Narrow" w:hAnsi="Arial Narrow" w:cs="Arial"/>
          <w:b/>
          <w:iCs/>
          <w:noProof/>
          <w:color w:val="595959" w:themeColor="text1" w:themeTint="A6"/>
          <w:lang w:val="en-US"/>
        </w:rPr>
        <w:br w:type="page"/>
      </w:r>
    </w:p>
    <w:p w14:paraId="1E27A1EF" w14:textId="00FFE3CA" w:rsidR="00D21637" w:rsidRPr="00D0200A" w:rsidRDefault="00D21637" w:rsidP="003F4634">
      <w:pPr>
        <w:spacing w:after="120"/>
        <w:jc w:val="both"/>
        <w:rPr>
          <w:rFonts w:ascii="Arial Narrow" w:hAnsi="Arial Narrow" w:cs="Arial"/>
          <w:iCs/>
          <w:noProof/>
          <w:color w:val="1F497D" w:themeColor="text2"/>
          <w:lang w:val="en-US"/>
        </w:rPr>
      </w:pPr>
      <w:r w:rsidRPr="00D0200A">
        <w:rPr>
          <w:rFonts w:ascii="Arial Narrow" w:hAnsi="Arial Narrow" w:cs="Arial"/>
          <w:b/>
          <w:iCs/>
          <w:noProof/>
          <w:color w:val="595959" w:themeColor="text1" w:themeTint="A6"/>
          <w:lang w:val="en-US"/>
        </w:rPr>
        <w:lastRenderedPageBreak/>
        <w:t>FIGU</w:t>
      </w:r>
      <w:r w:rsidR="00D0200A" w:rsidRPr="00D0200A">
        <w:rPr>
          <w:rFonts w:ascii="Arial Narrow" w:hAnsi="Arial Narrow" w:cs="Arial"/>
          <w:b/>
          <w:iCs/>
          <w:noProof/>
          <w:color w:val="595959" w:themeColor="text1" w:themeTint="A6"/>
          <w:lang w:val="en-US"/>
        </w:rPr>
        <w:t>RE</w:t>
      </w:r>
      <w:r w:rsidRPr="00D0200A">
        <w:rPr>
          <w:rFonts w:ascii="Arial Narrow" w:hAnsi="Arial Narrow" w:cs="Arial"/>
          <w:b/>
          <w:iCs/>
          <w:noProof/>
          <w:color w:val="595959" w:themeColor="text1" w:themeTint="A6"/>
          <w:lang w:val="en-US"/>
        </w:rPr>
        <w:t xml:space="preserve"> 7. </w:t>
      </w:r>
      <w:r w:rsidR="00D0200A" w:rsidRPr="00D0200A">
        <w:rPr>
          <w:rFonts w:ascii="Arial Narrow" w:hAnsi="Arial Narrow" w:cs="Arial"/>
          <w:b/>
          <w:iCs/>
          <w:noProof/>
          <w:color w:val="595959" w:themeColor="text1" w:themeTint="A6"/>
          <w:lang w:val="en-US"/>
        </w:rPr>
        <w:t>IRREGULAR LABOR UNITS IN AGRICULTURE, FORESTRY A</w:t>
      </w:r>
      <w:r w:rsidR="00D0200A">
        <w:rPr>
          <w:rFonts w:ascii="Arial Narrow" w:hAnsi="Arial Narrow" w:cs="Arial"/>
          <w:b/>
          <w:iCs/>
          <w:noProof/>
          <w:color w:val="595959" w:themeColor="text1" w:themeTint="A6"/>
          <w:lang w:val="en-US"/>
        </w:rPr>
        <w:t>ND FISHERIES AND TOTAL ECONOMY</w:t>
      </w:r>
      <w:r w:rsidRPr="00D0200A">
        <w:rPr>
          <w:rFonts w:ascii="Arial Narrow" w:hAnsi="Arial Narrow" w:cs="Arial"/>
          <w:b/>
          <w:iCs/>
          <w:noProof/>
          <w:color w:val="1F497D" w:themeColor="text2"/>
          <w:lang w:val="en-US"/>
        </w:rPr>
        <w:t xml:space="preserve">. </w:t>
      </w:r>
      <w:r w:rsidR="00D0200A">
        <w:rPr>
          <w:rFonts w:ascii="Arial Narrow" w:hAnsi="Arial Narrow" w:cs="Arial"/>
          <w:iCs/>
          <w:noProof/>
          <w:color w:val="595959" w:themeColor="text1" w:themeTint="A6"/>
          <w:lang w:val="en-US"/>
        </w:rPr>
        <w:t>Years 2</w:t>
      </w:r>
      <w:r w:rsidR="00D0200A" w:rsidRPr="00D0200A">
        <w:rPr>
          <w:rFonts w:ascii="Arial Narrow" w:hAnsi="Arial Narrow" w:cs="Arial"/>
          <w:iCs/>
          <w:noProof/>
          <w:color w:val="595959" w:themeColor="text1" w:themeTint="A6"/>
          <w:lang w:val="en-US"/>
        </w:rPr>
        <w:t>000-2019, thousands of units</w:t>
      </w:r>
    </w:p>
    <w:p w14:paraId="00F65B82" w14:textId="6AF0E1C0" w:rsidR="007E7693" w:rsidRDefault="00D0200A" w:rsidP="007E7693">
      <w:pPr>
        <w:spacing w:after="120"/>
        <w:jc w:val="both"/>
        <w:rPr>
          <w:rFonts w:ascii="Arial Narrow" w:hAnsi="Arial Narrow" w:cs="Arial"/>
          <w:b/>
          <w:iCs/>
          <w:noProof/>
          <w:color w:val="1F497D" w:themeColor="text2"/>
          <w:sz w:val="20"/>
          <w:szCs w:val="20"/>
        </w:rPr>
      </w:pPr>
      <w:r>
        <w:rPr>
          <w:noProof/>
          <w:lang w:eastAsia="it-IT"/>
        </w:rPr>
        <w:drawing>
          <wp:inline distT="0" distB="0" distL="0" distR="0" wp14:anchorId="36117CCF" wp14:editId="07288680">
            <wp:extent cx="6122670" cy="2160000"/>
            <wp:effectExtent l="0" t="0" r="11430" b="12065"/>
            <wp:docPr id="41" name="Gra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38C556" w14:textId="77777777" w:rsidR="00F75E5D" w:rsidRDefault="00F75E5D" w:rsidP="00F75E5D">
      <w:pPr>
        <w:jc w:val="both"/>
        <w:rPr>
          <w:rFonts w:ascii="Arial Narrow" w:hAnsi="Arial Narrow" w:cs="Arial"/>
          <w:b/>
          <w:iCs/>
          <w:noProof/>
          <w:color w:val="595959" w:themeColor="text1" w:themeTint="A6"/>
        </w:rPr>
      </w:pPr>
    </w:p>
    <w:p w14:paraId="1850896E" w14:textId="2D273EA4" w:rsidR="00D21637" w:rsidRPr="00D0200A" w:rsidRDefault="00D0200A" w:rsidP="009D6727">
      <w:pPr>
        <w:spacing w:after="120"/>
        <w:jc w:val="both"/>
        <w:rPr>
          <w:rFonts w:ascii="Arial Narrow" w:hAnsi="Arial Narrow" w:cs="Arial"/>
          <w:iCs/>
          <w:noProof/>
          <w:color w:val="1F497D" w:themeColor="text2"/>
          <w:lang w:val="en-US"/>
        </w:rPr>
      </w:pPr>
      <w:r w:rsidRPr="00D0200A">
        <w:rPr>
          <w:rFonts w:ascii="Arial Narrow" w:hAnsi="Arial Narrow" w:cs="Arial"/>
          <w:b/>
          <w:iCs/>
          <w:noProof/>
          <w:color w:val="595959" w:themeColor="text1" w:themeTint="A6"/>
          <w:lang w:val="en-US"/>
        </w:rPr>
        <w:t>FIGURE</w:t>
      </w:r>
      <w:r w:rsidR="00D21637" w:rsidRPr="00D0200A">
        <w:rPr>
          <w:rFonts w:ascii="Arial Narrow" w:hAnsi="Arial Narrow" w:cs="Arial"/>
          <w:b/>
          <w:iCs/>
          <w:noProof/>
          <w:color w:val="595959" w:themeColor="text1" w:themeTint="A6"/>
          <w:lang w:val="en-US"/>
        </w:rPr>
        <w:t xml:space="preserve"> 8. </w:t>
      </w:r>
      <w:r w:rsidRPr="00D0200A">
        <w:rPr>
          <w:rFonts w:ascii="Arial Narrow" w:hAnsi="Arial Narrow" w:cs="Arial"/>
          <w:b/>
          <w:iCs/>
          <w:noProof/>
          <w:color w:val="595959" w:themeColor="text1" w:themeTint="A6"/>
          <w:lang w:val="en-US"/>
        </w:rPr>
        <w:t>RATE OF IRREGULARITY OF THE AGRICULTURE, FORESTRY AND FISHING WORK INPUT BY POSITION IN THE PROFESSION</w:t>
      </w:r>
      <w:r w:rsidR="00D21637" w:rsidRPr="00D0200A">
        <w:rPr>
          <w:rFonts w:ascii="Arial Narrow" w:hAnsi="Arial Narrow" w:cs="Arial"/>
          <w:b/>
          <w:iCs/>
          <w:noProof/>
          <w:color w:val="1F497D" w:themeColor="text2"/>
          <w:lang w:val="en-US"/>
        </w:rPr>
        <w:t xml:space="preserve">. </w:t>
      </w:r>
      <w:r>
        <w:rPr>
          <w:rFonts w:ascii="Arial Narrow" w:hAnsi="Arial Narrow" w:cs="Arial"/>
          <w:iCs/>
          <w:noProof/>
          <w:color w:val="595959" w:themeColor="text1" w:themeTint="A6"/>
          <w:lang w:val="en-US"/>
        </w:rPr>
        <w:t>Years 2</w:t>
      </w:r>
      <w:r w:rsidRPr="00D0200A">
        <w:rPr>
          <w:rFonts w:ascii="Arial Narrow" w:hAnsi="Arial Narrow" w:cs="Arial"/>
          <w:iCs/>
          <w:noProof/>
          <w:color w:val="595959" w:themeColor="text1" w:themeTint="A6"/>
          <w:lang w:val="en-US"/>
        </w:rPr>
        <w:t>000-2019, percentage values</w:t>
      </w:r>
    </w:p>
    <w:p w14:paraId="1F6138AE" w14:textId="1C17CB6B" w:rsidR="00687DF8" w:rsidRPr="00051702" w:rsidRDefault="008D2D3D" w:rsidP="00687DF8">
      <w:pPr>
        <w:spacing w:after="120"/>
        <w:jc w:val="both"/>
        <w:rPr>
          <w:rFonts w:ascii="Arial Narrow" w:hAnsi="Arial Narrow" w:cs="Arial"/>
          <w:iCs/>
          <w:noProof/>
          <w:color w:val="1F497D" w:themeColor="text2"/>
          <w:sz w:val="20"/>
          <w:szCs w:val="20"/>
        </w:rPr>
      </w:pPr>
      <w:r>
        <w:rPr>
          <w:noProof/>
          <w:lang w:eastAsia="it-IT"/>
        </w:rPr>
        <w:drawing>
          <wp:inline distT="0" distB="0" distL="0" distR="0" wp14:anchorId="57E39B31" wp14:editId="4D4A2870">
            <wp:extent cx="6120000" cy="2160000"/>
            <wp:effectExtent l="0" t="0" r="14605" b="12065"/>
            <wp:docPr id="42" name="Gra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E4B3F5" w14:textId="77777777" w:rsidR="007B79FB" w:rsidRPr="00F75E5D" w:rsidRDefault="007B79FB" w:rsidP="00BA6BE2">
      <w:pPr>
        <w:widowControl/>
        <w:suppressAutoHyphens/>
        <w:autoSpaceDE/>
        <w:spacing w:after="120"/>
        <w:jc w:val="both"/>
        <w:textAlignment w:val="baseline"/>
        <w:rPr>
          <w:rFonts w:ascii="Trebuchet MS" w:eastAsia="Times New Roman" w:hAnsi="Trebuchet MS" w:cs="Arial"/>
          <w:color w:val="595959" w:themeColor="text1" w:themeTint="A6"/>
          <w:sz w:val="2"/>
          <w:szCs w:val="20"/>
          <w:lang w:eastAsia="it-IT"/>
        </w:rPr>
      </w:pPr>
    </w:p>
    <w:p w14:paraId="7020EF67" w14:textId="77777777" w:rsidR="00951B03" w:rsidRPr="00360729" w:rsidRDefault="00951B03" w:rsidP="00F36834">
      <w:pPr>
        <w:widowControl/>
        <w:autoSpaceDE/>
        <w:autoSpaceDN/>
        <w:spacing w:after="120"/>
        <w:rPr>
          <w:rStyle w:val="fontstyle01"/>
          <w:rFonts w:ascii="Trebuchet MS" w:eastAsia="Times New Roman" w:hAnsi="Trebuchet MS" w:cs="Times New Roman"/>
          <w:bCs w:val="0"/>
          <w:iCs/>
          <w:color w:val="595959" w:themeColor="text1" w:themeTint="A6"/>
          <w:sz w:val="2"/>
          <w:lang w:eastAsia="it-IT"/>
        </w:rPr>
      </w:pPr>
    </w:p>
    <w:p w14:paraId="44800AB7" w14:textId="3160D902" w:rsidR="00D87C8F" w:rsidRPr="00773BFB" w:rsidRDefault="00773BFB" w:rsidP="00F36834">
      <w:pPr>
        <w:widowControl/>
        <w:autoSpaceDE/>
        <w:autoSpaceDN/>
        <w:spacing w:after="120"/>
        <w:rPr>
          <w:rStyle w:val="fontstyle01"/>
          <w:rFonts w:ascii="Trebuchet MS" w:eastAsia="Times New Roman" w:hAnsi="Trebuchet MS" w:cs="Times New Roman"/>
          <w:bCs w:val="0"/>
          <w:iCs/>
          <w:color w:val="595959" w:themeColor="text1" w:themeTint="A6"/>
          <w:lang w:val="en-US" w:eastAsia="it-IT"/>
        </w:rPr>
      </w:pPr>
      <w:r w:rsidRPr="00773BFB">
        <w:rPr>
          <w:rStyle w:val="fontstyle01"/>
          <w:rFonts w:ascii="Trebuchet MS" w:eastAsia="Times New Roman" w:hAnsi="Trebuchet MS" w:cs="Times New Roman"/>
          <w:bCs w:val="0"/>
          <w:iCs/>
          <w:color w:val="595959" w:themeColor="text1" w:themeTint="A6"/>
          <w:lang w:val="en-US" w:eastAsia="it-IT"/>
        </w:rPr>
        <w:t>Agricultural production: between pandemics and adverse climatic events</w:t>
      </w:r>
      <w:r w:rsidR="00823934" w:rsidRPr="00773BFB">
        <w:rPr>
          <w:rStyle w:val="fontstyle01"/>
          <w:rFonts w:ascii="Trebuchet MS" w:eastAsia="Times New Roman" w:hAnsi="Trebuchet MS" w:cs="Times New Roman"/>
          <w:bCs w:val="0"/>
          <w:iCs/>
          <w:color w:val="595959" w:themeColor="text1" w:themeTint="A6"/>
          <w:lang w:val="en-US" w:eastAsia="it-IT"/>
        </w:rPr>
        <w:t xml:space="preserve"> </w:t>
      </w:r>
    </w:p>
    <w:p w14:paraId="4B6697B7" w14:textId="378032FF" w:rsidR="00951B03" w:rsidRPr="00773BFB" w:rsidRDefault="00773BFB"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773BFB">
        <w:rPr>
          <w:rFonts w:ascii="Trebuchet MS" w:eastAsia="Times New Roman" w:hAnsi="Trebuchet MS" w:cs="Arial"/>
          <w:color w:val="595959" w:themeColor="text1" w:themeTint="A6"/>
          <w:sz w:val="20"/>
          <w:szCs w:val="20"/>
          <w:lang w:val="en-US" w:eastAsia="it-IT"/>
        </w:rPr>
        <w:t>As mentioned, in 2020 the decline in agricultural production was substantially determined by the decrease in the volume of secondary activities, heavily penalized by the mobility restrictions imposed to stem the pandemic, while in 2021 the negative effects of the p</w:t>
      </w:r>
      <w:r>
        <w:rPr>
          <w:rFonts w:ascii="Trebuchet MS" w:eastAsia="Times New Roman" w:hAnsi="Trebuchet MS" w:cs="Arial"/>
          <w:color w:val="595959" w:themeColor="text1" w:themeTint="A6"/>
          <w:sz w:val="20"/>
          <w:szCs w:val="20"/>
          <w:lang w:val="en-US" w:eastAsia="it-IT"/>
        </w:rPr>
        <w:t xml:space="preserve">andemic crisis were attenuated </w:t>
      </w:r>
      <w:r w:rsidRPr="00773BFB">
        <w:rPr>
          <w:rFonts w:ascii="Trebuchet MS" w:eastAsia="Times New Roman" w:hAnsi="Trebuchet MS" w:cs="Arial"/>
          <w:color w:val="595959" w:themeColor="text1" w:themeTint="A6"/>
          <w:sz w:val="20"/>
          <w:szCs w:val="20"/>
          <w:lang w:val="en-US" w:eastAsia="it-IT"/>
        </w:rPr>
        <w:t>and the gradual recovery of all economic activities at full capacity has favored the recovery of the most penalized sectors, especially the agritourism and horticultural sector, and of livestock production, driven by the recovery in consumption.</w:t>
      </w:r>
      <w:r w:rsidR="00F130A3" w:rsidRPr="00773BFB">
        <w:rPr>
          <w:rFonts w:ascii="Trebuchet MS" w:eastAsia="Times New Roman" w:hAnsi="Trebuchet MS" w:cs="Arial"/>
          <w:color w:val="595959" w:themeColor="text1" w:themeTint="A6"/>
          <w:sz w:val="20"/>
          <w:szCs w:val="20"/>
          <w:lang w:val="en-US" w:eastAsia="it-IT"/>
        </w:rPr>
        <w:t xml:space="preserve"> </w:t>
      </w:r>
    </w:p>
    <w:p w14:paraId="3BF5C7E1" w14:textId="5B0EF9FA" w:rsidR="00F130A3" w:rsidRPr="00773BFB" w:rsidRDefault="00773BFB"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773BFB">
        <w:rPr>
          <w:rFonts w:ascii="Trebuchet MS" w:eastAsia="Times New Roman" w:hAnsi="Trebuchet MS" w:cs="Arial"/>
          <w:color w:val="595959" w:themeColor="text1" w:themeTint="A6"/>
          <w:sz w:val="20"/>
          <w:szCs w:val="20"/>
          <w:lang w:val="en-US" w:eastAsia="it-IT"/>
        </w:rPr>
        <w:t xml:space="preserve">On the other hand, some extreme seasonal events (late spring frosts and prolonged summer drought) have affected most of the crops (especially for woody crops and </w:t>
      </w:r>
      <w:proofErr w:type="gramStart"/>
      <w:r w:rsidRPr="00773BFB">
        <w:rPr>
          <w:rFonts w:ascii="Trebuchet MS" w:eastAsia="Times New Roman" w:hAnsi="Trebuchet MS" w:cs="Arial"/>
          <w:color w:val="595959" w:themeColor="text1" w:themeTint="A6"/>
          <w:sz w:val="20"/>
          <w:szCs w:val="20"/>
          <w:lang w:val="en-US" w:eastAsia="it-IT"/>
        </w:rPr>
        <w:t>in particular for</w:t>
      </w:r>
      <w:proofErr w:type="gramEnd"/>
      <w:r w:rsidRPr="00773BFB">
        <w:rPr>
          <w:rFonts w:ascii="Trebuchet MS" w:eastAsia="Times New Roman" w:hAnsi="Trebuchet MS" w:cs="Arial"/>
          <w:color w:val="595959" w:themeColor="text1" w:themeTint="A6"/>
          <w:sz w:val="20"/>
          <w:szCs w:val="20"/>
          <w:lang w:val="en-US" w:eastAsia="it-IT"/>
        </w:rPr>
        <w:t xml:space="preserve"> fruit trees), with production losses and damage to structures and infrastructures in the rural areas.</w:t>
      </w:r>
      <w:r w:rsidR="00F130A3" w:rsidRPr="00773BFB">
        <w:rPr>
          <w:rFonts w:ascii="Trebuchet MS" w:eastAsia="Times New Roman" w:hAnsi="Trebuchet MS" w:cs="Arial"/>
          <w:color w:val="595959" w:themeColor="text1" w:themeTint="A6"/>
          <w:sz w:val="20"/>
          <w:szCs w:val="20"/>
          <w:lang w:val="en-US" w:eastAsia="it-IT"/>
        </w:rPr>
        <w:t xml:space="preserve"> </w:t>
      </w:r>
    </w:p>
    <w:p w14:paraId="5F01D53C" w14:textId="3F5A7A6C" w:rsidR="00F130A3" w:rsidRPr="003A70A0" w:rsidRDefault="003A70A0"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3A70A0">
        <w:rPr>
          <w:rFonts w:ascii="Trebuchet MS" w:eastAsia="Times New Roman" w:hAnsi="Trebuchet MS" w:cs="Arial"/>
          <w:color w:val="595959" w:themeColor="text1" w:themeTint="A6"/>
          <w:sz w:val="20"/>
          <w:szCs w:val="20"/>
          <w:lang w:val="en-US" w:eastAsia="it-IT"/>
        </w:rPr>
        <w:t>Starting from the second half of 2021, the overall trend of the agricultural sector was also affected by the significant surge in prices, both in terms of costs (intermediate consumption) and products sold.</w:t>
      </w:r>
      <w:r w:rsidR="00F130A3" w:rsidRPr="003A70A0">
        <w:rPr>
          <w:rFonts w:ascii="Trebuchet MS" w:eastAsia="Times New Roman" w:hAnsi="Trebuchet MS" w:cs="Arial"/>
          <w:color w:val="595959" w:themeColor="text1" w:themeTint="A6"/>
          <w:sz w:val="20"/>
          <w:szCs w:val="20"/>
          <w:lang w:val="en-US" w:eastAsia="it-IT"/>
        </w:rPr>
        <w:t xml:space="preserve">  </w:t>
      </w:r>
      <w:r w:rsidRPr="003A70A0">
        <w:rPr>
          <w:rFonts w:ascii="Trebuchet MS" w:eastAsia="Times New Roman" w:hAnsi="Trebuchet MS" w:cs="Arial"/>
          <w:color w:val="595959" w:themeColor="text1" w:themeTint="A6"/>
          <w:sz w:val="20"/>
          <w:szCs w:val="20"/>
          <w:lang w:val="en-US" w:eastAsia="it-IT"/>
        </w:rPr>
        <w:t>Production recorded an increase in value of 6.5% while production volumes underwent a slight contraction (-0.1%). Within the sector, the performances were rather heterogeneous.</w:t>
      </w:r>
      <w:r w:rsidR="00F130A3" w:rsidRPr="003A70A0">
        <w:rPr>
          <w:rFonts w:ascii="Trebuchet MS" w:eastAsia="Times New Roman" w:hAnsi="Trebuchet MS" w:cs="Arial"/>
          <w:color w:val="595959" w:themeColor="text1" w:themeTint="A6"/>
          <w:sz w:val="20"/>
          <w:szCs w:val="20"/>
          <w:lang w:val="en-US" w:eastAsia="it-IT"/>
        </w:rPr>
        <w:t xml:space="preserve"> </w:t>
      </w:r>
      <w:r w:rsidRPr="003A70A0">
        <w:rPr>
          <w:rFonts w:ascii="Trebuchet MS" w:eastAsia="Times New Roman" w:hAnsi="Trebuchet MS" w:cs="Arial"/>
          <w:color w:val="595959" w:themeColor="text1" w:themeTint="A6"/>
          <w:sz w:val="20"/>
          <w:szCs w:val="20"/>
          <w:lang w:val="en-US" w:eastAsia="it-IT"/>
        </w:rPr>
        <w:t>Crops and livestock productions have increased in value in a similar way but, while for crops the increase in value was determined by the significant increase in prices with a consistent decline in volumes, in the livestock sector the production volumes have increased and prices are grown to a lesser extent (about a third of those of crops).</w:t>
      </w:r>
      <w:r w:rsidR="00F130A3" w:rsidRPr="003A70A0">
        <w:rPr>
          <w:rFonts w:ascii="Trebuchet MS" w:eastAsia="Times New Roman" w:hAnsi="Trebuchet MS" w:cs="Arial"/>
          <w:color w:val="595959" w:themeColor="text1" w:themeTint="A6"/>
          <w:sz w:val="20"/>
          <w:szCs w:val="20"/>
          <w:lang w:val="en-US" w:eastAsia="it-IT"/>
        </w:rPr>
        <w:t xml:space="preserve"> </w:t>
      </w:r>
    </w:p>
    <w:p w14:paraId="645E381C" w14:textId="517E49E7" w:rsidR="00F130A3" w:rsidRPr="00BB16F2" w:rsidRDefault="00BB16F2"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BB16F2">
        <w:rPr>
          <w:rFonts w:ascii="Trebuchet MS" w:eastAsia="Times New Roman" w:hAnsi="Trebuchet MS" w:cs="Arial"/>
          <w:color w:val="595959" w:themeColor="text1" w:themeTint="A6"/>
          <w:sz w:val="20"/>
          <w:szCs w:val="20"/>
          <w:lang w:val="en-US" w:eastAsia="it-IT"/>
        </w:rPr>
        <w:t>2021 saw an overall growth in agricultural producer prices of 6.6%, the highest since 2011, when the rise was 7.1%.</w:t>
      </w:r>
      <w:r w:rsidR="00F130A3" w:rsidRPr="00BB16F2">
        <w:rPr>
          <w:rFonts w:ascii="Trebuchet MS" w:eastAsia="Times New Roman" w:hAnsi="Trebuchet MS" w:cs="Arial"/>
          <w:color w:val="595959" w:themeColor="text1" w:themeTint="A6"/>
          <w:sz w:val="20"/>
          <w:szCs w:val="20"/>
          <w:lang w:val="en-US" w:eastAsia="it-IT"/>
        </w:rPr>
        <w:t xml:space="preserve"> </w:t>
      </w:r>
      <w:r w:rsidRPr="00BB16F2">
        <w:rPr>
          <w:rFonts w:ascii="Trebuchet MS" w:eastAsia="Times New Roman" w:hAnsi="Trebuchet MS" w:cs="Arial"/>
          <w:color w:val="595959" w:themeColor="text1" w:themeTint="A6"/>
          <w:sz w:val="20"/>
          <w:szCs w:val="20"/>
          <w:lang w:val="en-US" w:eastAsia="it-IT"/>
        </w:rPr>
        <w:t>The increase, with varying intensity, affected all sectors and was mainly triggered by the significant rise in the prices of production inputs (Table 5).</w:t>
      </w:r>
    </w:p>
    <w:p w14:paraId="56381451" w14:textId="77777777" w:rsidR="00951B03" w:rsidRPr="00BB16F2" w:rsidRDefault="00951B03"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p>
    <w:p w14:paraId="204F769F" w14:textId="3F4C1216" w:rsidR="00F130A3" w:rsidRPr="001C48F8" w:rsidRDefault="00890150" w:rsidP="00F130A3">
      <w:pPr>
        <w:widowControl/>
        <w:suppressAutoHyphens/>
        <w:autoSpaceDE/>
        <w:spacing w:after="120"/>
        <w:ind w:right="-34"/>
        <w:jc w:val="both"/>
        <w:textAlignment w:val="baseline"/>
        <w:rPr>
          <w:rStyle w:val="fontstyle01"/>
          <w:rFonts w:ascii="Trebuchet MS" w:hAnsi="Trebuchet MS"/>
          <w:iCs/>
          <w:color w:val="595959" w:themeColor="text1" w:themeTint="A6"/>
          <w:lang w:val="en-US"/>
        </w:rPr>
      </w:pPr>
      <w:r w:rsidRPr="001C48F8">
        <w:rPr>
          <w:rStyle w:val="fontstyle01"/>
          <w:rFonts w:ascii="Trebuchet MS" w:hAnsi="Trebuchet MS"/>
          <w:iCs/>
          <w:color w:val="595959" w:themeColor="text1" w:themeTint="A6"/>
          <w:lang w:val="en-US"/>
        </w:rPr>
        <w:lastRenderedPageBreak/>
        <w:t>Sharp rise in crop prices</w:t>
      </w:r>
    </w:p>
    <w:p w14:paraId="6ABA832E" w14:textId="0AD19370" w:rsidR="00F130A3" w:rsidRPr="001C48F8" w:rsidRDefault="001C48F8"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1C48F8">
        <w:rPr>
          <w:rFonts w:ascii="Trebuchet MS" w:eastAsia="Times New Roman" w:hAnsi="Trebuchet MS" w:cs="Arial"/>
          <w:color w:val="595959" w:themeColor="text1" w:themeTint="A6"/>
          <w:sz w:val="20"/>
          <w:szCs w:val="20"/>
          <w:lang w:val="en-US" w:eastAsia="it-IT"/>
        </w:rPr>
        <w:t>In 2021 the value of production of agricultural crops increased by 5.7% due to the significant increase in prices (+ 9.8%), which offset the 3.7% decrease in the quantities produced.</w:t>
      </w:r>
      <w:r w:rsidR="00F130A3" w:rsidRPr="001C48F8">
        <w:rPr>
          <w:rFonts w:ascii="Trebuchet MS" w:eastAsia="Times New Roman" w:hAnsi="Trebuchet MS" w:cs="Arial"/>
          <w:color w:val="595959" w:themeColor="text1" w:themeTint="A6"/>
          <w:sz w:val="20"/>
          <w:szCs w:val="20"/>
          <w:lang w:val="en-US" w:eastAsia="it-IT"/>
        </w:rPr>
        <w:t xml:space="preserve"> </w:t>
      </w:r>
      <w:r w:rsidRPr="001C48F8">
        <w:rPr>
          <w:rFonts w:ascii="Trebuchet MS" w:eastAsia="Times New Roman" w:hAnsi="Trebuchet MS" w:cs="Arial"/>
          <w:color w:val="595959" w:themeColor="text1" w:themeTint="A6"/>
          <w:sz w:val="20"/>
          <w:szCs w:val="20"/>
          <w:lang w:val="en-US" w:eastAsia="it-IT"/>
        </w:rPr>
        <w:t>The result was better than in 2020, when the value of crop production had increased by 3.8%, with an increase in volumes of 1.6% and a significantly lower price increase.</w:t>
      </w:r>
    </w:p>
    <w:p w14:paraId="10475BD9" w14:textId="52AE27A4" w:rsidR="00F130A3" w:rsidRPr="001C48F8" w:rsidRDefault="001C48F8"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1C48F8">
        <w:rPr>
          <w:rFonts w:ascii="Trebuchet MS" w:eastAsia="Times New Roman" w:hAnsi="Trebuchet MS" w:cs="Arial"/>
          <w:color w:val="595959" w:themeColor="text1" w:themeTint="A6"/>
          <w:sz w:val="20"/>
          <w:szCs w:val="20"/>
          <w:lang w:val="en-US" w:eastAsia="it-IT"/>
        </w:rPr>
        <w:t>The unfavorable climatic year, characterized by spring frosts, prolonged summer drought and seasonal lag, coincided with the recurrence of some phytosanitary problems (Asian bedbug</w:t>
      </w:r>
      <w:proofErr w:type="gramStart"/>
      <w:r w:rsidRPr="001C48F8">
        <w:rPr>
          <w:rFonts w:ascii="Trebuchet MS" w:eastAsia="Times New Roman" w:hAnsi="Trebuchet MS" w:cs="Arial"/>
          <w:color w:val="595959" w:themeColor="text1" w:themeTint="A6"/>
          <w:sz w:val="20"/>
          <w:szCs w:val="20"/>
          <w:lang w:val="en-US" w:eastAsia="it-IT"/>
        </w:rPr>
        <w:t>)</w:t>
      </w:r>
      <w:proofErr w:type="gramEnd"/>
      <w:r w:rsidRPr="001C48F8">
        <w:rPr>
          <w:rFonts w:ascii="Trebuchet MS" w:eastAsia="Times New Roman" w:hAnsi="Trebuchet MS" w:cs="Arial"/>
          <w:color w:val="595959" w:themeColor="text1" w:themeTint="A6"/>
          <w:sz w:val="20"/>
          <w:szCs w:val="20"/>
          <w:lang w:val="en-US" w:eastAsia="it-IT"/>
        </w:rPr>
        <w:t xml:space="preserve"> and heavily influenced the prod</w:t>
      </w:r>
      <w:r>
        <w:rPr>
          <w:rFonts w:ascii="Trebuchet MS" w:eastAsia="Times New Roman" w:hAnsi="Trebuchet MS" w:cs="Arial"/>
          <w:color w:val="595959" w:themeColor="text1" w:themeTint="A6"/>
          <w:sz w:val="20"/>
          <w:szCs w:val="20"/>
          <w:lang w:val="en-US" w:eastAsia="it-IT"/>
        </w:rPr>
        <w:t xml:space="preserve">uction volumes of fruit </w:t>
      </w:r>
      <w:r w:rsidRPr="001C48F8">
        <w:rPr>
          <w:rFonts w:ascii="Trebuchet MS" w:eastAsia="Times New Roman" w:hAnsi="Trebuchet MS" w:cs="Arial"/>
          <w:color w:val="595959" w:themeColor="text1" w:themeTint="A6"/>
          <w:sz w:val="20"/>
          <w:szCs w:val="20"/>
          <w:lang w:val="en-US" w:eastAsia="it-IT"/>
        </w:rPr>
        <w:t>products (-18.9%), especially for some types such as pears, apples, peaches, nectarines, and the nut sector; only citrus fruits had a trend in line with that of 2020.</w:t>
      </w:r>
      <w:r w:rsidR="00F130A3" w:rsidRPr="001C48F8">
        <w:rPr>
          <w:rFonts w:ascii="Trebuchet MS" w:eastAsia="Times New Roman" w:hAnsi="Trebuchet MS" w:cs="Arial"/>
          <w:color w:val="595959" w:themeColor="text1" w:themeTint="A6"/>
          <w:sz w:val="20"/>
          <w:szCs w:val="20"/>
          <w:lang w:val="en-US" w:eastAsia="it-IT"/>
        </w:rPr>
        <w:t xml:space="preserve"> </w:t>
      </w:r>
    </w:p>
    <w:p w14:paraId="1C9B4909" w14:textId="34B47BCF" w:rsidR="00F130A3" w:rsidRPr="00590125" w:rsidRDefault="00590125"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590125">
        <w:rPr>
          <w:rFonts w:ascii="Trebuchet MS" w:eastAsia="Times New Roman" w:hAnsi="Trebuchet MS" w:cs="Arial"/>
          <w:color w:val="595959" w:themeColor="text1" w:themeTint="A6"/>
          <w:sz w:val="20"/>
          <w:szCs w:val="20"/>
          <w:lang w:val="en-US" w:eastAsia="it-IT"/>
        </w:rPr>
        <w:t>Even leguminous crops, after the significant decline in volumes in 2020 (-3.7%), underwent a further significant downsizing in 2021 (-11.8%).</w:t>
      </w:r>
      <w:r w:rsidR="00F130A3" w:rsidRPr="00590125">
        <w:rPr>
          <w:rFonts w:ascii="Trebuchet MS" w:eastAsia="Times New Roman" w:hAnsi="Trebuchet MS" w:cs="Arial"/>
          <w:color w:val="595959" w:themeColor="text1" w:themeTint="A6"/>
          <w:sz w:val="20"/>
          <w:szCs w:val="20"/>
          <w:lang w:val="en-US" w:eastAsia="it-IT"/>
        </w:rPr>
        <w:t xml:space="preserve"> </w:t>
      </w:r>
      <w:r w:rsidRPr="00590125">
        <w:rPr>
          <w:rFonts w:ascii="Trebuchet MS" w:eastAsia="Times New Roman" w:hAnsi="Trebuchet MS" w:cs="Arial"/>
          <w:color w:val="595959" w:themeColor="text1" w:themeTint="A6"/>
          <w:sz w:val="20"/>
          <w:szCs w:val="20"/>
          <w:lang w:val="en-US" w:eastAsia="it-IT"/>
        </w:rPr>
        <w:t>The climatic events also penalized the volumes of wine production (-8%), in marked contraction after the increase in 2020 (+ 3.9%):</w:t>
      </w:r>
      <w:r w:rsidR="00F130A3" w:rsidRPr="00590125">
        <w:rPr>
          <w:rFonts w:ascii="Trebuchet MS" w:eastAsia="Times New Roman" w:hAnsi="Trebuchet MS" w:cs="Arial"/>
          <w:color w:val="595959" w:themeColor="text1" w:themeTint="A6"/>
          <w:sz w:val="20"/>
          <w:szCs w:val="20"/>
          <w:lang w:val="en-US" w:eastAsia="it-IT"/>
        </w:rPr>
        <w:t xml:space="preserve"> </w:t>
      </w:r>
      <w:r w:rsidRPr="00590125">
        <w:rPr>
          <w:rFonts w:ascii="Trebuchet MS" w:eastAsia="Times New Roman" w:hAnsi="Trebuchet MS" w:cs="Arial"/>
          <w:color w:val="595959" w:themeColor="text1" w:themeTint="A6"/>
          <w:sz w:val="20"/>
          <w:szCs w:val="20"/>
          <w:lang w:val="en-US" w:eastAsia="it-IT"/>
        </w:rPr>
        <w:t>the wine sector, however, has shown satisfactory signs both in terms of quality, thanks above all to the ability of producers to make the most of the late stages of maturation and harvesting and marketing, especially abroad.</w:t>
      </w:r>
      <w:r w:rsidR="00F130A3" w:rsidRPr="00590125">
        <w:rPr>
          <w:rFonts w:ascii="Trebuchet MS" w:eastAsia="Times New Roman" w:hAnsi="Trebuchet MS" w:cs="Arial"/>
          <w:color w:val="595959" w:themeColor="text1" w:themeTint="A6"/>
          <w:sz w:val="20"/>
          <w:szCs w:val="20"/>
          <w:lang w:val="en-US" w:eastAsia="it-IT"/>
        </w:rPr>
        <w:t xml:space="preserve"> </w:t>
      </w:r>
      <w:r w:rsidRPr="00590125">
        <w:rPr>
          <w:rFonts w:ascii="Trebuchet MS" w:eastAsia="Times New Roman" w:hAnsi="Trebuchet MS" w:cs="Arial"/>
          <w:color w:val="595959" w:themeColor="text1" w:themeTint="A6"/>
          <w:sz w:val="20"/>
          <w:szCs w:val="20"/>
          <w:lang w:val="en-US" w:eastAsia="it-IT"/>
        </w:rPr>
        <w:t>Industrial crops also fell sharply further (-6.3% in volume after -2.2% in 2020) mainly due to the continuing crisis in tobacco and soybean production; the decrease in production volumes for the vegetable sector was more contained (-1.7%).</w:t>
      </w:r>
    </w:p>
    <w:p w14:paraId="0C4D9066" w14:textId="42AB83DB" w:rsidR="00F130A3" w:rsidRPr="00A1429E" w:rsidRDefault="00590125"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590125">
        <w:rPr>
          <w:rFonts w:ascii="Trebuchet MS" w:eastAsia="Times New Roman" w:hAnsi="Trebuchet MS" w:cs="Arial"/>
          <w:color w:val="595959" w:themeColor="text1" w:themeTint="A6"/>
          <w:sz w:val="20"/>
          <w:szCs w:val="20"/>
          <w:lang w:val="en-US" w:eastAsia="it-IT"/>
        </w:rPr>
        <w:t xml:space="preserve">2021, on the other hand, was favorable </w:t>
      </w:r>
      <w:proofErr w:type="gramStart"/>
      <w:r w:rsidRPr="00590125">
        <w:rPr>
          <w:rFonts w:ascii="Trebuchet MS" w:eastAsia="Times New Roman" w:hAnsi="Trebuchet MS" w:cs="Arial"/>
          <w:color w:val="595959" w:themeColor="text1" w:themeTint="A6"/>
          <w:sz w:val="20"/>
          <w:szCs w:val="20"/>
          <w:lang w:val="en-US" w:eastAsia="it-IT"/>
        </w:rPr>
        <w:t>for the production of</w:t>
      </w:r>
      <w:proofErr w:type="gramEnd"/>
      <w:r w:rsidRPr="00590125">
        <w:rPr>
          <w:rFonts w:ascii="Trebuchet MS" w:eastAsia="Times New Roman" w:hAnsi="Trebuchet MS" w:cs="Arial"/>
          <w:color w:val="595959" w:themeColor="text1" w:themeTint="A6"/>
          <w:sz w:val="20"/>
          <w:szCs w:val="20"/>
          <w:lang w:val="en-US" w:eastAsia="it-IT"/>
        </w:rPr>
        <w:t xml:space="preserve"> olive oil.</w:t>
      </w:r>
      <w:r w:rsidR="00F130A3" w:rsidRPr="00590125">
        <w:rPr>
          <w:rFonts w:ascii="Trebuchet MS" w:eastAsia="Times New Roman" w:hAnsi="Trebuchet MS" w:cs="Arial"/>
          <w:color w:val="595959" w:themeColor="text1" w:themeTint="A6"/>
          <w:sz w:val="20"/>
          <w:szCs w:val="20"/>
          <w:lang w:val="en-US" w:eastAsia="it-IT"/>
        </w:rPr>
        <w:t xml:space="preserve"> </w:t>
      </w:r>
      <w:r w:rsidRPr="00A1429E">
        <w:rPr>
          <w:rFonts w:ascii="Trebuchet MS" w:eastAsia="Times New Roman" w:hAnsi="Trebuchet MS" w:cs="Arial"/>
          <w:color w:val="595959" w:themeColor="text1" w:themeTint="A6"/>
          <w:sz w:val="20"/>
          <w:szCs w:val="20"/>
          <w:lang w:val="en-US" w:eastAsia="it-IT"/>
        </w:rPr>
        <w:t>Following the normal cyclical trend</w:t>
      </w:r>
      <w:r w:rsidR="00F130A3" w:rsidRPr="00282FBC">
        <w:rPr>
          <w:rFonts w:ascii="Trebuchet MS" w:eastAsia="Times New Roman" w:hAnsi="Trebuchet MS" w:cs="Arial"/>
          <w:color w:val="595959" w:themeColor="text1" w:themeTint="A6"/>
          <w:sz w:val="20"/>
          <w:szCs w:val="20"/>
          <w:vertAlign w:val="superscript"/>
          <w:lang w:eastAsia="it-IT"/>
        </w:rPr>
        <w:footnoteReference w:id="1"/>
      </w:r>
      <w:r w:rsidR="00F130A3" w:rsidRPr="00A1429E">
        <w:rPr>
          <w:rFonts w:ascii="Trebuchet MS" w:eastAsia="Times New Roman" w:hAnsi="Trebuchet MS" w:cs="Arial"/>
          <w:color w:val="595959" w:themeColor="text1" w:themeTint="A6"/>
          <w:sz w:val="20"/>
          <w:szCs w:val="20"/>
          <w:lang w:val="en-US" w:eastAsia="it-IT"/>
        </w:rPr>
        <w:t xml:space="preserve">, </w:t>
      </w:r>
      <w:r w:rsidR="00A1429E" w:rsidRPr="00A1429E">
        <w:rPr>
          <w:rFonts w:ascii="Trebuchet MS" w:eastAsia="Times New Roman" w:hAnsi="Trebuchet MS" w:cs="Arial"/>
          <w:color w:val="595959" w:themeColor="text1" w:themeTint="A6"/>
          <w:sz w:val="20"/>
          <w:szCs w:val="20"/>
          <w:lang w:val="en-US" w:eastAsia="it-IT"/>
        </w:rPr>
        <w:t>after the downsizing of volumes in 2020 (-3%), production grew by 9.9%.</w:t>
      </w:r>
      <w:r w:rsidR="00F130A3" w:rsidRPr="00A1429E">
        <w:rPr>
          <w:rFonts w:ascii="Trebuchet MS" w:eastAsia="Times New Roman" w:hAnsi="Trebuchet MS" w:cs="Arial"/>
          <w:color w:val="595959" w:themeColor="text1" w:themeTint="A6"/>
          <w:sz w:val="20"/>
          <w:szCs w:val="20"/>
          <w:lang w:val="en-US" w:eastAsia="it-IT"/>
        </w:rPr>
        <w:t xml:space="preserve"> </w:t>
      </w:r>
      <w:r w:rsidR="00A1429E" w:rsidRPr="00A1429E">
        <w:rPr>
          <w:rFonts w:ascii="Trebuchet MS" w:eastAsia="Times New Roman" w:hAnsi="Trebuchet MS" w:cs="Arial"/>
          <w:color w:val="595959" w:themeColor="text1" w:themeTint="A6"/>
          <w:sz w:val="20"/>
          <w:szCs w:val="20"/>
          <w:lang w:val="en-US" w:eastAsia="it-IT"/>
        </w:rPr>
        <w:t>The volumes of flower crops (+ 3.1%) and nurseries (+ 2.9%) are also recovering, after the commercial blocks and the measures taken to combat the pandemic in 2020 (limitations of ceremonies / events and suspension of activities care and landscaping) (the loss in volume of the horticultural sector in the first year of the pandemic -8.4%).</w:t>
      </w:r>
      <w:r w:rsidRPr="00A1429E">
        <w:rPr>
          <w:rFonts w:ascii="Trebuchet MS" w:eastAsia="Times New Roman" w:hAnsi="Trebuchet MS" w:cs="Arial"/>
          <w:color w:val="595959" w:themeColor="text1" w:themeTint="A6"/>
          <w:sz w:val="20"/>
          <w:szCs w:val="20"/>
          <w:lang w:val="en-US" w:eastAsia="it-IT"/>
        </w:rPr>
        <w:t xml:space="preserve"> </w:t>
      </w:r>
    </w:p>
    <w:p w14:paraId="16A96064" w14:textId="27291C0F" w:rsidR="00F130A3" w:rsidRPr="003E0DC8" w:rsidRDefault="003E0DC8"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3E0DC8">
        <w:rPr>
          <w:rFonts w:ascii="Trebuchet MS" w:eastAsia="Times New Roman" w:hAnsi="Trebuchet MS" w:cs="Arial"/>
          <w:color w:val="595959" w:themeColor="text1" w:themeTint="A6"/>
          <w:sz w:val="20"/>
          <w:szCs w:val="20"/>
          <w:lang w:val="en-US" w:eastAsia="it-IT"/>
        </w:rPr>
        <w:t>The economic crisis due to the health emergency, the subsequent increase in demand in the post-pandemic phase, the negative effects of the pandemic on logistics and transport, adverse climatic conditions, the increase in prices of raw materials necessary for the agri-food p</w:t>
      </w:r>
      <w:r>
        <w:rPr>
          <w:rFonts w:ascii="Trebuchet MS" w:eastAsia="Times New Roman" w:hAnsi="Trebuchet MS" w:cs="Arial"/>
          <w:color w:val="595959" w:themeColor="text1" w:themeTint="A6"/>
          <w:sz w:val="20"/>
          <w:szCs w:val="20"/>
          <w:lang w:val="en-US" w:eastAsia="it-IT"/>
        </w:rPr>
        <w:t>roduction chain are all factors</w:t>
      </w:r>
      <w:r w:rsidRPr="003E0DC8">
        <w:rPr>
          <w:rFonts w:ascii="Trebuchet MS" w:eastAsia="Times New Roman" w:hAnsi="Trebuchet MS" w:cs="Arial"/>
          <w:color w:val="595959" w:themeColor="text1" w:themeTint="A6"/>
          <w:sz w:val="20"/>
          <w:szCs w:val="20"/>
          <w:lang w:val="en-US" w:eastAsia="it-IT"/>
        </w:rPr>
        <w:t xml:space="preserve"> which have determined an inevitable upward trend in prices in agricultural crops.</w:t>
      </w:r>
      <w:r w:rsidR="00F130A3" w:rsidRPr="003E0DC8">
        <w:rPr>
          <w:rFonts w:ascii="Trebuchet MS" w:eastAsia="Times New Roman" w:hAnsi="Trebuchet MS" w:cs="Arial"/>
          <w:color w:val="595959" w:themeColor="text1" w:themeTint="A6"/>
          <w:sz w:val="20"/>
          <w:szCs w:val="20"/>
          <w:lang w:val="en-US" w:eastAsia="it-IT"/>
        </w:rPr>
        <w:t xml:space="preserve"> </w:t>
      </w:r>
    </w:p>
    <w:p w14:paraId="7AE38CCE" w14:textId="5347B836" w:rsidR="00F130A3" w:rsidRPr="003E0DC8" w:rsidRDefault="003E0DC8"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3E0DC8">
        <w:rPr>
          <w:rFonts w:ascii="Trebuchet MS" w:eastAsia="Times New Roman" w:hAnsi="Trebuchet MS" w:cs="Arial"/>
          <w:color w:val="595959" w:themeColor="text1" w:themeTint="A6"/>
          <w:sz w:val="20"/>
          <w:szCs w:val="20"/>
          <w:lang w:val="en-US" w:eastAsia="it-IT"/>
        </w:rPr>
        <w:t>After the limited increases in 2020 (+ 2.1%), in 2021 the price increases took on significant dimensions, reaching almost the two figures in percentage terms (+ 9.8%).</w:t>
      </w:r>
      <w:r w:rsidR="00F130A3" w:rsidRPr="003E0DC8">
        <w:rPr>
          <w:rFonts w:ascii="Trebuchet MS" w:eastAsia="Times New Roman" w:hAnsi="Trebuchet MS" w:cs="Arial"/>
          <w:color w:val="595959" w:themeColor="text1" w:themeTint="A6"/>
          <w:sz w:val="20"/>
          <w:szCs w:val="20"/>
          <w:lang w:val="en-US" w:eastAsia="it-IT"/>
        </w:rPr>
        <w:t xml:space="preserve"> </w:t>
      </w:r>
      <w:r w:rsidRPr="003E0DC8">
        <w:rPr>
          <w:rFonts w:ascii="Trebuchet MS" w:eastAsia="Times New Roman" w:hAnsi="Trebuchet MS" w:cs="Arial"/>
          <w:color w:val="595959" w:themeColor="text1" w:themeTint="A6"/>
          <w:sz w:val="20"/>
          <w:szCs w:val="20"/>
          <w:lang w:val="en-US" w:eastAsia="it-IT"/>
        </w:rPr>
        <w:t>The increase concerned all agricultural crops, in particular cereals (+ 31.9% against + 4.8% in 2020), industrial crops (+ 27.4% against + 7.3%), fodder crops (+ 17.8% versus -4.2%), fruit (+ 12.7% versus + 8.9%), olive oil (+ 12</w:t>
      </w:r>
      <w:r w:rsidR="003B23C3">
        <w:rPr>
          <w:rFonts w:ascii="Trebuchet MS" w:eastAsia="Times New Roman" w:hAnsi="Trebuchet MS" w:cs="Arial"/>
          <w:color w:val="595959" w:themeColor="text1" w:themeTint="A6"/>
          <w:sz w:val="20"/>
          <w:szCs w:val="20"/>
          <w:lang w:val="en-US" w:eastAsia="it-IT"/>
        </w:rPr>
        <w:t xml:space="preserve">.6% versus -8.4%) and legumes (+ </w:t>
      </w:r>
      <w:r w:rsidRPr="003E0DC8">
        <w:rPr>
          <w:rFonts w:ascii="Trebuchet MS" w:eastAsia="Times New Roman" w:hAnsi="Trebuchet MS" w:cs="Arial"/>
          <w:color w:val="595959" w:themeColor="text1" w:themeTint="A6"/>
          <w:sz w:val="20"/>
          <w:szCs w:val="20"/>
          <w:lang w:val="en-US" w:eastAsia="it-IT"/>
        </w:rPr>
        <w:t>10.6% versus + 1.8% in 2020).</w:t>
      </w:r>
    </w:p>
    <w:p w14:paraId="44A8C1B3" w14:textId="77777777" w:rsidR="00FE3268" w:rsidRPr="003E0DC8" w:rsidRDefault="00FE3268" w:rsidP="00F130A3">
      <w:pPr>
        <w:widowControl/>
        <w:suppressAutoHyphens/>
        <w:autoSpaceDE/>
        <w:spacing w:after="120"/>
        <w:ind w:right="-34"/>
        <w:jc w:val="both"/>
        <w:textAlignment w:val="baseline"/>
        <w:rPr>
          <w:rStyle w:val="fontstyle01"/>
          <w:rFonts w:ascii="Trebuchet MS" w:hAnsi="Trebuchet MS"/>
          <w:iCs/>
          <w:color w:val="595959" w:themeColor="text1" w:themeTint="A6"/>
          <w:sz w:val="10"/>
          <w:lang w:val="en-US"/>
        </w:rPr>
      </w:pPr>
    </w:p>
    <w:p w14:paraId="2FDB3241" w14:textId="6A210443" w:rsidR="00F130A3" w:rsidRPr="003B23C3" w:rsidRDefault="003B23C3" w:rsidP="00F130A3">
      <w:pPr>
        <w:widowControl/>
        <w:suppressAutoHyphens/>
        <w:autoSpaceDE/>
        <w:spacing w:after="120"/>
        <w:ind w:right="-34"/>
        <w:jc w:val="both"/>
        <w:textAlignment w:val="baseline"/>
        <w:rPr>
          <w:rStyle w:val="fontstyle01"/>
          <w:rFonts w:ascii="Trebuchet MS" w:hAnsi="Trebuchet MS"/>
          <w:iCs/>
          <w:color w:val="595959" w:themeColor="text1" w:themeTint="A6"/>
          <w:lang w:val="en-US"/>
        </w:rPr>
      </w:pPr>
      <w:r w:rsidRPr="003B23C3">
        <w:rPr>
          <w:rStyle w:val="fontstyle01"/>
          <w:rFonts w:ascii="Trebuchet MS" w:hAnsi="Trebuchet MS"/>
          <w:iCs/>
          <w:color w:val="595959" w:themeColor="text1" w:themeTint="A6"/>
          <w:lang w:val="en-US"/>
        </w:rPr>
        <w:t>Recovery for animal production</w:t>
      </w:r>
    </w:p>
    <w:p w14:paraId="38EEB01D" w14:textId="5B5F9B2B" w:rsidR="00F130A3" w:rsidRPr="003B23C3" w:rsidRDefault="003B23C3"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3B23C3">
        <w:rPr>
          <w:rFonts w:ascii="Trebuchet MS" w:eastAsia="Times New Roman" w:hAnsi="Trebuchet MS" w:cs="Arial"/>
          <w:color w:val="595959" w:themeColor="text1" w:themeTint="A6"/>
          <w:sz w:val="20"/>
          <w:szCs w:val="20"/>
          <w:lang w:val="en-US" w:eastAsia="it-IT"/>
        </w:rPr>
        <w:t>The difficulties of the livestock sector in the early stages of the pandemic, with the reduction in consumption and the effects above all on the slaughter of animal meat, gradually reabsorbed in 2021, which closed with overall positive results for the sector, whi</w:t>
      </w:r>
      <w:r>
        <w:rPr>
          <w:rFonts w:ascii="Trebuchet MS" w:eastAsia="Times New Roman" w:hAnsi="Trebuchet MS" w:cs="Arial"/>
          <w:color w:val="595959" w:themeColor="text1" w:themeTint="A6"/>
          <w:sz w:val="20"/>
          <w:szCs w:val="20"/>
          <w:lang w:val="en-US" w:eastAsia="it-IT"/>
        </w:rPr>
        <w:t>ch experienced an increase of 5.</w:t>
      </w:r>
      <w:r w:rsidRPr="003B23C3">
        <w:rPr>
          <w:rFonts w:ascii="Trebuchet MS" w:eastAsia="Times New Roman" w:hAnsi="Trebuchet MS" w:cs="Arial"/>
          <w:color w:val="595959" w:themeColor="text1" w:themeTint="A6"/>
          <w:sz w:val="20"/>
          <w:szCs w:val="20"/>
          <w:lang w:val="en-US" w:eastAsia="it-IT"/>
        </w:rPr>
        <w:t>5% of the value of production, a synthesis of an increase in both volumes produced and prices.</w:t>
      </w:r>
      <w:r w:rsidR="00F130A3" w:rsidRPr="003B23C3">
        <w:rPr>
          <w:rFonts w:ascii="Trebuchet MS" w:eastAsia="Times New Roman" w:hAnsi="Trebuchet MS" w:cs="Arial"/>
          <w:color w:val="595959" w:themeColor="text1" w:themeTint="A6"/>
          <w:sz w:val="20"/>
          <w:szCs w:val="20"/>
          <w:lang w:val="en-US" w:eastAsia="it-IT"/>
        </w:rPr>
        <w:t xml:space="preserve"> </w:t>
      </w:r>
    </w:p>
    <w:p w14:paraId="37E718A2" w14:textId="1FF5B1F3" w:rsidR="00F130A3" w:rsidRPr="003B23C3" w:rsidRDefault="003B23C3"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3B23C3">
        <w:rPr>
          <w:rFonts w:ascii="Trebuchet MS" w:eastAsia="Times New Roman" w:hAnsi="Trebuchet MS" w:cs="Arial"/>
          <w:color w:val="595959" w:themeColor="text1" w:themeTint="A6"/>
          <w:sz w:val="20"/>
          <w:szCs w:val="20"/>
          <w:lang w:val="en-US" w:eastAsia="it-IT"/>
        </w:rPr>
        <w:t>However, the recovery of the sector was held back by the increase in the prices of raw materials (feed) and other production inputs.</w:t>
      </w:r>
      <w:r w:rsidR="00F130A3" w:rsidRPr="003B23C3">
        <w:rPr>
          <w:rFonts w:ascii="Trebuchet MS" w:eastAsia="Times New Roman" w:hAnsi="Trebuchet MS" w:cs="Arial"/>
          <w:color w:val="595959" w:themeColor="text1" w:themeTint="A6"/>
          <w:sz w:val="20"/>
          <w:szCs w:val="20"/>
          <w:lang w:val="en-US" w:eastAsia="it-IT"/>
        </w:rPr>
        <w:t xml:space="preserve"> </w:t>
      </w:r>
      <w:r w:rsidRPr="003B23C3">
        <w:rPr>
          <w:rFonts w:ascii="Trebuchet MS" w:eastAsia="Times New Roman" w:hAnsi="Trebuchet MS" w:cs="Arial"/>
          <w:color w:val="595959" w:themeColor="text1" w:themeTint="A6"/>
          <w:sz w:val="20"/>
          <w:szCs w:val="20"/>
          <w:lang w:val="en-US" w:eastAsia="it-IT"/>
        </w:rPr>
        <w:t>Starting from the second half of 2021, producers have suffered a substantial reduction in their profit margins, which could lead them in the short term to revise their sales prices upwards, with a consequent negative impact on the full recovery of consumption.</w:t>
      </w:r>
    </w:p>
    <w:p w14:paraId="37A8DF5C" w14:textId="46C9871C" w:rsidR="00F130A3" w:rsidRPr="003B23C3" w:rsidRDefault="003B23C3"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3B23C3">
        <w:rPr>
          <w:rFonts w:ascii="Trebuchet MS" w:eastAsia="Times New Roman" w:hAnsi="Trebuchet MS" w:cs="Arial"/>
          <w:color w:val="595959" w:themeColor="text1" w:themeTint="A6"/>
          <w:sz w:val="20"/>
          <w:szCs w:val="20"/>
          <w:lang w:val="en-US" w:eastAsia="it-IT"/>
        </w:rPr>
        <w:t>After the decline in production in 2020 (-1.3% in volume), the reactivation of the logistic-distribution circuits and the recovery of the catering sector positively influenced the consumption of animal meat in 2021 (+ 2% in volume)</w:t>
      </w:r>
      <w:r>
        <w:rPr>
          <w:rFonts w:ascii="Trebuchet MS" w:eastAsia="Times New Roman" w:hAnsi="Trebuchet MS" w:cs="Arial"/>
          <w:color w:val="595959" w:themeColor="text1" w:themeTint="A6"/>
          <w:sz w:val="20"/>
          <w:szCs w:val="20"/>
          <w:lang w:val="en-US" w:eastAsia="it-IT"/>
        </w:rPr>
        <w:t>.</w:t>
      </w:r>
      <w:r w:rsidR="00F130A3" w:rsidRPr="003B23C3">
        <w:rPr>
          <w:rFonts w:ascii="Trebuchet MS" w:eastAsia="Times New Roman" w:hAnsi="Trebuchet MS" w:cs="Arial"/>
          <w:color w:val="595959" w:themeColor="text1" w:themeTint="A6"/>
          <w:sz w:val="20"/>
          <w:szCs w:val="20"/>
          <w:lang w:val="en-US" w:eastAsia="it-IT"/>
        </w:rPr>
        <w:t xml:space="preserve"> </w:t>
      </w:r>
      <w:r w:rsidRPr="003B23C3">
        <w:rPr>
          <w:rFonts w:ascii="Trebuchet MS" w:eastAsia="Times New Roman" w:hAnsi="Trebuchet MS" w:cs="Arial"/>
          <w:color w:val="595959" w:themeColor="text1" w:themeTint="A6"/>
          <w:sz w:val="20"/>
          <w:szCs w:val="20"/>
          <w:lang w:val="en-US" w:eastAsia="it-IT"/>
        </w:rPr>
        <w:t>Pork meat had an increase in volume production by 2.3% (after -3.6% in 2020), beef by 2% (-1.3% in 2020) and poultry by 1.7% (+ 1.3% in 2020).</w:t>
      </w:r>
      <w:r w:rsidR="00F130A3" w:rsidRPr="003B23C3">
        <w:rPr>
          <w:rFonts w:ascii="Trebuchet MS" w:eastAsia="Times New Roman" w:hAnsi="Trebuchet MS" w:cs="Arial"/>
          <w:color w:val="595959" w:themeColor="text1" w:themeTint="A6"/>
          <w:sz w:val="20"/>
          <w:szCs w:val="20"/>
          <w:lang w:val="en-US" w:eastAsia="it-IT"/>
        </w:rPr>
        <w:t xml:space="preserve"> </w:t>
      </w:r>
    </w:p>
    <w:p w14:paraId="648DA476" w14:textId="66C11C2F" w:rsidR="00F130A3" w:rsidRPr="003B23C3" w:rsidRDefault="003B23C3"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3B23C3">
        <w:rPr>
          <w:rFonts w:ascii="Trebuchet MS" w:eastAsia="Times New Roman" w:hAnsi="Trebuchet MS" w:cs="Arial"/>
          <w:color w:val="595959" w:themeColor="text1" w:themeTint="A6"/>
          <w:sz w:val="20"/>
          <w:szCs w:val="20"/>
          <w:lang w:val="en-US" w:eastAsia="it-IT"/>
        </w:rPr>
        <w:t xml:space="preserve">Among the other livestock products, the good increase in milk volumes (+ 2.5%), in line with the good result already recorded in 2020 (+ 2.7%), and the collapse of honey production (-66.7) should be highlighted. % </w:t>
      </w:r>
      <w:proofErr w:type="gramStart"/>
      <w:r w:rsidRPr="003B23C3">
        <w:rPr>
          <w:rFonts w:ascii="Trebuchet MS" w:eastAsia="Times New Roman" w:hAnsi="Trebuchet MS" w:cs="Arial"/>
          <w:color w:val="595959" w:themeColor="text1" w:themeTint="A6"/>
          <w:sz w:val="20"/>
          <w:szCs w:val="20"/>
          <w:lang w:val="en-US" w:eastAsia="it-IT"/>
        </w:rPr>
        <w:t>in</w:t>
      </w:r>
      <w:proofErr w:type="gramEnd"/>
      <w:r w:rsidRPr="003B23C3">
        <w:rPr>
          <w:rFonts w:ascii="Trebuchet MS" w:eastAsia="Times New Roman" w:hAnsi="Trebuchet MS" w:cs="Arial"/>
          <w:color w:val="595959" w:themeColor="text1" w:themeTint="A6"/>
          <w:sz w:val="20"/>
          <w:szCs w:val="20"/>
          <w:lang w:val="en-US" w:eastAsia="it-IT"/>
        </w:rPr>
        <w:t xml:space="preserve"> 2021 against + 2.6% in volume in 2020), a production particularly penalized by adverse climatic events.</w:t>
      </w:r>
    </w:p>
    <w:p w14:paraId="129C12E7" w14:textId="73CA38CB" w:rsidR="003F4634" w:rsidRPr="003B23C3" w:rsidRDefault="003B23C3"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3B23C3">
        <w:rPr>
          <w:rFonts w:ascii="Trebuchet MS" w:eastAsia="Times New Roman" w:hAnsi="Trebuchet MS" w:cs="Arial"/>
          <w:color w:val="595959" w:themeColor="text1" w:themeTint="A6"/>
          <w:sz w:val="20"/>
          <w:szCs w:val="20"/>
          <w:lang w:val="en-US" w:eastAsia="it-IT"/>
        </w:rPr>
        <w:t>In terms of prices, after the significant drop in 2020 (-3.7%), in 2021 there was a generalized increase for all animal meat (+ 5.7%), with the mai</w:t>
      </w:r>
      <w:r>
        <w:rPr>
          <w:rFonts w:ascii="Trebuchet MS" w:eastAsia="Times New Roman" w:hAnsi="Trebuchet MS" w:cs="Arial"/>
          <w:color w:val="595959" w:themeColor="text1" w:themeTint="A6"/>
          <w:sz w:val="20"/>
          <w:szCs w:val="20"/>
          <w:lang w:val="en-US" w:eastAsia="it-IT"/>
        </w:rPr>
        <w:t>n increases affecting poultry (</w:t>
      </w:r>
      <w:r w:rsidRPr="003B23C3">
        <w:rPr>
          <w:rFonts w:ascii="Trebuchet MS" w:eastAsia="Times New Roman" w:hAnsi="Trebuchet MS" w:cs="Arial"/>
          <w:color w:val="595959" w:themeColor="text1" w:themeTint="A6"/>
          <w:sz w:val="20"/>
          <w:szCs w:val="20"/>
          <w:lang w:val="en-US" w:eastAsia="it-IT"/>
        </w:rPr>
        <w:t>+ 7.9%), pork (+ 7.5%) and beef (+ 4.3%).</w:t>
      </w:r>
      <w:r w:rsidR="00F130A3" w:rsidRPr="003B23C3">
        <w:rPr>
          <w:rFonts w:ascii="Trebuchet MS" w:eastAsia="Times New Roman" w:hAnsi="Trebuchet MS" w:cs="Arial"/>
          <w:color w:val="595959" w:themeColor="text1" w:themeTint="A6"/>
          <w:sz w:val="20"/>
          <w:szCs w:val="20"/>
          <w:lang w:val="en-US" w:eastAsia="it-IT"/>
        </w:rPr>
        <w:t xml:space="preserve"> </w:t>
      </w:r>
      <w:r w:rsidRPr="003B23C3">
        <w:rPr>
          <w:rFonts w:ascii="Trebuchet MS" w:eastAsia="Times New Roman" w:hAnsi="Trebuchet MS" w:cs="Arial"/>
          <w:color w:val="595959" w:themeColor="text1" w:themeTint="A6"/>
          <w:sz w:val="20"/>
          <w:szCs w:val="20"/>
          <w:lang w:val="en-US" w:eastAsia="it-IT"/>
        </w:rPr>
        <w:t>The price of milk also rose in 2021 (+ 1.4%) after the decline of the previous year (-1.5%).</w:t>
      </w:r>
    </w:p>
    <w:p w14:paraId="60E11EFC" w14:textId="77777777" w:rsidR="00951B03" w:rsidRPr="003B23C3" w:rsidRDefault="00951B03" w:rsidP="005C27D6">
      <w:pPr>
        <w:widowControl/>
        <w:suppressAutoHyphens/>
        <w:autoSpaceDE/>
        <w:spacing w:after="80"/>
        <w:jc w:val="both"/>
        <w:textAlignment w:val="baseline"/>
        <w:rPr>
          <w:rFonts w:ascii="Trebuchet MS" w:eastAsia="Times New Roman" w:hAnsi="Trebuchet MS" w:cs="Arial"/>
          <w:color w:val="595959" w:themeColor="text1" w:themeTint="A6"/>
          <w:sz w:val="10"/>
          <w:szCs w:val="20"/>
          <w:lang w:val="en-US" w:eastAsia="it-IT"/>
        </w:rPr>
      </w:pPr>
    </w:p>
    <w:p w14:paraId="358BCF47" w14:textId="24351F7F" w:rsidR="00F130A3" w:rsidRPr="003429C7" w:rsidRDefault="003429C7" w:rsidP="00F130A3">
      <w:pPr>
        <w:widowControl/>
        <w:suppressAutoHyphens/>
        <w:autoSpaceDE/>
        <w:spacing w:after="120"/>
        <w:ind w:right="-34"/>
        <w:jc w:val="both"/>
        <w:textAlignment w:val="baseline"/>
        <w:rPr>
          <w:rStyle w:val="fontstyle01"/>
          <w:rFonts w:ascii="Trebuchet MS" w:hAnsi="Trebuchet MS"/>
          <w:iCs/>
          <w:color w:val="595959" w:themeColor="text1" w:themeTint="A6"/>
          <w:lang w:val="en-US"/>
        </w:rPr>
      </w:pPr>
      <w:r w:rsidRPr="003429C7">
        <w:rPr>
          <w:rStyle w:val="fontstyle01"/>
          <w:rFonts w:ascii="Trebuchet MS" w:hAnsi="Trebuchet MS"/>
          <w:iCs/>
          <w:color w:val="595959" w:themeColor="text1" w:themeTint="A6"/>
          <w:lang w:val="en-US"/>
        </w:rPr>
        <w:lastRenderedPageBreak/>
        <w:t>Secondary activities and services: the value doubles in twenty years, agriculture is multifunctional</w:t>
      </w:r>
      <w:r w:rsidR="00F130A3" w:rsidRPr="003429C7">
        <w:rPr>
          <w:rStyle w:val="fontstyle01"/>
          <w:rFonts w:ascii="Trebuchet MS" w:hAnsi="Trebuchet MS"/>
          <w:iCs/>
          <w:color w:val="595959" w:themeColor="text1" w:themeTint="A6"/>
          <w:lang w:val="en-US"/>
        </w:rPr>
        <w:t xml:space="preserve"> </w:t>
      </w:r>
    </w:p>
    <w:p w14:paraId="0A8D6C40" w14:textId="5CAE2D77" w:rsidR="00FD7974" w:rsidRPr="001C05FD" w:rsidRDefault="001C05FD"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1C05FD">
        <w:rPr>
          <w:rFonts w:ascii="Trebuchet MS" w:eastAsia="Times New Roman" w:hAnsi="Trebuchet MS" w:cs="Arial"/>
          <w:color w:val="595959" w:themeColor="text1" w:themeTint="A6"/>
          <w:sz w:val="20"/>
          <w:szCs w:val="20"/>
          <w:lang w:val="en-US" w:eastAsia="it-IT"/>
        </w:rPr>
        <w:t>In 2021 the production of secondary activities grew by 9.6% in volume, recovering more than half of what was lost in 2020 (-17.2%).</w:t>
      </w:r>
      <w:r w:rsidR="00FD7974" w:rsidRPr="001C05FD">
        <w:rPr>
          <w:rFonts w:ascii="Trebuchet MS" w:eastAsia="Times New Roman" w:hAnsi="Trebuchet MS" w:cs="Arial"/>
          <w:color w:val="595959" w:themeColor="text1" w:themeTint="A6"/>
          <w:sz w:val="20"/>
          <w:szCs w:val="20"/>
          <w:lang w:val="en-US" w:eastAsia="it-IT"/>
        </w:rPr>
        <w:t xml:space="preserve"> </w:t>
      </w:r>
      <w:r w:rsidRPr="001C05FD">
        <w:rPr>
          <w:rFonts w:ascii="Trebuchet MS" w:eastAsia="Times New Roman" w:hAnsi="Trebuchet MS" w:cs="Arial"/>
          <w:color w:val="595959" w:themeColor="text1" w:themeTint="A6"/>
          <w:sz w:val="20"/>
          <w:szCs w:val="20"/>
          <w:lang w:val="en-US" w:eastAsia="it-IT"/>
        </w:rPr>
        <w:t>The recovery of agritourism (+ 16% in volume) after the collapse of 2020 (-48%), of direct sales and marketing (+ 10.9% against -19.8% in 2020) and of maintenance of parks and gardens (+ 8.1% against -25% in 2020); aquaculture was also significantly expanding (+ 10.3%) which in 2021 recorded the best result ever.</w:t>
      </w:r>
      <w:r w:rsidR="00FD7974" w:rsidRPr="001C05FD">
        <w:rPr>
          <w:rFonts w:ascii="Trebuchet MS" w:eastAsia="Times New Roman" w:hAnsi="Trebuchet MS" w:cs="Arial"/>
          <w:color w:val="595959" w:themeColor="text1" w:themeTint="A6"/>
          <w:sz w:val="20"/>
          <w:szCs w:val="20"/>
          <w:lang w:val="en-US" w:eastAsia="it-IT"/>
        </w:rPr>
        <w:t xml:space="preserve"> </w:t>
      </w:r>
    </w:p>
    <w:p w14:paraId="6E7E9316" w14:textId="64C0AC76" w:rsidR="00FD7974" w:rsidRPr="001C05FD" w:rsidRDefault="001C05FD"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1C05FD">
        <w:rPr>
          <w:rFonts w:ascii="Trebuchet MS" w:eastAsia="Times New Roman" w:hAnsi="Trebuchet MS" w:cs="Arial"/>
          <w:color w:val="595959" w:themeColor="text1" w:themeTint="A6"/>
          <w:sz w:val="20"/>
          <w:szCs w:val="20"/>
          <w:lang w:val="en-US" w:eastAsia="it-IT"/>
        </w:rPr>
        <w:t xml:space="preserve">Positive signs were once again seen </w:t>
      </w:r>
      <w:proofErr w:type="gramStart"/>
      <w:r w:rsidRPr="001C05FD">
        <w:rPr>
          <w:rFonts w:ascii="Trebuchet MS" w:eastAsia="Times New Roman" w:hAnsi="Trebuchet MS" w:cs="Arial"/>
          <w:color w:val="595959" w:themeColor="text1" w:themeTint="A6"/>
          <w:sz w:val="20"/>
          <w:szCs w:val="20"/>
          <w:lang w:val="en-US" w:eastAsia="it-IT"/>
        </w:rPr>
        <w:t>for the production of</w:t>
      </w:r>
      <w:proofErr w:type="gramEnd"/>
      <w:r w:rsidRPr="001C05FD">
        <w:rPr>
          <w:rFonts w:ascii="Trebuchet MS" w:eastAsia="Times New Roman" w:hAnsi="Trebuchet MS" w:cs="Arial"/>
          <w:color w:val="595959" w:themeColor="text1" w:themeTint="A6"/>
          <w:sz w:val="20"/>
          <w:szCs w:val="20"/>
          <w:lang w:val="en-US" w:eastAsia="it-IT"/>
        </w:rPr>
        <w:t xml:space="preserve"> renewable energy, which grew by 8% in terms of volume, representing almost 48% of total secondary activities and exceeding 2.5 billion euros in value, highest share ever reached since the beginning of renewable energy production in agriculture.</w:t>
      </w:r>
      <w:r w:rsidR="00FD7974" w:rsidRPr="001C05FD">
        <w:rPr>
          <w:rFonts w:ascii="Trebuchet MS" w:eastAsia="Times New Roman" w:hAnsi="Trebuchet MS" w:cs="Arial"/>
          <w:color w:val="595959" w:themeColor="text1" w:themeTint="A6"/>
          <w:sz w:val="20"/>
          <w:szCs w:val="20"/>
          <w:lang w:val="en-US" w:eastAsia="it-IT"/>
        </w:rPr>
        <w:t xml:space="preserve"> </w:t>
      </w:r>
      <w:r w:rsidRPr="001C05FD">
        <w:rPr>
          <w:rFonts w:ascii="Trebuchet MS" w:eastAsia="Times New Roman" w:hAnsi="Trebuchet MS" w:cs="Arial"/>
          <w:color w:val="595959" w:themeColor="text1" w:themeTint="A6"/>
          <w:sz w:val="20"/>
          <w:szCs w:val="20"/>
          <w:lang w:val="en-US" w:eastAsia="it-IT"/>
        </w:rPr>
        <w:t xml:space="preserve"> </w:t>
      </w:r>
    </w:p>
    <w:p w14:paraId="08DDA9E8" w14:textId="6EC762C8" w:rsidR="00FD7974" w:rsidRPr="001C05FD" w:rsidRDefault="001C05FD"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1C05FD">
        <w:rPr>
          <w:rFonts w:ascii="Trebuchet MS" w:eastAsia="Times New Roman" w:hAnsi="Trebuchet MS" w:cs="Arial"/>
          <w:color w:val="595959" w:themeColor="text1" w:themeTint="A6"/>
          <w:sz w:val="20"/>
          <w:szCs w:val="20"/>
          <w:lang w:val="en-US" w:eastAsia="it-IT"/>
        </w:rPr>
        <w:t>For services activities (+ 3.4% in volume against -4.4% in 2020), the full recovery of economic activities resulted in a recovery in the activities of first processing of products in 2021 (+ 4.8% in volume) which in 2020 had suffered the effects of the limitations imposed by the health emergency (-11.1% in volume).</w:t>
      </w:r>
      <w:r w:rsidR="00FD7974" w:rsidRPr="001C05FD">
        <w:rPr>
          <w:rFonts w:ascii="Trebuchet MS" w:eastAsia="Times New Roman" w:hAnsi="Trebuchet MS" w:cs="Arial"/>
          <w:color w:val="595959" w:themeColor="text1" w:themeTint="A6"/>
          <w:sz w:val="20"/>
          <w:szCs w:val="20"/>
          <w:lang w:val="en-US" w:eastAsia="it-IT"/>
        </w:rPr>
        <w:t xml:space="preserve"> </w:t>
      </w:r>
      <w:r w:rsidR="00821F3E">
        <w:rPr>
          <w:rFonts w:ascii="Trebuchet MS" w:eastAsia="Times New Roman" w:hAnsi="Trebuchet MS" w:cs="Arial"/>
          <w:color w:val="595959" w:themeColor="text1" w:themeTint="A6"/>
          <w:sz w:val="20"/>
          <w:szCs w:val="20"/>
          <w:lang w:val="en-US" w:eastAsia="it-IT"/>
        </w:rPr>
        <w:t>A</w:t>
      </w:r>
      <w:r w:rsidR="00821F3E" w:rsidRPr="001C05FD">
        <w:rPr>
          <w:rFonts w:ascii="Trebuchet MS" w:eastAsia="Times New Roman" w:hAnsi="Trebuchet MS" w:cs="Arial"/>
          <w:color w:val="595959" w:themeColor="text1" w:themeTint="A6"/>
          <w:sz w:val="20"/>
          <w:szCs w:val="20"/>
          <w:lang w:val="en-US" w:eastAsia="it-IT"/>
        </w:rPr>
        <w:t xml:space="preserve">lso increased </w:t>
      </w:r>
      <w:r w:rsidR="00821F3E">
        <w:rPr>
          <w:rFonts w:ascii="Trebuchet MS" w:eastAsia="Times New Roman" w:hAnsi="Trebuchet MS" w:cs="Arial"/>
          <w:color w:val="595959" w:themeColor="text1" w:themeTint="A6"/>
          <w:sz w:val="20"/>
          <w:szCs w:val="20"/>
          <w:lang w:val="en-US" w:eastAsia="it-IT"/>
        </w:rPr>
        <w:t>the a</w:t>
      </w:r>
      <w:r w:rsidRPr="001C05FD">
        <w:rPr>
          <w:rFonts w:ascii="Trebuchet MS" w:eastAsia="Times New Roman" w:hAnsi="Trebuchet MS" w:cs="Arial"/>
          <w:color w:val="595959" w:themeColor="text1" w:themeTint="A6"/>
          <w:sz w:val="20"/>
          <w:szCs w:val="20"/>
          <w:lang w:val="en-US" w:eastAsia="it-IT"/>
        </w:rPr>
        <w:t>ctivities related to the implementati</w:t>
      </w:r>
      <w:r>
        <w:rPr>
          <w:rFonts w:ascii="Trebuchet MS" w:eastAsia="Times New Roman" w:hAnsi="Trebuchet MS" w:cs="Arial"/>
          <w:color w:val="595959" w:themeColor="text1" w:themeTint="A6"/>
          <w:sz w:val="20"/>
          <w:szCs w:val="20"/>
          <w:lang w:val="en-US" w:eastAsia="it-IT"/>
        </w:rPr>
        <w:t>on of new crops and plantations</w:t>
      </w:r>
      <w:r w:rsidR="00821F3E">
        <w:rPr>
          <w:rFonts w:ascii="Trebuchet MS" w:eastAsia="Times New Roman" w:hAnsi="Trebuchet MS" w:cs="Arial"/>
          <w:color w:val="595959" w:themeColor="text1" w:themeTint="A6"/>
          <w:sz w:val="20"/>
          <w:szCs w:val="20"/>
          <w:lang w:val="en-US" w:eastAsia="it-IT"/>
        </w:rPr>
        <w:t xml:space="preserve"> </w:t>
      </w:r>
      <w:r w:rsidRPr="001C05FD">
        <w:rPr>
          <w:rFonts w:ascii="Trebuchet MS" w:eastAsia="Times New Roman" w:hAnsi="Trebuchet MS" w:cs="Arial"/>
          <w:color w:val="595959" w:themeColor="text1" w:themeTint="A6"/>
          <w:sz w:val="20"/>
          <w:szCs w:val="20"/>
          <w:lang w:val="en-US" w:eastAsia="it-IT"/>
        </w:rPr>
        <w:t>(+ 4.3%)</w:t>
      </w:r>
      <w:r>
        <w:rPr>
          <w:rFonts w:ascii="Trebuchet MS" w:eastAsia="Times New Roman" w:hAnsi="Trebuchet MS" w:cs="Arial"/>
          <w:color w:val="595959" w:themeColor="text1" w:themeTint="A6"/>
          <w:sz w:val="20"/>
          <w:szCs w:val="20"/>
          <w:lang w:val="en-US" w:eastAsia="it-IT"/>
        </w:rPr>
        <w:t xml:space="preserve">, </w:t>
      </w:r>
      <w:r w:rsidRPr="001C05FD">
        <w:rPr>
          <w:rFonts w:ascii="Trebuchet MS" w:eastAsia="Times New Roman" w:hAnsi="Trebuchet MS" w:cs="Arial"/>
          <w:color w:val="595959" w:themeColor="text1" w:themeTint="A6"/>
          <w:sz w:val="20"/>
          <w:szCs w:val="20"/>
          <w:lang w:val="en-US" w:eastAsia="it-IT"/>
        </w:rPr>
        <w:t xml:space="preserve">those in support of animal breeding (+ 3.2%) and those </w:t>
      </w:r>
      <w:r w:rsidR="00821F3E">
        <w:rPr>
          <w:rFonts w:ascii="Trebuchet MS" w:eastAsia="Times New Roman" w:hAnsi="Trebuchet MS" w:cs="Arial"/>
          <w:color w:val="595959" w:themeColor="text1" w:themeTint="A6"/>
          <w:sz w:val="20"/>
          <w:szCs w:val="20"/>
          <w:lang w:val="en-US" w:eastAsia="it-IT"/>
        </w:rPr>
        <w:t>in</w:t>
      </w:r>
      <w:r w:rsidR="00821F3E" w:rsidRPr="00821F3E">
        <w:rPr>
          <w:rFonts w:ascii="Trebuchet MS" w:eastAsia="Times New Roman" w:hAnsi="Trebuchet MS" w:cs="Arial"/>
          <w:color w:val="595959" w:themeColor="text1" w:themeTint="A6"/>
          <w:sz w:val="20"/>
          <w:szCs w:val="20"/>
          <w:lang w:val="en-US" w:eastAsia="it-IT"/>
        </w:rPr>
        <w:t xml:space="preserve"> contract work </w:t>
      </w:r>
      <w:r w:rsidRPr="001C05FD">
        <w:rPr>
          <w:rFonts w:ascii="Trebuchet MS" w:eastAsia="Times New Roman" w:hAnsi="Trebuchet MS" w:cs="Arial"/>
          <w:color w:val="595959" w:themeColor="text1" w:themeTint="A6"/>
          <w:sz w:val="20"/>
          <w:szCs w:val="20"/>
          <w:lang w:val="en-US" w:eastAsia="it-IT"/>
        </w:rPr>
        <w:t xml:space="preserve">(+2.8), which in any case do not they had suffered </w:t>
      </w:r>
      <w:proofErr w:type="gramStart"/>
      <w:r w:rsidRPr="001C05FD">
        <w:rPr>
          <w:rFonts w:ascii="Trebuchet MS" w:eastAsia="Times New Roman" w:hAnsi="Trebuchet MS" w:cs="Arial"/>
          <w:color w:val="595959" w:themeColor="text1" w:themeTint="A6"/>
          <w:sz w:val="20"/>
          <w:szCs w:val="20"/>
          <w:lang w:val="en-US" w:eastAsia="it-IT"/>
        </w:rPr>
        <w:t>particular repercussions</w:t>
      </w:r>
      <w:proofErr w:type="gramEnd"/>
      <w:r w:rsidRPr="001C05FD">
        <w:rPr>
          <w:rFonts w:ascii="Trebuchet MS" w:eastAsia="Times New Roman" w:hAnsi="Trebuchet MS" w:cs="Arial"/>
          <w:color w:val="595959" w:themeColor="text1" w:themeTint="A6"/>
          <w:sz w:val="20"/>
          <w:szCs w:val="20"/>
          <w:lang w:val="en-US" w:eastAsia="it-IT"/>
        </w:rPr>
        <w:t xml:space="preserve"> during the early stages of the pandemic crisis.</w:t>
      </w:r>
      <w:r w:rsidR="00FD7974" w:rsidRPr="001C05FD">
        <w:rPr>
          <w:rFonts w:ascii="Trebuchet MS" w:eastAsia="Times New Roman" w:hAnsi="Trebuchet MS" w:cs="Arial"/>
          <w:color w:val="595959" w:themeColor="text1" w:themeTint="A6"/>
          <w:sz w:val="20"/>
          <w:szCs w:val="20"/>
          <w:lang w:val="en-US" w:eastAsia="it-IT"/>
        </w:rPr>
        <w:t xml:space="preserve"> </w:t>
      </w:r>
    </w:p>
    <w:p w14:paraId="3ACBE6F3" w14:textId="7BDAA17B" w:rsidR="00FD7974" w:rsidRPr="00821F3E" w:rsidRDefault="00821F3E"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821F3E">
        <w:rPr>
          <w:rFonts w:ascii="Trebuchet MS" w:eastAsia="Times New Roman" w:hAnsi="Trebuchet MS" w:cs="Arial"/>
          <w:color w:val="595959" w:themeColor="text1" w:themeTint="A6"/>
          <w:sz w:val="20"/>
          <w:szCs w:val="20"/>
          <w:lang w:val="en-US" w:eastAsia="it-IT"/>
        </w:rPr>
        <w:t xml:space="preserve">The prices of secondary activities, </w:t>
      </w:r>
      <w:proofErr w:type="gramStart"/>
      <w:r w:rsidRPr="00821F3E">
        <w:rPr>
          <w:rFonts w:ascii="Trebuchet MS" w:eastAsia="Times New Roman" w:hAnsi="Trebuchet MS" w:cs="Arial"/>
          <w:color w:val="595959" w:themeColor="text1" w:themeTint="A6"/>
          <w:sz w:val="20"/>
          <w:szCs w:val="20"/>
          <w:lang w:val="en-US" w:eastAsia="it-IT"/>
        </w:rPr>
        <w:t>on the whole</w:t>
      </w:r>
      <w:proofErr w:type="gramEnd"/>
      <w:r w:rsidRPr="00821F3E">
        <w:rPr>
          <w:rFonts w:ascii="Trebuchet MS" w:eastAsia="Times New Roman" w:hAnsi="Trebuchet MS" w:cs="Arial"/>
          <w:color w:val="595959" w:themeColor="text1" w:themeTint="A6"/>
          <w:sz w:val="20"/>
          <w:szCs w:val="20"/>
          <w:lang w:val="en-US" w:eastAsia="it-IT"/>
        </w:rPr>
        <w:t>, grew in 2021 by 5.8%, those of services activities by 2.4%. In 2020, secondary activities had maintained substantial price stability (-0.2%) while those of services had had an increase of 1.1%.</w:t>
      </w:r>
      <w:r w:rsidR="00FD7974" w:rsidRPr="00821F3E">
        <w:rPr>
          <w:rFonts w:ascii="Trebuchet MS" w:eastAsia="Times New Roman" w:hAnsi="Trebuchet MS" w:cs="Arial"/>
          <w:color w:val="595959" w:themeColor="text1" w:themeTint="A6"/>
          <w:sz w:val="20"/>
          <w:szCs w:val="20"/>
          <w:lang w:val="en-US" w:eastAsia="it-IT"/>
        </w:rPr>
        <w:t xml:space="preserve"> </w:t>
      </w:r>
    </w:p>
    <w:p w14:paraId="7C9685E0" w14:textId="7F4FB47B" w:rsidR="00FE3268" w:rsidRPr="00821F3E" w:rsidRDefault="00821F3E"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821F3E">
        <w:rPr>
          <w:rFonts w:ascii="Trebuchet MS" w:eastAsia="Times New Roman" w:hAnsi="Trebuchet MS" w:cs="Arial"/>
          <w:color w:val="595959" w:themeColor="text1" w:themeTint="A6"/>
          <w:sz w:val="20"/>
          <w:szCs w:val="20"/>
          <w:lang w:val="en-US" w:eastAsia="it-IT"/>
        </w:rPr>
        <w:t>Among the secondary activities, to increase in 2021 were mainly those relating to the production of feed (+ 10.3% compared to 2020 when prices remained stable), the marketing / direct sales of products (+7.3 % while prices had decreased by 1% in 2020) and agritourism activities, which registered an increase (+ 6.5% compared to -1.8% in 2020), likewise those of renewable energy production (+ 6.5% against + 1.2% in 2020).</w:t>
      </w:r>
      <w:r w:rsidR="00FD7974" w:rsidRPr="00821F3E">
        <w:rPr>
          <w:rFonts w:ascii="Trebuchet MS" w:eastAsia="Times New Roman" w:hAnsi="Trebuchet MS" w:cs="Arial"/>
          <w:color w:val="595959" w:themeColor="text1" w:themeTint="A6"/>
          <w:sz w:val="20"/>
          <w:szCs w:val="20"/>
          <w:lang w:val="en-US" w:eastAsia="it-IT"/>
        </w:rPr>
        <w:t xml:space="preserve"> </w:t>
      </w:r>
      <w:r w:rsidRPr="00821F3E">
        <w:rPr>
          <w:rFonts w:ascii="Trebuchet MS" w:eastAsia="Times New Roman" w:hAnsi="Trebuchet MS" w:cs="Arial"/>
          <w:color w:val="595959" w:themeColor="text1" w:themeTint="A6"/>
          <w:sz w:val="20"/>
          <w:szCs w:val="20"/>
          <w:lang w:val="en-US" w:eastAsia="it-IT"/>
        </w:rPr>
        <w:t>Among the service activities, there was a significant increase in the prices of activities in support of animal breeding (+ 4.6%) and those for the first processing of products (+ 4.3%), after the prices remained substantially unchanged</w:t>
      </w:r>
      <w:r w:rsidRPr="00AA5D8E">
        <w:rPr>
          <w:rFonts w:ascii="Trebuchet MS" w:eastAsia="Times New Roman" w:hAnsi="Trebuchet MS" w:cs="Arial"/>
          <w:color w:val="595959" w:themeColor="text1" w:themeTint="A6"/>
          <w:sz w:val="20"/>
          <w:szCs w:val="20"/>
          <w:lang w:val="en-US" w:eastAsia="it-IT"/>
        </w:rPr>
        <w:t>.</w:t>
      </w:r>
    </w:p>
    <w:p w14:paraId="1A86E705" w14:textId="72671B27" w:rsidR="00E214FD" w:rsidRPr="00AA5D8E" w:rsidRDefault="00AA5D8E" w:rsidP="00E214FD">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AA5D8E">
        <w:rPr>
          <w:rFonts w:ascii="Trebuchet MS" w:eastAsia="Times New Roman" w:hAnsi="Trebuchet MS" w:cs="Arial"/>
          <w:color w:val="595959" w:themeColor="text1" w:themeTint="A6"/>
          <w:sz w:val="20"/>
          <w:szCs w:val="20"/>
          <w:lang w:val="en-US" w:eastAsia="it-IT"/>
        </w:rPr>
        <w:t xml:space="preserve">The total value of secondary and </w:t>
      </w:r>
      <w:r>
        <w:rPr>
          <w:rFonts w:ascii="Trebuchet MS" w:eastAsia="Times New Roman" w:hAnsi="Trebuchet MS" w:cs="Arial"/>
          <w:color w:val="595959" w:themeColor="text1" w:themeTint="A6"/>
          <w:sz w:val="20"/>
          <w:szCs w:val="20"/>
          <w:lang w:val="en-US" w:eastAsia="it-IT"/>
        </w:rPr>
        <w:t>services</w:t>
      </w:r>
      <w:r w:rsidRPr="00AA5D8E">
        <w:rPr>
          <w:rFonts w:ascii="Trebuchet MS" w:eastAsia="Times New Roman" w:hAnsi="Trebuchet MS" w:cs="Arial"/>
          <w:color w:val="595959" w:themeColor="text1" w:themeTint="A6"/>
          <w:sz w:val="20"/>
          <w:szCs w:val="20"/>
          <w:lang w:val="en-US" w:eastAsia="it-IT"/>
        </w:rPr>
        <w:t xml:space="preserve"> activities has doubled over the last twenty years, from € 6.3 billion in 2000 to € 12.5 billion in 2021; their weight on the overall production value of the sector has gone from around 14% in 2000 to over 20% in recent years.</w:t>
      </w:r>
      <w:r w:rsidR="00E214FD" w:rsidRPr="00AA5D8E">
        <w:rPr>
          <w:rFonts w:ascii="Trebuchet MS" w:eastAsia="Times New Roman" w:hAnsi="Trebuchet MS" w:cs="Arial"/>
          <w:color w:val="595959" w:themeColor="text1" w:themeTint="A6"/>
          <w:sz w:val="20"/>
          <w:szCs w:val="20"/>
          <w:lang w:val="en-US" w:eastAsia="it-IT"/>
        </w:rPr>
        <w:t xml:space="preserve"> </w:t>
      </w:r>
    </w:p>
    <w:p w14:paraId="3BB32459" w14:textId="7D72170E" w:rsidR="00951B03" w:rsidRPr="00AA5D8E" w:rsidRDefault="00AA5D8E" w:rsidP="009D6727">
      <w:pPr>
        <w:widowControl/>
        <w:suppressAutoHyphens/>
        <w:autoSpaceDE/>
        <w:spacing w:after="120"/>
        <w:jc w:val="both"/>
        <w:textAlignment w:val="baseline"/>
        <w:rPr>
          <w:rFonts w:ascii="Arial Narrow" w:hAnsi="Arial Narrow" w:cs="Arial"/>
          <w:b/>
          <w:iCs/>
          <w:noProof/>
          <w:color w:val="595959" w:themeColor="text1" w:themeTint="A6"/>
          <w:lang w:val="en-US"/>
        </w:rPr>
      </w:pPr>
      <w:r w:rsidRPr="00AA5D8E">
        <w:rPr>
          <w:rFonts w:ascii="Trebuchet MS" w:eastAsia="Times New Roman" w:hAnsi="Trebuchet MS" w:cs="Arial"/>
          <w:color w:val="595959" w:themeColor="text1" w:themeTint="A6"/>
          <w:sz w:val="20"/>
          <w:szCs w:val="20"/>
          <w:lang w:val="en-US" w:eastAsia="it-IT"/>
        </w:rPr>
        <w:t>The development of activities that increase the multifunctional role of agriculture, with the integration on the farm of the transformation processes of agricultural products and direct sales together with forms of diversification such as agritourism or energy production, have been added all those initiatives in terms of sustainability and landscape protection.</w:t>
      </w:r>
      <w:r w:rsidR="00E214FD" w:rsidRPr="00AA5D8E">
        <w:rPr>
          <w:rFonts w:ascii="Trebuchet MS" w:eastAsia="Times New Roman" w:hAnsi="Trebuchet MS" w:cs="Arial"/>
          <w:color w:val="595959" w:themeColor="text1" w:themeTint="A6"/>
          <w:sz w:val="20"/>
          <w:szCs w:val="20"/>
          <w:lang w:val="en-US" w:eastAsia="it-IT"/>
        </w:rPr>
        <w:t xml:space="preserve"> </w:t>
      </w:r>
      <w:r w:rsidRPr="00AA5D8E">
        <w:rPr>
          <w:rFonts w:ascii="Trebuchet MS" w:eastAsia="Times New Roman" w:hAnsi="Trebuchet MS" w:cs="Arial"/>
          <w:color w:val="595959" w:themeColor="text1" w:themeTint="A6"/>
          <w:sz w:val="20"/>
          <w:szCs w:val="20"/>
          <w:lang w:val="en-US" w:eastAsia="it-IT"/>
        </w:rPr>
        <w:t xml:space="preserve">From an environmental point of view, in fact, the role played by the agricultural sector in the processes of limiting emissions, mitigating climate </w:t>
      </w:r>
      <w:proofErr w:type="gramStart"/>
      <w:r w:rsidRPr="00AA5D8E">
        <w:rPr>
          <w:rFonts w:ascii="Trebuchet MS" w:eastAsia="Times New Roman" w:hAnsi="Trebuchet MS" w:cs="Arial"/>
          <w:color w:val="595959" w:themeColor="text1" w:themeTint="A6"/>
          <w:sz w:val="20"/>
          <w:szCs w:val="20"/>
          <w:lang w:val="en-US" w:eastAsia="it-IT"/>
        </w:rPr>
        <w:t>change</w:t>
      </w:r>
      <w:proofErr w:type="gramEnd"/>
      <w:r w:rsidRPr="00AA5D8E">
        <w:rPr>
          <w:rFonts w:ascii="Trebuchet MS" w:eastAsia="Times New Roman" w:hAnsi="Trebuchet MS" w:cs="Arial"/>
          <w:color w:val="595959" w:themeColor="text1" w:themeTint="A6"/>
          <w:sz w:val="20"/>
          <w:szCs w:val="20"/>
          <w:lang w:val="en-US" w:eastAsia="it-IT"/>
        </w:rPr>
        <w:t xml:space="preserve"> and managing natural resources (soil, water and biodiversity) is increasingly crucial.</w:t>
      </w:r>
    </w:p>
    <w:p w14:paraId="2BFA0B44" w14:textId="77777777" w:rsidR="00951B03" w:rsidRPr="00AA5D8E" w:rsidRDefault="00951B03" w:rsidP="00D96752">
      <w:pPr>
        <w:spacing w:after="120"/>
        <w:jc w:val="both"/>
        <w:rPr>
          <w:rFonts w:ascii="Arial Narrow" w:hAnsi="Arial Narrow" w:cs="Arial"/>
          <w:b/>
          <w:iCs/>
          <w:noProof/>
          <w:color w:val="595959" w:themeColor="text1" w:themeTint="A6"/>
          <w:lang w:val="en-US"/>
        </w:rPr>
      </w:pPr>
    </w:p>
    <w:p w14:paraId="54483A4A" w14:textId="0E26950F" w:rsidR="00F913AA" w:rsidRPr="00FD3846" w:rsidRDefault="00F913AA" w:rsidP="00D96752">
      <w:pPr>
        <w:spacing w:after="120"/>
        <w:jc w:val="both"/>
        <w:rPr>
          <w:rFonts w:ascii="Arial Narrow" w:hAnsi="Arial Narrow" w:cs="Arial"/>
          <w:iCs/>
          <w:noProof/>
          <w:color w:val="595959" w:themeColor="text1" w:themeTint="A6"/>
          <w:lang w:val="en-US"/>
        </w:rPr>
      </w:pPr>
      <w:r w:rsidRPr="00FD3846">
        <w:rPr>
          <w:rFonts w:ascii="Arial Narrow" w:hAnsi="Arial Narrow" w:cs="Arial"/>
          <w:b/>
          <w:iCs/>
          <w:noProof/>
          <w:color w:val="595959" w:themeColor="text1" w:themeTint="A6"/>
          <w:lang w:val="en-US"/>
        </w:rPr>
        <w:t>FIGUR</w:t>
      </w:r>
      <w:r w:rsidR="004F4B41" w:rsidRPr="00FD3846">
        <w:rPr>
          <w:rFonts w:ascii="Arial Narrow" w:hAnsi="Arial Narrow" w:cs="Arial"/>
          <w:b/>
          <w:iCs/>
          <w:noProof/>
          <w:color w:val="595959" w:themeColor="text1" w:themeTint="A6"/>
          <w:lang w:val="en-US"/>
        </w:rPr>
        <w:t>E</w:t>
      </w:r>
      <w:r w:rsidRPr="00FD3846">
        <w:rPr>
          <w:rFonts w:ascii="Arial Narrow" w:hAnsi="Arial Narrow" w:cs="Arial"/>
          <w:b/>
          <w:iCs/>
          <w:noProof/>
          <w:color w:val="595959" w:themeColor="text1" w:themeTint="A6"/>
          <w:lang w:val="en-US"/>
        </w:rPr>
        <w:t xml:space="preserve"> 9. </w:t>
      </w:r>
      <w:r w:rsidR="00FD3846" w:rsidRPr="00FD3846">
        <w:rPr>
          <w:rFonts w:ascii="Arial Narrow" w:hAnsi="Arial Narrow" w:cs="Arial"/>
          <w:b/>
          <w:iCs/>
          <w:noProof/>
          <w:color w:val="595959" w:themeColor="text1" w:themeTint="A6"/>
          <w:lang w:val="en-US"/>
        </w:rPr>
        <w:t xml:space="preserve">PERFORMANCE OF SERVICES AGRICULTURE </w:t>
      </w:r>
      <w:r w:rsidR="00FD3846">
        <w:rPr>
          <w:rFonts w:ascii="Arial Narrow" w:hAnsi="Arial Narrow" w:cs="Arial"/>
          <w:b/>
          <w:iCs/>
          <w:noProof/>
          <w:color w:val="595959" w:themeColor="text1" w:themeTint="A6"/>
          <w:lang w:val="en-US"/>
        </w:rPr>
        <w:t>ACTIVITIES</w:t>
      </w:r>
      <w:r w:rsidR="00D96752" w:rsidRPr="00FD3846">
        <w:rPr>
          <w:rFonts w:ascii="Arial Narrow" w:hAnsi="Arial Narrow" w:cs="Arial"/>
          <w:b/>
          <w:iCs/>
          <w:noProof/>
          <w:color w:val="595959" w:themeColor="text1" w:themeTint="A6"/>
          <w:lang w:val="en-US"/>
        </w:rPr>
        <w:t xml:space="preserve">. </w:t>
      </w:r>
      <w:r w:rsidR="00FD3846">
        <w:rPr>
          <w:rFonts w:ascii="Arial Narrow" w:hAnsi="Arial Narrow" w:cs="Arial"/>
          <w:iCs/>
          <w:noProof/>
          <w:color w:val="595959" w:themeColor="text1" w:themeTint="A6"/>
          <w:lang w:val="en-US"/>
        </w:rPr>
        <w:t xml:space="preserve">Years </w:t>
      </w:r>
      <w:r w:rsidR="00FD3846" w:rsidRPr="00FD3846">
        <w:rPr>
          <w:rFonts w:ascii="Arial Narrow" w:hAnsi="Arial Narrow" w:cs="Arial"/>
          <w:iCs/>
          <w:noProof/>
          <w:color w:val="595959" w:themeColor="text1" w:themeTint="A6"/>
          <w:lang w:val="en-US"/>
        </w:rPr>
        <w:t>995-2021, current values in millions of euros</w:t>
      </w:r>
    </w:p>
    <w:p w14:paraId="565DC117" w14:textId="2F2B1DAB" w:rsidR="00D96752" w:rsidRDefault="00FD3846" w:rsidP="00D96752">
      <w:pPr>
        <w:spacing w:after="120"/>
        <w:jc w:val="both"/>
        <w:rPr>
          <w:rFonts w:ascii="Arial Narrow" w:hAnsi="Arial Narrow" w:cs="Arial"/>
          <w:iCs/>
          <w:noProof/>
          <w:color w:val="1F497D" w:themeColor="text2"/>
          <w:sz w:val="20"/>
          <w:szCs w:val="20"/>
        </w:rPr>
      </w:pPr>
      <w:r>
        <w:rPr>
          <w:noProof/>
          <w:lang w:eastAsia="it-IT"/>
        </w:rPr>
        <w:drawing>
          <wp:inline distT="0" distB="0" distL="0" distR="0" wp14:anchorId="241DF733" wp14:editId="2B5203E9">
            <wp:extent cx="6122670" cy="2160000"/>
            <wp:effectExtent l="0" t="0" r="11430" b="12065"/>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2481B2" w14:textId="0C977223" w:rsidR="009D6727" w:rsidRDefault="009D6727" w:rsidP="00F913AA">
      <w:pPr>
        <w:jc w:val="both"/>
        <w:rPr>
          <w:rFonts w:ascii="Arial Narrow" w:hAnsi="Arial Narrow" w:cs="Arial"/>
          <w:iCs/>
          <w:noProof/>
          <w:color w:val="1F497D" w:themeColor="text2"/>
          <w:sz w:val="20"/>
          <w:szCs w:val="20"/>
        </w:rPr>
      </w:pPr>
      <w:r>
        <w:rPr>
          <w:rFonts w:ascii="Arial Narrow" w:hAnsi="Arial Narrow" w:cs="Arial"/>
          <w:iCs/>
          <w:noProof/>
          <w:color w:val="1F497D" w:themeColor="text2"/>
          <w:sz w:val="20"/>
          <w:szCs w:val="20"/>
        </w:rPr>
        <w:br w:type="page"/>
      </w:r>
    </w:p>
    <w:p w14:paraId="2902688E" w14:textId="77777777" w:rsidR="00F913AA" w:rsidRPr="0067173D" w:rsidRDefault="00F913AA" w:rsidP="00F913AA">
      <w:pPr>
        <w:jc w:val="both"/>
        <w:rPr>
          <w:rFonts w:ascii="Arial Narrow" w:hAnsi="Arial Narrow" w:cs="Arial"/>
          <w:iCs/>
          <w:noProof/>
          <w:color w:val="1F497D" w:themeColor="text2"/>
          <w:sz w:val="20"/>
          <w:szCs w:val="20"/>
        </w:rPr>
      </w:pPr>
    </w:p>
    <w:p w14:paraId="2DF74218" w14:textId="77777777" w:rsidR="00F75E5D" w:rsidRDefault="00F75E5D" w:rsidP="00D96752">
      <w:pPr>
        <w:spacing w:after="120"/>
        <w:jc w:val="both"/>
        <w:rPr>
          <w:rFonts w:ascii="Arial Narrow" w:hAnsi="Arial Narrow" w:cs="Arial"/>
          <w:b/>
          <w:iCs/>
          <w:noProof/>
          <w:color w:val="595959" w:themeColor="text1" w:themeTint="A6"/>
        </w:rPr>
      </w:pPr>
    </w:p>
    <w:p w14:paraId="63290A89" w14:textId="47906120" w:rsidR="00F913AA" w:rsidRPr="004216ED" w:rsidRDefault="004216ED" w:rsidP="0087744D">
      <w:pPr>
        <w:spacing w:after="120"/>
        <w:rPr>
          <w:rFonts w:ascii="Arial Narrow" w:hAnsi="Arial Narrow" w:cs="Arial"/>
          <w:iCs/>
          <w:noProof/>
          <w:color w:val="595959" w:themeColor="text1" w:themeTint="A6"/>
          <w:lang w:val="en-US"/>
        </w:rPr>
      </w:pPr>
      <w:r w:rsidRPr="00BB5574">
        <w:rPr>
          <w:rFonts w:ascii="Arial Narrow" w:hAnsi="Arial Narrow" w:cs="Arial"/>
          <w:b/>
          <w:iCs/>
          <w:noProof/>
          <w:color w:val="595959" w:themeColor="text1" w:themeTint="A6"/>
          <w:lang w:val="en-US"/>
        </w:rPr>
        <w:t>FIGURE</w:t>
      </w:r>
      <w:r w:rsidR="00F913AA" w:rsidRPr="00BB5574">
        <w:rPr>
          <w:rFonts w:ascii="Arial Narrow" w:hAnsi="Arial Narrow" w:cs="Arial"/>
          <w:b/>
          <w:iCs/>
          <w:noProof/>
          <w:color w:val="595959" w:themeColor="text1" w:themeTint="A6"/>
          <w:lang w:val="en-US"/>
        </w:rPr>
        <w:t xml:space="preserve">  10. </w:t>
      </w:r>
      <w:r w:rsidRPr="00BB5574">
        <w:rPr>
          <w:rFonts w:ascii="Arial Narrow" w:hAnsi="Arial Narrow" w:cs="Arial"/>
          <w:b/>
          <w:iCs/>
          <w:noProof/>
          <w:color w:val="595959" w:themeColor="text1" w:themeTint="A6"/>
          <w:lang w:val="en-US"/>
        </w:rPr>
        <w:t>PERFORMANCE OF SECONDARY AGRICULTURE ACTIVITIES</w:t>
      </w:r>
      <w:r w:rsidR="00D96752" w:rsidRPr="00BB5574">
        <w:rPr>
          <w:rFonts w:ascii="Arial Narrow" w:hAnsi="Arial Narrow" w:cs="Arial"/>
          <w:b/>
          <w:iCs/>
          <w:noProof/>
          <w:color w:val="595959" w:themeColor="text1" w:themeTint="A6"/>
          <w:lang w:val="en-US"/>
        </w:rPr>
        <w:t xml:space="preserve">. </w:t>
      </w:r>
      <w:r w:rsidRPr="004216ED">
        <w:rPr>
          <w:rFonts w:ascii="Arial Narrow" w:hAnsi="Arial Narrow" w:cs="Arial"/>
          <w:iCs/>
          <w:noProof/>
          <w:color w:val="595959" w:themeColor="text1" w:themeTint="A6"/>
          <w:lang w:val="en-US"/>
        </w:rPr>
        <w:t>Years 995-2021, current values in millions of euros</w:t>
      </w:r>
    </w:p>
    <w:p w14:paraId="5D90750C" w14:textId="501005C0" w:rsidR="0028159B" w:rsidRPr="00BA6BE2" w:rsidRDefault="004216ED" w:rsidP="00BA6BE2">
      <w:pPr>
        <w:widowControl/>
        <w:suppressAutoHyphens/>
        <w:autoSpaceDE/>
        <w:spacing w:after="120"/>
        <w:jc w:val="both"/>
        <w:textAlignment w:val="baseline"/>
        <w:rPr>
          <w:rFonts w:ascii="Trebuchet MS" w:eastAsia="Times New Roman" w:hAnsi="Trebuchet MS" w:cs="Arial"/>
          <w:color w:val="595959" w:themeColor="text1" w:themeTint="A6"/>
          <w:sz w:val="20"/>
          <w:szCs w:val="20"/>
          <w:lang w:eastAsia="it-IT"/>
        </w:rPr>
      </w:pPr>
      <w:r>
        <w:rPr>
          <w:noProof/>
          <w:lang w:eastAsia="it-IT"/>
        </w:rPr>
        <w:drawing>
          <wp:inline distT="0" distB="0" distL="0" distR="0" wp14:anchorId="11B986D9" wp14:editId="1E00B9C5">
            <wp:extent cx="6122670" cy="2160000"/>
            <wp:effectExtent l="0" t="0" r="11430" b="12065"/>
            <wp:docPr id="23"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B468A7" w14:textId="77777777" w:rsidR="00B1093B" w:rsidRDefault="00B1093B" w:rsidP="006A3A97">
      <w:pPr>
        <w:widowControl/>
        <w:suppressAutoHyphens/>
        <w:autoSpaceDE/>
        <w:spacing w:after="120"/>
        <w:jc w:val="both"/>
        <w:textAlignment w:val="baseline"/>
        <w:rPr>
          <w:rFonts w:ascii="Times New Roman" w:eastAsia="Times New Roman" w:hAnsi="Times New Roman" w:cs="Times New Roman"/>
          <w:color w:val="000000"/>
          <w:sz w:val="24"/>
          <w:szCs w:val="24"/>
          <w:lang w:eastAsia="it-IT"/>
        </w:rPr>
      </w:pPr>
    </w:p>
    <w:p w14:paraId="74383311" w14:textId="7437147C" w:rsidR="00D87C8F" w:rsidRPr="00AC59AF" w:rsidRDefault="00AC59AF" w:rsidP="006A3A97">
      <w:pPr>
        <w:widowControl/>
        <w:suppressAutoHyphens/>
        <w:autoSpaceDE/>
        <w:spacing w:after="120"/>
        <w:ind w:right="-34"/>
        <w:jc w:val="both"/>
        <w:textAlignment w:val="baseline"/>
        <w:rPr>
          <w:rStyle w:val="fontstyle01"/>
          <w:rFonts w:ascii="Trebuchet MS" w:hAnsi="Trebuchet MS"/>
          <w:iCs/>
          <w:color w:val="595959" w:themeColor="text1" w:themeTint="A6"/>
          <w:lang w:val="en-US"/>
        </w:rPr>
      </w:pPr>
      <w:r w:rsidRPr="00AC59AF">
        <w:rPr>
          <w:rStyle w:val="fontstyle01"/>
          <w:rFonts w:ascii="Trebuchet MS" w:hAnsi="Trebuchet MS"/>
          <w:iCs/>
          <w:color w:val="595959" w:themeColor="text1" w:themeTint="A6"/>
          <w:lang w:val="en-US"/>
        </w:rPr>
        <w:t xml:space="preserve">The </w:t>
      </w:r>
      <w:r>
        <w:rPr>
          <w:rStyle w:val="fontstyle01"/>
          <w:rFonts w:ascii="Trebuchet MS" w:hAnsi="Trebuchet MS"/>
          <w:iCs/>
          <w:color w:val="595959" w:themeColor="text1" w:themeTint="A6"/>
          <w:lang w:val="en-US"/>
        </w:rPr>
        <w:t xml:space="preserve">high </w:t>
      </w:r>
      <w:r w:rsidRPr="00AC59AF">
        <w:rPr>
          <w:rStyle w:val="fontstyle01"/>
          <w:rFonts w:ascii="Trebuchet MS" w:hAnsi="Trebuchet MS"/>
          <w:iCs/>
          <w:color w:val="595959" w:themeColor="text1" w:themeTint="A6"/>
          <w:lang w:val="en-US"/>
        </w:rPr>
        <w:t xml:space="preserve">increase in input costs penalizes the </w:t>
      </w:r>
      <w:r>
        <w:rPr>
          <w:rStyle w:val="fontstyle01"/>
          <w:rFonts w:ascii="Trebuchet MS" w:hAnsi="Trebuchet MS"/>
          <w:iCs/>
          <w:color w:val="595959" w:themeColor="text1" w:themeTint="A6"/>
          <w:lang w:val="en-US"/>
        </w:rPr>
        <w:t>market</w:t>
      </w:r>
      <w:r w:rsidRPr="00AC59AF">
        <w:rPr>
          <w:rStyle w:val="fontstyle01"/>
          <w:rFonts w:ascii="Trebuchet MS" w:hAnsi="Trebuchet MS"/>
          <w:iCs/>
          <w:color w:val="595959" w:themeColor="text1" w:themeTint="A6"/>
          <w:lang w:val="en-US"/>
        </w:rPr>
        <w:t xml:space="preserve"> </w:t>
      </w:r>
      <w:r>
        <w:rPr>
          <w:rStyle w:val="fontstyle01"/>
          <w:rFonts w:ascii="Trebuchet MS" w:hAnsi="Trebuchet MS"/>
          <w:iCs/>
          <w:color w:val="595959" w:themeColor="text1" w:themeTint="A6"/>
          <w:lang w:val="en-US"/>
        </w:rPr>
        <w:t>ratio</w:t>
      </w:r>
    </w:p>
    <w:p w14:paraId="3FB0752A" w14:textId="670C72BA" w:rsidR="00F130A3" w:rsidRPr="00AC59AF" w:rsidRDefault="00AC59AF" w:rsidP="006A3A97">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AC59AF">
        <w:rPr>
          <w:rFonts w:ascii="Trebuchet MS" w:eastAsia="Times New Roman" w:hAnsi="Trebuchet MS" w:cs="Arial"/>
          <w:color w:val="595959" w:themeColor="text1" w:themeTint="A6"/>
          <w:sz w:val="20"/>
          <w:szCs w:val="20"/>
          <w:lang w:val="en-US" w:eastAsia="it-IT"/>
        </w:rPr>
        <w:t>In 2021 the goods and services used by farmers in the production process (intermediate consumption) showed only a modest increase in volume compared to the previous year (+ 0.4%), but their cost was heavily influenced by the sharp rise in prices (Table 5).</w:t>
      </w:r>
      <w:r w:rsidR="00F130A3" w:rsidRPr="00AC59AF">
        <w:rPr>
          <w:rFonts w:ascii="Trebuchet MS" w:eastAsia="Times New Roman" w:hAnsi="Trebuchet MS" w:cs="Arial"/>
          <w:color w:val="595959" w:themeColor="text1" w:themeTint="A6"/>
          <w:sz w:val="20"/>
          <w:szCs w:val="20"/>
          <w:lang w:val="en-US" w:eastAsia="it-IT"/>
        </w:rPr>
        <w:t xml:space="preserve"> </w:t>
      </w:r>
    </w:p>
    <w:p w14:paraId="6AD5D3CD" w14:textId="12B9708C" w:rsidR="00F75E5D" w:rsidRPr="00AC59AF" w:rsidRDefault="00AC59AF" w:rsidP="006A3A97">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AC59AF">
        <w:rPr>
          <w:rFonts w:ascii="Trebuchet MS" w:eastAsia="Times New Roman" w:hAnsi="Trebuchet MS" w:cs="Arial"/>
          <w:color w:val="595959" w:themeColor="text1" w:themeTint="A6"/>
          <w:sz w:val="20"/>
          <w:szCs w:val="20"/>
          <w:lang w:val="en-US" w:eastAsia="it-IT"/>
        </w:rPr>
        <w:t xml:space="preserve">Overall, the price of production inputs grew by 8.7% (-0.8% in 2020), an unprecedented rise in the last decade: to find an equally significant one, you </w:t>
      </w:r>
      <w:proofErr w:type="gramStart"/>
      <w:r w:rsidRPr="00AC59AF">
        <w:rPr>
          <w:rFonts w:ascii="Trebuchet MS" w:eastAsia="Times New Roman" w:hAnsi="Trebuchet MS" w:cs="Arial"/>
          <w:color w:val="595959" w:themeColor="text1" w:themeTint="A6"/>
          <w:sz w:val="20"/>
          <w:szCs w:val="20"/>
          <w:lang w:val="en-US" w:eastAsia="it-IT"/>
        </w:rPr>
        <w:t>have to</w:t>
      </w:r>
      <w:proofErr w:type="gramEnd"/>
      <w:r w:rsidRPr="00AC59AF">
        <w:rPr>
          <w:rFonts w:ascii="Trebuchet MS" w:eastAsia="Times New Roman" w:hAnsi="Trebuchet MS" w:cs="Arial"/>
          <w:color w:val="595959" w:themeColor="text1" w:themeTint="A6"/>
          <w:sz w:val="20"/>
          <w:szCs w:val="20"/>
          <w:lang w:val="en-US" w:eastAsia="it-IT"/>
        </w:rPr>
        <w:t xml:space="preserve"> go back to 2008, when 'was an 11.2% increase in the prices of production inputs.</w:t>
      </w:r>
      <w:r w:rsidR="00F75E5D" w:rsidRPr="00AC59AF">
        <w:rPr>
          <w:rFonts w:ascii="Trebuchet MS" w:eastAsia="Times New Roman" w:hAnsi="Trebuchet MS" w:cs="Arial"/>
          <w:color w:val="595959" w:themeColor="text1" w:themeTint="A6"/>
          <w:sz w:val="20"/>
          <w:szCs w:val="20"/>
          <w:lang w:val="en-US" w:eastAsia="it-IT"/>
        </w:rPr>
        <w:t xml:space="preserve"> </w:t>
      </w:r>
      <w:r w:rsidRPr="00AC59AF">
        <w:rPr>
          <w:rFonts w:ascii="Trebuchet MS" w:eastAsia="Times New Roman" w:hAnsi="Trebuchet MS" w:cs="Arial"/>
          <w:color w:val="595959" w:themeColor="text1" w:themeTint="A6"/>
          <w:sz w:val="20"/>
          <w:szCs w:val="20"/>
          <w:lang w:val="en-US" w:eastAsia="it-IT"/>
        </w:rPr>
        <w:t>The progressive and rapid growth was concentrated above all starting from the second half of 2021 and concerned</w:t>
      </w:r>
      <w:proofErr w:type="gramStart"/>
      <w:r w:rsidRPr="00AC59AF">
        <w:rPr>
          <w:rFonts w:ascii="Trebuchet MS" w:eastAsia="Times New Roman" w:hAnsi="Trebuchet MS" w:cs="Arial"/>
          <w:color w:val="595959" w:themeColor="text1" w:themeTint="A6"/>
          <w:sz w:val="20"/>
          <w:szCs w:val="20"/>
          <w:lang w:val="en-US" w:eastAsia="it-IT"/>
        </w:rPr>
        <w:t>, in particular, fertilizers</w:t>
      </w:r>
      <w:proofErr w:type="gramEnd"/>
      <w:r w:rsidRPr="00AC59AF">
        <w:rPr>
          <w:rFonts w:ascii="Trebuchet MS" w:eastAsia="Times New Roman" w:hAnsi="Trebuchet MS" w:cs="Arial"/>
          <w:color w:val="595959" w:themeColor="text1" w:themeTint="A6"/>
          <w:sz w:val="20"/>
          <w:szCs w:val="20"/>
          <w:lang w:val="en-US" w:eastAsia="it-IT"/>
        </w:rPr>
        <w:t xml:space="preserve"> (+ 21.2%), animal feed (+ 15.5%) and energy (+ 13.5%).</w:t>
      </w:r>
      <w:r w:rsidR="00F75E5D" w:rsidRPr="00AC59AF">
        <w:rPr>
          <w:rFonts w:ascii="Trebuchet MS" w:eastAsia="Times New Roman" w:hAnsi="Trebuchet MS" w:cs="Arial"/>
          <w:color w:val="595959" w:themeColor="text1" w:themeTint="A6"/>
          <w:sz w:val="20"/>
          <w:szCs w:val="20"/>
          <w:lang w:val="en-US" w:eastAsia="it-IT"/>
        </w:rPr>
        <w:t xml:space="preserve"> </w:t>
      </w:r>
    </w:p>
    <w:p w14:paraId="282B4740" w14:textId="3F514F1B" w:rsidR="00F75E5D" w:rsidRPr="00AC59AF" w:rsidRDefault="00AC59AF" w:rsidP="006A3A97">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AC59AF">
        <w:rPr>
          <w:rFonts w:ascii="Trebuchet MS" w:eastAsia="Times New Roman" w:hAnsi="Trebuchet MS" w:cs="Arial"/>
          <w:color w:val="595959" w:themeColor="text1" w:themeTint="A6"/>
          <w:sz w:val="20"/>
          <w:szCs w:val="20"/>
          <w:lang w:val="en-US" w:eastAsia="it-IT"/>
        </w:rPr>
        <w:t>The weight of energy consumption in the agricultural system is particularly relevant.</w:t>
      </w:r>
      <w:r w:rsidR="00F75E5D" w:rsidRPr="00AC59AF">
        <w:rPr>
          <w:rFonts w:ascii="Trebuchet MS" w:eastAsia="Times New Roman" w:hAnsi="Trebuchet MS" w:cs="Arial"/>
          <w:color w:val="595959" w:themeColor="text1" w:themeTint="A6"/>
          <w:sz w:val="20"/>
          <w:szCs w:val="20"/>
          <w:lang w:val="en-US" w:eastAsia="it-IT"/>
        </w:rPr>
        <w:t xml:space="preserve"> </w:t>
      </w:r>
      <w:r w:rsidRPr="00AC59AF">
        <w:rPr>
          <w:rFonts w:ascii="Trebuchet MS" w:eastAsia="Times New Roman" w:hAnsi="Trebuchet MS" w:cs="Arial"/>
          <w:color w:val="595959" w:themeColor="text1" w:themeTint="A6"/>
          <w:sz w:val="20"/>
          <w:szCs w:val="20"/>
          <w:lang w:val="en-US" w:eastAsia="it-IT"/>
        </w:rPr>
        <w:t>Direct uses of energy for cultivation operations include fuels for mechanical tools used for grubbing, rolling, sowing and fertilization, heating of greenhouses for flowers, nurseries and vegetables and transport, while indirect consumption is those deriving from plant protection, fertilizers and fertilizers and use of plastic materials.</w:t>
      </w:r>
      <w:r w:rsidR="00F75E5D" w:rsidRPr="00AC59AF">
        <w:rPr>
          <w:rFonts w:ascii="Trebuchet MS" w:eastAsia="Times New Roman" w:hAnsi="Trebuchet MS" w:cs="Arial"/>
          <w:color w:val="595959" w:themeColor="text1" w:themeTint="A6"/>
          <w:sz w:val="20"/>
          <w:szCs w:val="20"/>
          <w:lang w:val="en-US" w:eastAsia="it-IT"/>
        </w:rPr>
        <w:t xml:space="preserve"> </w:t>
      </w:r>
    </w:p>
    <w:p w14:paraId="1F592BC2" w14:textId="1B61B8F8" w:rsidR="00F75E5D" w:rsidRDefault="004C462F" w:rsidP="006A3A97">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4C462F">
        <w:rPr>
          <w:rFonts w:ascii="Trebuchet MS" w:eastAsia="Times New Roman" w:hAnsi="Trebuchet MS" w:cs="Arial"/>
          <w:color w:val="595959" w:themeColor="text1" w:themeTint="A6"/>
          <w:sz w:val="20"/>
          <w:szCs w:val="20"/>
          <w:lang w:val="en-US" w:eastAsia="it-IT"/>
        </w:rPr>
        <w:t>The cost of re-uses, that is the part of agricultural production reused in the production cycles, also increased strongly (+ 17.6%), after the decreasing trend of previous years.</w:t>
      </w:r>
      <w:r w:rsidR="00F75E5D" w:rsidRPr="004C462F">
        <w:rPr>
          <w:rFonts w:ascii="Trebuchet MS" w:eastAsia="Times New Roman" w:hAnsi="Trebuchet MS" w:cs="Arial"/>
          <w:color w:val="595959" w:themeColor="text1" w:themeTint="A6"/>
          <w:sz w:val="20"/>
          <w:szCs w:val="20"/>
          <w:lang w:val="en-US" w:eastAsia="it-IT"/>
        </w:rPr>
        <w:t xml:space="preserve"> </w:t>
      </w:r>
      <w:r w:rsidRPr="004C462F">
        <w:rPr>
          <w:rFonts w:ascii="Trebuchet MS" w:eastAsia="Times New Roman" w:hAnsi="Trebuchet MS" w:cs="Arial"/>
          <w:color w:val="595959" w:themeColor="text1" w:themeTint="A6"/>
          <w:sz w:val="20"/>
          <w:szCs w:val="20"/>
          <w:lang w:val="en-US" w:eastAsia="it-IT"/>
        </w:rPr>
        <w:t xml:space="preserve">On the other hand, the price of products sold by farmers increased to a lesser extent, by 6.6%. The combination of these dynamics clearly penalized the operators in the sector who suffered a reduction of one and a half points in terms of </w:t>
      </w:r>
      <w:r>
        <w:rPr>
          <w:rFonts w:ascii="Trebuchet MS" w:eastAsia="Times New Roman" w:hAnsi="Trebuchet MS" w:cs="Arial"/>
          <w:color w:val="595959" w:themeColor="text1" w:themeTint="A6"/>
          <w:sz w:val="20"/>
          <w:szCs w:val="20"/>
          <w:lang w:val="en-US" w:eastAsia="it-IT"/>
        </w:rPr>
        <w:t>market ratio</w:t>
      </w:r>
      <w:r w:rsidRPr="004C462F">
        <w:rPr>
          <w:rFonts w:ascii="Trebuchet MS" w:eastAsia="Times New Roman" w:hAnsi="Trebuchet MS" w:cs="Arial"/>
          <w:color w:val="595959" w:themeColor="text1" w:themeTint="A6"/>
          <w:sz w:val="20"/>
          <w:szCs w:val="20"/>
          <w:lang w:val="en-US" w:eastAsia="it-IT"/>
        </w:rPr>
        <w:t xml:space="preserve"> compared to the previous year.</w:t>
      </w:r>
    </w:p>
    <w:p w14:paraId="51B61BA8" w14:textId="77777777" w:rsidR="006A3A97" w:rsidRPr="00375203" w:rsidRDefault="006A3A97" w:rsidP="006A3A97">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375203">
        <w:rPr>
          <w:rFonts w:ascii="Trebuchet MS" w:eastAsia="Times New Roman" w:hAnsi="Trebuchet MS" w:cs="Arial"/>
          <w:color w:val="595959" w:themeColor="text1" w:themeTint="A6"/>
          <w:sz w:val="20"/>
          <w:szCs w:val="20"/>
          <w:lang w:val="en-US" w:eastAsia="it-IT"/>
        </w:rPr>
        <w:t xml:space="preserve">In this state of the situation, the war in Ukraine has introduced worrying elements of instability that threaten to have serious knock-on effects on the agricultural and agri-food sector. The generalized increase in raw materials and energy costs is progressively eroding the profitability of the sector, putting crops, </w:t>
      </w:r>
      <w:proofErr w:type="gramStart"/>
      <w:r w:rsidRPr="00375203">
        <w:rPr>
          <w:rFonts w:ascii="Trebuchet MS" w:eastAsia="Times New Roman" w:hAnsi="Trebuchet MS" w:cs="Arial"/>
          <w:color w:val="595959" w:themeColor="text1" w:themeTint="A6"/>
          <w:sz w:val="20"/>
          <w:szCs w:val="20"/>
          <w:lang w:val="en-US" w:eastAsia="it-IT"/>
        </w:rPr>
        <w:t>livestock</w:t>
      </w:r>
      <w:proofErr w:type="gramEnd"/>
      <w:r w:rsidRPr="00375203">
        <w:rPr>
          <w:rFonts w:ascii="Trebuchet MS" w:eastAsia="Times New Roman" w:hAnsi="Trebuchet MS" w:cs="Arial"/>
          <w:color w:val="595959" w:themeColor="text1" w:themeTint="A6"/>
          <w:sz w:val="20"/>
          <w:szCs w:val="20"/>
          <w:lang w:val="en-US" w:eastAsia="it-IT"/>
        </w:rPr>
        <w:t xml:space="preserve"> and the processing industry at risk. </w:t>
      </w:r>
    </w:p>
    <w:p w14:paraId="524FD62B" w14:textId="77777777" w:rsidR="006A3A97" w:rsidRPr="00375203" w:rsidRDefault="006A3A97" w:rsidP="006A3A97">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375203">
        <w:rPr>
          <w:rFonts w:ascii="Trebuchet MS" w:eastAsia="Times New Roman" w:hAnsi="Trebuchet MS" w:cs="Arial"/>
          <w:color w:val="595959" w:themeColor="text1" w:themeTint="A6"/>
          <w:sz w:val="20"/>
          <w:szCs w:val="20"/>
          <w:lang w:val="en-US" w:eastAsia="it-IT"/>
        </w:rPr>
        <w:t xml:space="preserve">The jump in the prices of agricultural raw materials and food for animals to produce milk and meat, the trend in gasoline and diesel prices in a country where more than two thirds of goods travel by road inevitably affects the costs of businesses with snowball effects on consumer spending. </w:t>
      </w:r>
    </w:p>
    <w:p w14:paraId="5BD81D2A" w14:textId="18D0E1C5" w:rsidR="006A3A97" w:rsidRDefault="006A3A97" w:rsidP="006A3A97">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375203">
        <w:rPr>
          <w:rFonts w:ascii="Trebuchet MS" w:eastAsia="Times New Roman" w:hAnsi="Trebuchet MS" w:cs="Arial"/>
          <w:color w:val="595959" w:themeColor="text1" w:themeTint="A6"/>
          <w:sz w:val="20"/>
          <w:szCs w:val="20"/>
          <w:lang w:val="en-US" w:eastAsia="it-IT"/>
        </w:rPr>
        <w:t>Italian agriculture also suffers from the most direct impacts related to the sector's dependence on imports of raw materials from the countries involved in the conflict. Our country buys mainly sunflower oil from Ukraine, excluding that for non-food technical or industrial uses (about 46% of the imported quantity), corn (about 15%), common wheat and fertilizers, the shortage of which is putting I risk spring cultivation.</w:t>
      </w:r>
    </w:p>
    <w:p w14:paraId="507FC414" w14:textId="77777777" w:rsidR="006A3A97" w:rsidRPr="00375203" w:rsidRDefault="006A3A97" w:rsidP="006A3A97">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375203">
        <w:rPr>
          <w:rFonts w:ascii="Trebuchet MS" w:eastAsia="Times New Roman" w:hAnsi="Trebuchet MS" w:cs="Arial"/>
          <w:color w:val="595959" w:themeColor="text1" w:themeTint="A6"/>
          <w:sz w:val="20"/>
          <w:szCs w:val="20"/>
          <w:lang w:val="en-US" w:eastAsia="it-IT"/>
        </w:rPr>
        <w:t>In addition, about 50% of the solid residues from the extraction of sunflower oils, used in the zootechnical sector as feed, also come from Russia and Ukraine. Exports of Italian agri-food are also at great risk, for which Ukraine is an important destination market.</w:t>
      </w:r>
    </w:p>
    <w:p w14:paraId="2072003C" w14:textId="77777777" w:rsidR="006A3A97" w:rsidRPr="00375203" w:rsidRDefault="006A3A97" w:rsidP="006A3A97">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p>
    <w:p w14:paraId="0F01C382" w14:textId="77777777" w:rsidR="006A3A97" w:rsidRDefault="006A3A97" w:rsidP="006A3A97">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p>
    <w:p w14:paraId="45E42472" w14:textId="77777777" w:rsidR="006A3A97" w:rsidRPr="004C462F" w:rsidRDefault="006A3A97" w:rsidP="006A3A97">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p>
    <w:p w14:paraId="0D5656BD" w14:textId="6FB39B9C" w:rsidR="00FE3268" w:rsidRPr="001C064C" w:rsidRDefault="00890150" w:rsidP="00FE3268">
      <w:pPr>
        <w:spacing w:after="120"/>
        <w:ind w:right="-34"/>
        <w:jc w:val="both"/>
        <w:outlineLvl w:val="1"/>
        <w:rPr>
          <w:rFonts w:ascii="Arial Narrow" w:hAnsi="Arial Narrow" w:cs="Arial"/>
          <w:iCs/>
          <w:noProof/>
          <w:color w:val="595959" w:themeColor="text1" w:themeTint="A6"/>
          <w:lang w:val="en-US"/>
        </w:rPr>
      </w:pPr>
      <w:r w:rsidRPr="00BB5574">
        <w:rPr>
          <w:rFonts w:ascii="Arial Narrow" w:hAnsi="Arial Narrow" w:cs="Arial"/>
          <w:b/>
          <w:iCs/>
          <w:noProof/>
          <w:color w:val="595959" w:themeColor="text1" w:themeTint="A6"/>
          <w:lang w:val="en-US"/>
        </w:rPr>
        <w:t>TABLE</w:t>
      </w:r>
      <w:r w:rsidR="00FE3268" w:rsidRPr="00BB5574">
        <w:rPr>
          <w:rFonts w:ascii="Arial Narrow" w:hAnsi="Arial Narrow" w:cs="Arial"/>
          <w:b/>
          <w:iCs/>
          <w:noProof/>
          <w:color w:val="595959" w:themeColor="text1" w:themeTint="A6"/>
          <w:lang w:val="en-US"/>
        </w:rPr>
        <w:t xml:space="preserve"> 5. </w:t>
      </w:r>
      <w:r w:rsidR="001C064C" w:rsidRPr="001C064C">
        <w:rPr>
          <w:rFonts w:ascii="Arial Narrow" w:hAnsi="Arial Narrow" w:cs="Arial"/>
          <w:b/>
          <w:iCs/>
          <w:noProof/>
          <w:color w:val="595959" w:themeColor="text1" w:themeTint="A6"/>
          <w:lang w:val="en-US"/>
        </w:rPr>
        <w:t>TREND OF AGRICULTURAL PRODUCTION FOR MAIN SECTORS AND PRODUCTS</w:t>
      </w:r>
      <w:r w:rsidR="00FE3268" w:rsidRPr="001C064C">
        <w:rPr>
          <w:rFonts w:ascii="Arial Narrow" w:hAnsi="Arial Narrow" w:cs="Arial"/>
          <w:b/>
          <w:iCs/>
          <w:noProof/>
          <w:color w:val="595959" w:themeColor="text1" w:themeTint="A6"/>
          <w:lang w:val="en-US"/>
        </w:rPr>
        <w:t xml:space="preserve">. </w:t>
      </w:r>
      <w:r w:rsidR="001C064C" w:rsidRPr="001C064C">
        <w:rPr>
          <w:rFonts w:ascii="Arial Narrow" w:hAnsi="Arial Narrow" w:cs="Arial"/>
          <w:iCs/>
          <w:noProof/>
          <w:color w:val="595959" w:themeColor="text1" w:themeTint="A6"/>
          <w:lang w:val="en-US"/>
        </w:rPr>
        <w:t>Years 2020 and 2021, current values in millions of euros and percentage changes</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674"/>
        <w:gridCol w:w="793"/>
        <w:gridCol w:w="877"/>
        <w:gridCol w:w="877"/>
        <w:gridCol w:w="877"/>
        <w:gridCol w:w="152"/>
        <w:gridCol w:w="766"/>
        <w:gridCol w:w="877"/>
        <w:gridCol w:w="877"/>
        <w:gridCol w:w="872"/>
      </w:tblGrid>
      <w:tr w:rsidR="00FE3268" w:rsidRPr="000E4DD7" w14:paraId="312963F1" w14:textId="77777777" w:rsidTr="009453DC">
        <w:trPr>
          <w:trHeight w:val="227"/>
        </w:trPr>
        <w:tc>
          <w:tcPr>
            <w:tcW w:w="1386" w:type="pct"/>
            <w:vMerge w:val="restart"/>
            <w:shd w:val="clear" w:color="auto" w:fill="auto"/>
            <w:vAlign w:val="center"/>
            <w:hideMark/>
          </w:tcPr>
          <w:p w14:paraId="444A4D21" w14:textId="77777777" w:rsidR="00FE3268" w:rsidRPr="001C064C" w:rsidRDefault="00FE3268" w:rsidP="006A3A97">
            <w:pPr>
              <w:widowControl/>
              <w:autoSpaceDE/>
              <w:autoSpaceDN/>
              <w:spacing w:before="40" w:after="20"/>
              <w:rPr>
                <w:rFonts w:ascii="Arial Narrow" w:eastAsia="Times New Roman" w:hAnsi="Arial Narrow" w:cs="Times New Roman"/>
                <w:sz w:val="16"/>
                <w:szCs w:val="16"/>
                <w:lang w:val="en-US" w:eastAsia="it-IT"/>
              </w:rPr>
            </w:pPr>
            <w:r w:rsidRPr="001C064C">
              <w:rPr>
                <w:rFonts w:ascii="Arial Narrow" w:eastAsia="Times New Roman" w:hAnsi="Arial Narrow" w:cs="Times New Roman"/>
                <w:sz w:val="16"/>
                <w:szCs w:val="16"/>
                <w:lang w:val="en-US" w:eastAsia="it-IT"/>
              </w:rPr>
              <w:t> </w:t>
            </w:r>
          </w:p>
          <w:p w14:paraId="717DB4DD" w14:textId="77777777" w:rsidR="00FE3268" w:rsidRPr="001C064C" w:rsidRDefault="00FE3268" w:rsidP="006A3A97">
            <w:pPr>
              <w:widowControl/>
              <w:autoSpaceDE/>
              <w:autoSpaceDN/>
              <w:spacing w:before="40" w:after="20"/>
              <w:rPr>
                <w:rFonts w:ascii="Arial Narrow" w:eastAsia="Times New Roman" w:hAnsi="Arial Narrow" w:cs="Times New Roman"/>
                <w:sz w:val="16"/>
                <w:szCs w:val="16"/>
                <w:lang w:val="en-US" w:eastAsia="it-IT"/>
              </w:rPr>
            </w:pPr>
            <w:r w:rsidRPr="001C064C">
              <w:rPr>
                <w:rFonts w:ascii="Arial Narrow" w:eastAsia="Times New Roman" w:hAnsi="Arial Narrow" w:cs="Arial"/>
                <w:sz w:val="16"/>
                <w:szCs w:val="16"/>
                <w:lang w:val="en-US" w:eastAsia="it-IT"/>
              </w:rPr>
              <w:t> </w:t>
            </w:r>
          </w:p>
        </w:tc>
        <w:tc>
          <w:tcPr>
            <w:tcW w:w="1776" w:type="pct"/>
            <w:gridSpan w:val="4"/>
            <w:shd w:val="clear" w:color="auto" w:fill="D9D9D9" w:themeFill="background1" w:themeFillShade="D9"/>
            <w:vAlign w:val="center"/>
            <w:hideMark/>
          </w:tcPr>
          <w:p w14:paraId="7E90863B" w14:textId="77777777" w:rsidR="00FE3268" w:rsidRPr="000E4DD7" w:rsidRDefault="00FE3268" w:rsidP="006A3A97">
            <w:pPr>
              <w:widowControl/>
              <w:autoSpaceDE/>
              <w:autoSpaceDN/>
              <w:spacing w:before="40" w:after="20"/>
              <w:jc w:val="center"/>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2020</w:t>
            </w:r>
          </w:p>
        </w:tc>
        <w:tc>
          <w:tcPr>
            <w:tcW w:w="79" w:type="pct"/>
            <w:tcBorders>
              <w:top w:val="nil"/>
              <w:bottom w:val="nil"/>
            </w:tcBorders>
            <w:shd w:val="clear" w:color="auto" w:fill="auto"/>
            <w:noWrap/>
            <w:vAlign w:val="bottom"/>
            <w:hideMark/>
          </w:tcPr>
          <w:p w14:paraId="097A80B2" w14:textId="77777777" w:rsidR="00FE3268" w:rsidRPr="000E4DD7" w:rsidRDefault="00FE3268" w:rsidP="006A3A97">
            <w:pPr>
              <w:widowControl/>
              <w:autoSpaceDE/>
              <w:autoSpaceDN/>
              <w:spacing w:before="40" w:after="20"/>
              <w:jc w:val="center"/>
              <w:rPr>
                <w:rFonts w:ascii="Arial Narrow" w:eastAsia="Times New Roman" w:hAnsi="Arial Narrow" w:cs="Arial"/>
                <w:b/>
                <w:bCs/>
                <w:sz w:val="16"/>
                <w:szCs w:val="16"/>
                <w:lang w:eastAsia="it-IT"/>
              </w:rPr>
            </w:pPr>
          </w:p>
        </w:tc>
        <w:tc>
          <w:tcPr>
            <w:tcW w:w="1760" w:type="pct"/>
            <w:gridSpan w:val="4"/>
            <w:shd w:val="clear" w:color="auto" w:fill="D9D9D9" w:themeFill="background1" w:themeFillShade="D9"/>
            <w:vAlign w:val="center"/>
            <w:hideMark/>
          </w:tcPr>
          <w:p w14:paraId="3BA7D87F" w14:textId="77777777" w:rsidR="00FE3268" w:rsidRPr="000E4DD7" w:rsidRDefault="00FE3268" w:rsidP="006A3A97">
            <w:pPr>
              <w:widowControl/>
              <w:autoSpaceDE/>
              <w:autoSpaceDN/>
              <w:spacing w:before="40" w:after="20"/>
              <w:jc w:val="center"/>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2021</w:t>
            </w:r>
          </w:p>
        </w:tc>
      </w:tr>
      <w:tr w:rsidR="00FE3268" w:rsidRPr="000E4DD7" w14:paraId="1207005E" w14:textId="77777777" w:rsidTr="009453DC">
        <w:trPr>
          <w:trHeight w:val="227"/>
        </w:trPr>
        <w:tc>
          <w:tcPr>
            <w:tcW w:w="1386" w:type="pct"/>
            <w:vMerge/>
            <w:shd w:val="clear" w:color="auto" w:fill="auto"/>
            <w:vAlign w:val="center"/>
            <w:hideMark/>
          </w:tcPr>
          <w:p w14:paraId="1BEBEC4B" w14:textId="77777777" w:rsidR="00FE3268" w:rsidRPr="000E4DD7" w:rsidRDefault="00FE3268" w:rsidP="006A3A97">
            <w:pPr>
              <w:widowControl/>
              <w:autoSpaceDE/>
              <w:autoSpaceDN/>
              <w:spacing w:before="40" w:after="20"/>
              <w:rPr>
                <w:rFonts w:ascii="Arial Narrow" w:eastAsia="Times New Roman" w:hAnsi="Arial Narrow" w:cs="Arial"/>
                <w:sz w:val="16"/>
                <w:szCs w:val="16"/>
                <w:lang w:eastAsia="it-IT"/>
              </w:rPr>
            </w:pPr>
          </w:p>
        </w:tc>
        <w:tc>
          <w:tcPr>
            <w:tcW w:w="411" w:type="pct"/>
            <w:shd w:val="clear" w:color="auto" w:fill="auto"/>
            <w:vAlign w:val="center"/>
            <w:hideMark/>
          </w:tcPr>
          <w:p w14:paraId="44D4C79F" w14:textId="057300CC" w:rsidR="00FE3268" w:rsidRPr="001C064C" w:rsidRDefault="001C064C" w:rsidP="006A3A97">
            <w:pPr>
              <w:widowControl/>
              <w:autoSpaceDE/>
              <w:autoSpaceDN/>
              <w:spacing w:before="40" w:after="20"/>
              <w:jc w:val="right"/>
              <w:rPr>
                <w:rFonts w:ascii="Arial Narrow" w:eastAsia="Times New Roman" w:hAnsi="Arial Narrow" w:cs="Arial"/>
                <w:b/>
                <w:bCs/>
                <w:sz w:val="16"/>
                <w:szCs w:val="16"/>
                <w:lang w:val="en-US" w:eastAsia="it-IT"/>
              </w:rPr>
            </w:pPr>
            <w:r w:rsidRPr="001C064C">
              <w:rPr>
                <w:rFonts w:ascii="Arial Narrow" w:eastAsia="Times New Roman" w:hAnsi="Arial Narrow" w:cs="Arial"/>
                <w:b/>
                <w:bCs/>
                <w:sz w:val="16"/>
                <w:szCs w:val="16"/>
                <w:lang w:val="en-US" w:eastAsia="it-IT"/>
              </w:rPr>
              <w:t>Millions of euros in current values</w:t>
            </w:r>
          </w:p>
        </w:tc>
        <w:tc>
          <w:tcPr>
            <w:tcW w:w="455" w:type="pct"/>
            <w:shd w:val="clear" w:color="auto" w:fill="auto"/>
            <w:vAlign w:val="center"/>
            <w:hideMark/>
          </w:tcPr>
          <w:p w14:paraId="31FAF874" w14:textId="4FFC514F" w:rsidR="00FE3268" w:rsidRPr="000E4DD7" w:rsidRDefault="001C064C" w:rsidP="006A3A97">
            <w:pPr>
              <w:widowControl/>
              <w:autoSpaceDE/>
              <w:autoSpaceDN/>
              <w:spacing w:before="40" w:after="20"/>
              <w:jc w:val="right"/>
              <w:rPr>
                <w:rFonts w:ascii="Arial Narrow" w:eastAsia="Times New Roman" w:hAnsi="Arial Narrow" w:cs="Arial"/>
                <w:sz w:val="16"/>
                <w:szCs w:val="16"/>
                <w:lang w:eastAsia="it-IT"/>
              </w:rPr>
            </w:pPr>
            <w:r w:rsidRPr="001C064C">
              <w:rPr>
                <w:rFonts w:ascii="Arial Narrow" w:eastAsia="Times New Roman" w:hAnsi="Arial Narrow" w:cs="Arial"/>
                <w:sz w:val="16"/>
                <w:szCs w:val="16"/>
                <w:lang w:eastAsia="it-IT"/>
              </w:rPr>
              <w:t xml:space="preserve">% </w:t>
            </w:r>
            <w:proofErr w:type="spellStart"/>
            <w:r>
              <w:rPr>
                <w:rFonts w:ascii="Arial Narrow" w:eastAsia="Times New Roman" w:hAnsi="Arial Narrow" w:cs="Arial"/>
                <w:sz w:val="16"/>
                <w:szCs w:val="16"/>
                <w:lang w:eastAsia="it-IT"/>
              </w:rPr>
              <w:t>Quantity</w:t>
            </w:r>
            <w:proofErr w:type="spellEnd"/>
            <w:r w:rsidRPr="001C064C">
              <w:rPr>
                <w:rFonts w:ascii="Arial Narrow" w:eastAsia="Times New Roman" w:hAnsi="Arial Narrow" w:cs="Arial"/>
                <w:sz w:val="16"/>
                <w:szCs w:val="16"/>
                <w:lang w:eastAsia="it-IT"/>
              </w:rPr>
              <w:t xml:space="preserve"> </w:t>
            </w:r>
            <w:proofErr w:type="spellStart"/>
            <w:r w:rsidRPr="001C064C">
              <w:rPr>
                <w:rFonts w:ascii="Arial Narrow" w:eastAsia="Times New Roman" w:hAnsi="Arial Narrow" w:cs="Arial"/>
                <w:sz w:val="16"/>
                <w:szCs w:val="16"/>
                <w:lang w:eastAsia="it-IT"/>
              </w:rPr>
              <w:t>changes</w:t>
            </w:r>
            <w:proofErr w:type="spellEnd"/>
          </w:p>
        </w:tc>
        <w:tc>
          <w:tcPr>
            <w:tcW w:w="455" w:type="pct"/>
            <w:shd w:val="clear" w:color="auto" w:fill="auto"/>
            <w:vAlign w:val="center"/>
            <w:hideMark/>
          </w:tcPr>
          <w:p w14:paraId="041A3DE1" w14:textId="3A3A4AAB" w:rsidR="00FE3268" w:rsidRPr="000E4DD7" w:rsidRDefault="001C064C" w:rsidP="006A3A97">
            <w:pPr>
              <w:widowControl/>
              <w:autoSpaceDE/>
              <w:autoSpaceDN/>
              <w:spacing w:before="40" w:after="20"/>
              <w:jc w:val="right"/>
              <w:rPr>
                <w:rFonts w:ascii="Arial Narrow" w:eastAsia="Times New Roman" w:hAnsi="Arial Narrow" w:cs="Arial"/>
                <w:sz w:val="16"/>
                <w:szCs w:val="16"/>
                <w:lang w:eastAsia="it-IT"/>
              </w:rPr>
            </w:pPr>
            <w:r w:rsidRPr="001C064C">
              <w:rPr>
                <w:rFonts w:ascii="Arial Narrow" w:eastAsia="Times New Roman" w:hAnsi="Arial Narrow" w:cs="Arial"/>
                <w:sz w:val="16"/>
                <w:szCs w:val="16"/>
                <w:lang w:eastAsia="it-IT"/>
              </w:rPr>
              <w:t xml:space="preserve">% Price </w:t>
            </w:r>
            <w:proofErr w:type="spellStart"/>
            <w:r w:rsidRPr="001C064C">
              <w:rPr>
                <w:rFonts w:ascii="Arial Narrow" w:eastAsia="Times New Roman" w:hAnsi="Arial Narrow" w:cs="Arial"/>
                <w:sz w:val="16"/>
                <w:szCs w:val="16"/>
                <w:lang w:eastAsia="it-IT"/>
              </w:rPr>
              <w:t>changes</w:t>
            </w:r>
            <w:proofErr w:type="spellEnd"/>
          </w:p>
        </w:tc>
        <w:tc>
          <w:tcPr>
            <w:tcW w:w="455" w:type="pct"/>
            <w:shd w:val="clear" w:color="auto" w:fill="auto"/>
            <w:vAlign w:val="center"/>
            <w:hideMark/>
          </w:tcPr>
          <w:p w14:paraId="7DC49C01" w14:textId="3CC7D19D" w:rsidR="00FE3268" w:rsidRPr="000E4DD7" w:rsidRDefault="001C064C" w:rsidP="006A3A97">
            <w:pPr>
              <w:widowControl/>
              <w:autoSpaceDE/>
              <w:autoSpaceDN/>
              <w:spacing w:before="40" w:after="20"/>
              <w:jc w:val="right"/>
              <w:rPr>
                <w:rFonts w:ascii="Arial Narrow" w:eastAsia="Times New Roman" w:hAnsi="Arial Narrow" w:cs="Arial"/>
                <w:sz w:val="16"/>
                <w:szCs w:val="16"/>
                <w:lang w:eastAsia="it-IT"/>
              </w:rPr>
            </w:pPr>
            <w:r w:rsidRPr="001C064C">
              <w:rPr>
                <w:rFonts w:ascii="Arial Narrow" w:eastAsia="Times New Roman" w:hAnsi="Arial Narrow" w:cs="Arial"/>
                <w:sz w:val="16"/>
                <w:szCs w:val="16"/>
                <w:lang w:eastAsia="it-IT"/>
              </w:rPr>
              <w:t xml:space="preserve">% </w:t>
            </w:r>
            <w:r>
              <w:rPr>
                <w:rFonts w:ascii="Arial Narrow" w:eastAsia="Times New Roman" w:hAnsi="Arial Narrow" w:cs="Arial"/>
                <w:sz w:val="16"/>
                <w:szCs w:val="16"/>
                <w:lang w:eastAsia="it-IT"/>
              </w:rPr>
              <w:t>Value</w:t>
            </w:r>
            <w:r w:rsidRPr="001C064C">
              <w:rPr>
                <w:rFonts w:ascii="Arial Narrow" w:eastAsia="Times New Roman" w:hAnsi="Arial Narrow" w:cs="Arial"/>
                <w:sz w:val="16"/>
                <w:szCs w:val="16"/>
                <w:lang w:eastAsia="it-IT"/>
              </w:rPr>
              <w:t xml:space="preserve"> </w:t>
            </w:r>
            <w:proofErr w:type="spellStart"/>
            <w:r w:rsidRPr="001C064C">
              <w:rPr>
                <w:rFonts w:ascii="Arial Narrow" w:eastAsia="Times New Roman" w:hAnsi="Arial Narrow" w:cs="Arial"/>
                <w:sz w:val="16"/>
                <w:szCs w:val="16"/>
                <w:lang w:eastAsia="it-IT"/>
              </w:rPr>
              <w:t>changes</w:t>
            </w:r>
            <w:proofErr w:type="spellEnd"/>
          </w:p>
        </w:tc>
        <w:tc>
          <w:tcPr>
            <w:tcW w:w="79" w:type="pct"/>
            <w:tcBorders>
              <w:top w:val="nil"/>
              <w:bottom w:val="nil"/>
            </w:tcBorders>
            <w:shd w:val="clear" w:color="auto" w:fill="auto"/>
            <w:noWrap/>
            <w:vAlign w:val="bottom"/>
            <w:hideMark/>
          </w:tcPr>
          <w:p w14:paraId="7AA1C63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auto"/>
            <w:vAlign w:val="center"/>
            <w:hideMark/>
          </w:tcPr>
          <w:p w14:paraId="2B3D8BD6" w14:textId="0BF8836E" w:rsidR="00FE3268" w:rsidRPr="001C064C" w:rsidRDefault="001C064C" w:rsidP="006A3A97">
            <w:pPr>
              <w:widowControl/>
              <w:autoSpaceDE/>
              <w:autoSpaceDN/>
              <w:spacing w:before="40" w:after="20"/>
              <w:jc w:val="right"/>
              <w:rPr>
                <w:rFonts w:ascii="Arial Narrow" w:eastAsia="Times New Roman" w:hAnsi="Arial Narrow" w:cs="Arial"/>
                <w:b/>
                <w:bCs/>
                <w:sz w:val="16"/>
                <w:szCs w:val="16"/>
                <w:lang w:val="en-US" w:eastAsia="it-IT"/>
              </w:rPr>
            </w:pPr>
            <w:r w:rsidRPr="001C064C">
              <w:rPr>
                <w:rFonts w:ascii="Arial Narrow" w:eastAsia="Times New Roman" w:hAnsi="Arial Narrow" w:cs="Arial"/>
                <w:b/>
                <w:bCs/>
                <w:sz w:val="16"/>
                <w:szCs w:val="16"/>
                <w:lang w:val="en-US" w:eastAsia="it-IT"/>
              </w:rPr>
              <w:t xml:space="preserve">Millions of euros in current values </w:t>
            </w:r>
            <w:proofErr w:type="spellStart"/>
            <w:r w:rsidR="00FE3268" w:rsidRPr="001C064C">
              <w:rPr>
                <w:rFonts w:ascii="Arial Narrow" w:eastAsia="Times New Roman" w:hAnsi="Arial Narrow" w:cs="Arial"/>
                <w:b/>
                <w:bCs/>
                <w:sz w:val="16"/>
                <w:szCs w:val="16"/>
                <w:lang w:val="en-US" w:eastAsia="it-IT"/>
              </w:rPr>
              <w:t>i</w:t>
            </w:r>
            <w:proofErr w:type="spellEnd"/>
          </w:p>
        </w:tc>
        <w:tc>
          <w:tcPr>
            <w:tcW w:w="455" w:type="pct"/>
            <w:shd w:val="clear" w:color="auto" w:fill="auto"/>
            <w:vAlign w:val="center"/>
            <w:hideMark/>
          </w:tcPr>
          <w:p w14:paraId="732A6D93" w14:textId="2193CF3D" w:rsidR="00FE3268" w:rsidRPr="000E4DD7" w:rsidRDefault="001C064C" w:rsidP="006A3A97">
            <w:pPr>
              <w:widowControl/>
              <w:autoSpaceDE/>
              <w:autoSpaceDN/>
              <w:spacing w:before="40" w:after="20"/>
              <w:jc w:val="right"/>
              <w:rPr>
                <w:rFonts w:ascii="Arial Narrow" w:eastAsia="Times New Roman" w:hAnsi="Arial Narrow" w:cs="Arial"/>
                <w:sz w:val="16"/>
                <w:szCs w:val="16"/>
                <w:lang w:eastAsia="it-IT"/>
              </w:rPr>
            </w:pPr>
            <w:r w:rsidRPr="001C064C">
              <w:rPr>
                <w:rFonts w:ascii="Arial Narrow" w:eastAsia="Times New Roman" w:hAnsi="Arial Narrow" w:cs="Arial"/>
                <w:sz w:val="16"/>
                <w:szCs w:val="16"/>
                <w:lang w:eastAsia="it-IT"/>
              </w:rPr>
              <w:t xml:space="preserve">% </w:t>
            </w:r>
            <w:proofErr w:type="spellStart"/>
            <w:r w:rsidRPr="001C064C">
              <w:rPr>
                <w:rFonts w:ascii="Arial Narrow" w:eastAsia="Times New Roman" w:hAnsi="Arial Narrow" w:cs="Arial"/>
                <w:sz w:val="16"/>
                <w:szCs w:val="16"/>
                <w:lang w:eastAsia="it-IT"/>
              </w:rPr>
              <w:t>Quantity</w:t>
            </w:r>
            <w:proofErr w:type="spellEnd"/>
            <w:r w:rsidRPr="001C064C">
              <w:rPr>
                <w:rFonts w:ascii="Arial Narrow" w:eastAsia="Times New Roman" w:hAnsi="Arial Narrow" w:cs="Arial"/>
                <w:sz w:val="16"/>
                <w:szCs w:val="16"/>
                <w:lang w:eastAsia="it-IT"/>
              </w:rPr>
              <w:t xml:space="preserve"> </w:t>
            </w:r>
            <w:proofErr w:type="spellStart"/>
            <w:r w:rsidRPr="001C064C">
              <w:rPr>
                <w:rFonts w:ascii="Arial Narrow" w:eastAsia="Times New Roman" w:hAnsi="Arial Narrow" w:cs="Arial"/>
                <w:sz w:val="16"/>
                <w:szCs w:val="16"/>
                <w:lang w:eastAsia="it-IT"/>
              </w:rPr>
              <w:t>changes</w:t>
            </w:r>
            <w:proofErr w:type="spellEnd"/>
          </w:p>
        </w:tc>
        <w:tc>
          <w:tcPr>
            <w:tcW w:w="455" w:type="pct"/>
            <w:shd w:val="clear" w:color="auto" w:fill="auto"/>
            <w:vAlign w:val="center"/>
            <w:hideMark/>
          </w:tcPr>
          <w:p w14:paraId="3DBAA2A1" w14:textId="4BA97EE1" w:rsidR="00FE3268" w:rsidRPr="000E4DD7" w:rsidRDefault="001C064C" w:rsidP="006A3A97">
            <w:pPr>
              <w:widowControl/>
              <w:autoSpaceDE/>
              <w:autoSpaceDN/>
              <w:spacing w:before="40" w:after="20"/>
              <w:jc w:val="right"/>
              <w:rPr>
                <w:rFonts w:ascii="Arial Narrow" w:eastAsia="Times New Roman" w:hAnsi="Arial Narrow" w:cs="Arial"/>
                <w:sz w:val="16"/>
                <w:szCs w:val="16"/>
                <w:lang w:eastAsia="it-IT"/>
              </w:rPr>
            </w:pPr>
            <w:r w:rsidRPr="001C064C">
              <w:rPr>
                <w:rFonts w:ascii="Arial Narrow" w:eastAsia="Times New Roman" w:hAnsi="Arial Narrow" w:cs="Arial"/>
                <w:sz w:val="16"/>
                <w:szCs w:val="16"/>
                <w:lang w:eastAsia="it-IT"/>
              </w:rPr>
              <w:t xml:space="preserve">% Price </w:t>
            </w:r>
            <w:proofErr w:type="spellStart"/>
            <w:r w:rsidRPr="001C064C">
              <w:rPr>
                <w:rFonts w:ascii="Arial Narrow" w:eastAsia="Times New Roman" w:hAnsi="Arial Narrow" w:cs="Arial"/>
                <w:sz w:val="16"/>
                <w:szCs w:val="16"/>
                <w:lang w:eastAsia="it-IT"/>
              </w:rPr>
              <w:t>changes</w:t>
            </w:r>
            <w:proofErr w:type="spellEnd"/>
          </w:p>
        </w:tc>
        <w:tc>
          <w:tcPr>
            <w:tcW w:w="453" w:type="pct"/>
            <w:shd w:val="clear" w:color="auto" w:fill="auto"/>
            <w:vAlign w:val="center"/>
            <w:hideMark/>
          </w:tcPr>
          <w:p w14:paraId="3BFDC8A4" w14:textId="26AD5F13" w:rsidR="00FE3268" w:rsidRPr="000E4DD7" w:rsidRDefault="001C064C" w:rsidP="006A3A97">
            <w:pPr>
              <w:widowControl/>
              <w:autoSpaceDE/>
              <w:autoSpaceDN/>
              <w:spacing w:before="40" w:after="20"/>
              <w:jc w:val="right"/>
              <w:rPr>
                <w:rFonts w:ascii="Arial Narrow" w:eastAsia="Times New Roman" w:hAnsi="Arial Narrow" w:cs="Arial"/>
                <w:sz w:val="16"/>
                <w:szCs w:val="16"/>
                <w:lang w:eastAsia="it-IT"/>
              </w:rPr>
            </w:pPr>
            <w:r w:rsidRPr="001C064C">
              <w:rPr>
                <w:rFonts w:ascii="Arial Narrow" w:eastAsia="Times New Roman" w:hAnsi="Arial Narrow" w:cs="Arial"/>
                <w:sz w:val="16"/>
                <w:szCs w:val="16"/>
                <w:lang w:eastAsia="it-IT"/>
              </w:rPr>
              <w:t xml:space="preserve">% Value </w:t>
            </w:r>
            <w:proofErr w:type="spellStart"/>
            <w:r w:rsidRPr="001C064C">
              <w:rPr>
                <w:rFonts w:ascii="Arial Narrow" w:eastAsia="Times New Roman" w:hAnsi="Arial Narrow" w:cs="Arial"/>
                <w:sz w:val="16"/>
                <w:szCs w:val="16"/>
                <w:lang w:eastAsia="it-IT"/>
              </w:rPr>
              <w:t>changes</w:t>
            </w:r>
            <w:proofErr w:type="spellEnd"/>
          </w:p>
        </w:tc>
      </w:tr>
      <w:tr w:rsidR="00FE3268" w:rsidRPr="000E4DD7" w14:paraId="29BD42CE" w14:textId="77777777" w:rsidTr="0003038B">
        <w:trPr>
          <w:trHeight w:val="227"/>
        </w:trPr>
        <w:tc>
          <w:tcPr>
            <w:tcW w:w="1386" w:type="pct"/>
            <w:shd w:val="clear" w:color="auto" w:fill="17365D"/>
            <w:vAlign w:val="center"/>
            <w:hideMark/>
          </w:tcPr>
          <w:p w14:paraId="31A5BFE2" w14:textId="512E50CC" w:rsidR="00FE3268" w:rsidRPr="000E4DD7" w:rsidRDefault="001C064C" w:rsidP="006A3A97">
            <w:pPr>
              <w:widowControl/>
              <w:autoSpaceDE/>
              <w:autoSpaceDN/>
              <w:spacing w:before="40" w:after="20"/>
              <w:rPr>
                <w:rFonts w:ascii="Arial Narrow" w:eastAsia="Times New Roman" w:hAnsi="Arial Narrow" w:cs="Arial"/>
                <w:b/>
                <w:bCs/>
                <w:color w:val="FFFFFF" w:themeColor="background1"/>
                <w:sz w:val="16"/>
                <w:szCs w:val="16"/>
                <w:lang w:eastAsia="it-IT"/>
              </w:rPr>
            </w:pPr>
            <w:r w:rsidRPr="001C064C">
              <w:rPr>
                <w:rFonts w:ascii="Arial Narrow" w:eastAsia="Times New Roman" w:hAnsi="Arial Narrow" w:cs="Arial"/>
                <w:b/>
                <w:bCs/>
                <w:color w:val="FFFFFF" w:themeColor="background1"/>
                <w:sz w:val="16"/>
                <w:szCs w:val="16"/>
                <w:lang w:eastAsia="it-IT"/>
              </w:rPr>
              <w:t xml:space="preserve">AGRICULTURAL </w:t>
            </w:r>
            <w:r>
              <w:rPr>
                <w:rFonts w:ascii="Arial Narrow" w:eastAsia="Times New Roman" w:hAnsi="Arial Narrow" w:cs="Arial"/>
                <w:b/>
                <w:bCs/>
                <w:color w:val="FFFFFF" w:themeColor="background1"/>
                <w:sz w:val="16"/>
                <w:szCs w:val="16"/>
                <w:lang w:eastAsia="it-IT"/>
              </w:rPr>
              <w:t>PRODUCTION</w:t>
            </w:r>
            <w:r w:rsidRPr="001C064C">
              <w:rPr>
                <w:rFonts w:ascii="Arial Narrow" w:eastAsia="Times New Roman" w:hAnsi="Arial Narrow" w:cs="Arial"/>
                <w:b/>
                <w:bCs/>
                <w:color w:val="FFFFFF" w:themeColor="background1"/>
                <w:sz w:val="16"/>
                <w:szCs w:val="16"/>
                <w:lang w:eastAsia="it-IT"/>
              </w:rPr>
              <w:t xml:space="preserve"> </w:t>
            </w:r>
          </w:p>
        </w:tc>
        <w:tc>
          <w:tcPr>
            <w:tcW w:w="411" w:type="pct"/>
            <w:shd w:val="clear" w:color="auto" w:fill="17365D"/>
            <w:vAlign w:val="center"/>
            <w:hideMark/>
          </w:tcPr>
          <w:p w14:paraId="3EBF219C"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 xml:space="preserve">56.679 </w:t>
            </w:r>
          </w:p>
        </w:tc>
        <w:tc>
          <w:tcPr>
            <w:tcW w:w="455" w:type="pct"/>
            <w:shd w:val="clear" w:color="auto" w:fill="17365D"/>
            <w:vAlign w:val="center"/>
            <w:hideMark/>
          </w:tcPr>
          <w:p w14:paraId="457935B6"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-1,4</w:t>
            </w:r>
          </w:p>
        </w:tc>
        <w:tc>
          <w:tcPr>
            <w:tcW w:w="455" w:type="pct"/>
            <w:shd w:val="clear" w:color="auto" w:fill="17365D"/>
            <w:vAlign w:val="center"/>
            <w:hideMark/>
          </w:tcPr>
          <w:p w14:paraId="560E715D"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+0,6</w:t>
            </w:r>
          </w:p>
        </w:tc>
        <w:tc>
          <w:tcPr>
            <w:tcW w:w="455" w:type="pct"/>
            <w:shd w:val="clear" w:color="auto" w:fill="17365D"/>
            <w:vAlign w:val="center"/>
            <w:hideMark/>
          </w:tcPr>
          <w:p w14:paraId="031FEC5C"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-0,8</w:t>
            </w:r>
          </w:p>
        </w:tc>
        <w:tc>
          <w:tcPr>
            <w:tcW w:w="79" w:type="pct"/>
            <w:tcBorders>
              <w:top w:val="nil"/>
              <w:bottom w:val="nil"/>
            </w:tcBorders>
            <w:shd w:val="clear" w:color="auto" w:fill="17365D"/>
            <w:noWrap/>
            <w:vAlign w:val="center"/>
            <w:hideMark/>
          </w:tcPr>
          <w:p w14:paraId="7ABB244A"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p>
        </w:tc>
        <w:tc>
          <w:tcPr>
            <w:tcW w:w="397" w:type="pct"/>
            <w:shd w:val="clear" w:color="auto" w:fill="17365D"/>
            <w:vAlign w:val="center"/>
            <w:hideMark/>
          </w:tcPr>
          <w:p w14:paraId="786C24CA"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 xml:space="preserve">60.355 </w:t>
            </w:r>
          </w:p>
        </w:tc>
        <w:tc>
          <w:tcPr>
            <w:tcW w:w="455" w:type="pct"/>
            <w:shd w:val="clear" w:color="auto" w:fill="17365D"/>
            <w:vAlign w:val="center"/>
            <w:hideMark/>
          </w:tcPr>
          <w:p w14:paraId="67CC5E87"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-0,1</w:t>
            </w:r>
          </w:p>
        </w:tc>
        <w:tc>
          <w:tcPr>
            <w:tcW w:w="455" w:type="pct"/>
            <w:shd w:val="clear" w:color="auto" w:fill="17365D"/>
            <w:vAlign w:val="center"/>
            <w:hideMark/>
          </w:tcPr>
          <w:p w14:paraId="265358B5"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+6,6</w:t>
            </w:r>
          </w:p>
        </w:tc>
        <w:tc>
          <w:tcPr>
            <w:tcW w:w="453" w:type="pct"/>
            <w:shd w:val="clear" w:color="auto" w:fill="17365D"/>
            <w:vAlign w:val="center"/>
            <w:hideMark/>
          </w:tcPr>
          <w:p w14:paraId="667ECE4D"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+6,5</w:t>
            </w:r>
          </w:p>
        </w:tc>
      </w:tr>
      <w:tr w:rsidR="00FE3268" w:rsidRPr="000E4DD7" w14:paraId="4B4FE726" w14:textId="77777777" w:rsidTr="009453DC">
        <w:trPr>
          <w:trHeight w:val="227"/>
        </w:trPr>
        <w:tc>
          <w:tcPr>
            <w:tcW w:w="1386" w:type="pct"/>
            <w:shd w:val="clear" w:color="auto" w:fill="auto"/>
            <w:vAlign w:val="center"/>
            <w:hideMark/>
          </w:tcPr>
          <w:p w14:paraId="5CB8A2B7" w14:textId="14E5C26F" w:rsidR="00FE3268" w:rsidRPr="000E4DD7" w:rsidRDefault="001C064C" w:rsidP="006A3A97">
            <w:pPr>
              <w:widowControl/>
              <w:autoSpaceDE/>
              <w:autoSpaceDN/>
              <w:spacing w:before="40" w:after="20"/>
              <w:rPr>
                <w:rFonts w:ascii="Arial Narrow" w:eastAsia="Times New Roman" w:hAnsi="Arial Narrow" w:cs="Arial"/>
                <w:b/>
                <w:bCs/>
                <w:sz w:val="16"/>
                <w:szCs w:val="16"/>
                <w:lang w:eastAsia="it-IT"/>
              </w:rPr>
            </w:pPr>
            <w:proofErr w:type="spellStart"/>
            <w:r w:rsidRPr="001C064C">
              <w:rPr>
                <w:rFonts w:ascii="Arial Narrow" w:eastAsia="Times New Roman" w:hAnsi="Arial Narrow" w:cs="Arial"/>
                <w:b/>
                <w:bCs/>
                <w:sz w:val="16"/>
                <w:szCs w:val="16"/>
                <w:lang w:eastAsia="it-IT"/>
              </w:rPr>
              <w:t>Agricultural</w:t>
            </w:r>
            <w:proofErr w:type="spellEnd"/>
            <w:r w:rsidRPr="001C064C">
              <w:rPr>
                <w:rFonts w:ascii="Arial Narrow" w:eastAsia="Times New Roman" w:hAnsi="Arial Narrow" w:cs="Arial"/>
                <w:b/>
                <w:bCs/>
                <w:sz w:val="16"/>
                <w:szCs w:val="16"/>
                <w:lang w:eastAsia="it-IT"/>
              </w:rPr>
              <w:t xml:space="preserve"> </w:t>
            </w:r>
            <w:proofErr w:type="spellStart"/>
            <w:r w:rsidRPr="001C064C">
              <w:rPr>
                <w:rFonts w:ascii="Arial Narrow" w:eastAsia="Times New Roman" w:hAnsi="Arial Narrow" w:cs="Arial"/>
                <w:b/>
                <w:bCs/>
                <w:sz w:val="16"/>
                <w:szCs w:val="16"/>
                <w:lang w:eastAsia="it-IT"/>
              </w:rPr>
              <w:t>crops</w:t>
            </w:r>
            <w:proofErr w:type="spellEnd"/>
          </w:p>
        </w:tc>
        <w:tc>
          <w:tcPr>
            <w:tcW w:w="411" w:type="pct"/>
            <w:shd w:val="clear" w:color="auto" w:fill="auto"/>
            <w:vAlign w:val="center"/>
            <w:hideMark/>
          </w:tcPr>
          <w:p w14:paraId="32472411"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 xml:space="preserve">30.301 </w:t>
            </w:r>
          </w:p>
        </w:tc>
        <w:tc>
          <w:tcPr>
            <w:tcW w:w="455" w:type="pct"/>
            <w:shd w:val="clear" w:color="auto" w:fill="auto"/>
            <w:vAlign w:val="center"/>
            <w:hideMark/>
          </w:tcPr>
          <w:p w14:paraId="6E3F74FE"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+1,6</w:t>
            </w:r>
          </w:p>
        </w:tc>
        <w:tc>
          <w:tcPr>
            <w:tcW w:w="455" w:type="pct"/>
            <w:shd w:val="clear" w:color="auto" w:fill="auto"/>
            <w:vAlign w:val="center"/>
            <w:hideMark/>
          </w:tcPr>
          <w:p w14:paraId="137825CB"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+2,1</w:t>
            </w:r>
          </w:p>
        </w:tc>
        <w:tc>
          <w:tcPr>
            <w:tcW w:w="455" w:type="pct"/>
            <w:shd w:val="clear" w:color="auto" w:fill="auto"/>
            <w:vAlign w:val="center"/>
            <w:hideMark/>
          </w:tcPr>
          <w:p w14:paraId="034E976B"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+3,8</w:t>
            </w:r>
          </w:p>
        </w:tc>
        <w:tc>
          <w:tcPr>
            <w:tcW w:w="79" w:type="pct"/>
            <w:tcBorders>
              <w:top w:val="nil"/>
              <w:bottom w:val="nil"/>
            </w:tcBorders>
            <w:shd w:val="clear" w:color="auto" w:fill="auto"/>
            <w:noWrap/>
            <w:vAlign w:val="center"/>
            <w:hideMark/>
          </w:tcPr>
          <w:p w14:paraId="79139FF6"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p>
        </w:tc>
        <w:tc>
          <w:tcPr>
            <w:tcW w:w="397" w:type="pct"/>
            <w:shd w:val="clear" w:color="auto" w:fill="auto"/>
            <w:vAlign w:val="center"/>
            <w:hideMark/>
          </w:tcPr>
          <w:p w14:paraId="00EC9423"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 xml:space="preserve">32.034 </w:t>
            </w:r>
          </w:p>
        </w:tc>
        <w:tc>
          <w:tcPr>
            <w:tcW w:w="455" w:type="pct"/>
            <w:shd w:val="clear" w:color="auto" w:fill="auto"/>
            <w:vAlign w:val="center"/>
            <w:hideMark/>
          </w:tcPr>
          <w:p w14:paraId="0EFBBF2F"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-3,7</w:t>
            </w:r>
          </w:p>
        </w:tc>
        <w:tc>
          <w:tcPr>
            <w:tcW w:w="455" w:type="pct"/>
            <w:shd w:val="clear" w:color="auto" w:fill="auto"/>
            <w:vAlign w:val="center"/>
            <w:hideMark/>
          </w:tcPr>
          <w:p w14:paraId="6AE237F4"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+9,8</w:t>
            </w:r>
          </w:p>
        </w:tc>
        <w:tc>
          <w:tcPr>
            <w:tcW w:w="453" w:type="pct"/>
            <w:shd w:val="clear" w:color="auto" w:fill="auto"/>
            <w:vAlign w:val="center"/>
            <w:hideMark/>
          </w:tcPr>
          <w:p w14:paraId="038974BB"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+5,7</w:t>
            </w:r>
          </w:p>
        </w:tc>
      </w:tr>
      <w:tr w:rsidR="00FE3268" w:rsidRPr="000E4DD7" w14:paraId="4323D9C6" w14:textId="77777777" w:rsidTr="009453DC">
        <w:trPr>
          <w:trHeight w:val="227"/>
        </w:trPr>
        <w:tc>
          <w:tcPr>
            <w:tcW w:w="1386" w:type="pct"/>
            <w:shd w:val="clear" w:color="auto" w:fill="auto"/>
            <w:vAlign w:val="center"/>
            <w:hideMark/>
          </w:tcPr>
          <w:p w14:paraId="53638601" w14:textId="371F8565" w:rsidR="00FE3268" w:rsidRPr="000E4DD7" w:rsidRDefault="001C064C" w:rsidP="006A3A97">
            <w:pPr>
              <w:widowControl/>
              <w:autoSpaceDE/>
              <w:autoSpaceDN/>
              <w:spacing w:before="40" w:after="20"/>
              <w:rPr>
                <w:rFonts w:ascii="Arial Narrow" w:eastAsia="Times New Roman" w:hAnsi="Arial Narrow" w:cs="Arial"/>
                <w:sz w:val="16"/>
                <w:szCs w:val="16"/>
                <w:lang w:eastAsia="it-IT"/>
              </w:rPr>
            </w:pPr>
            <w:proofErr w:type="spellStart"/>
            <w:r>
              <w:rPr>
                <w:rFonts w:ascii="Arial Narrow" w:eastAsia="Times New Roman" w:hAnsi="Arial Narrow" w:cs="Arial"/>
                <w:sz w:val="16"/>
                <w:szCs w:val="16"/>
                <w:lang w:eastAsia="it-IT"/>
              </w:rPr>
              <w:t>Cereals</w:t>
            </w:r>
            <w:proofErr w:type="spellEnd"/>
          </w:p>
        </w:tc>
        <w:tc>
          <w:tcPr>
            <w:tcW w:w="411" w:type="pct"/>
            <w:shd w:val="clear" w:color="auto" w:fill="D9D9D9" w:themeFill="background1" w:themeFillShade="D9"/>
            <w:vAlign w:val="center"/>
            <w:hideMark/>
          </w:tcPr>
          <w:p w14:paraId="2C18AF1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4.071 </w:t>
            </w:r>
          </w:p>
        </w:tc>
        <w:tc>
          <w:tcPr>
            <w:tcW w:w="455" w:type="pct"/>
            <w:shd w:val="clear" w:color="auto" w:fill="auto"/>
            <w:vAlign w:val="center"/>
            <w:hideMark/>
          </w:tcPr>
          <w:p w14:paraId="4A02510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+3,4</w:t>
            </w:r>
          </w:p>
        </w:tc>
        <w:tc>
          <w:tcPr>
            <w:tcW w:w="455" w:type="pct"/>
            <w:shd w:val="clear" w:color="auto" w:fill="D9D9D9" w:themeFill="background1" w:themeFillShade="D9"/>
            <w:vAlign w:val="center"/>
            <w:hideMark/>
          </w:tcPr>
          <w:p w14:paraId="55EAAE6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+4,8</w:t>
            </w:r>
          </w:p>
        </w:tc>
        <w:tc>
          <w:tcPr>
            <w:tcW w:w="455" w:type="pct"/>
            <w:shd w:val="clear" w:color="auto" w:fill="auto"/>
            <w:vAlign w:val="center"/>
            <w:hideMark/>
          </w:tcPr>
          <w:p w14:paraId="2731050D"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+8,3</w:t>
            </w:r>
          </w:p>
        </w:tc>
        <w:tc>
          <w:tcPr>
            <w:tcW w:w="79" w:type="pct"/>
            <w:tcBorders>
              <w:top w:val="nil"/>
              <w:bottom w:val="nil"/>
            </w:tcBorders>
            <w:shd w:val="clear" w:color="auto" w:fill="auto"/>
            <w:noWrap/>
            <w:vAlign w:val="center"/>
            <w:hideMark/>
          </w:tcPr>
          <w:p w14:paraId="1E9B8B9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50468E06"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5.217 </w:t>
            </w:r>
          </w:p>
        </w:tc>
        <w:tc>
          <w:tcPr>
            <w:tcW w:w="455" w:type="pct"/>
            <w:shd w:val="clear" w:color="auto" w:fill="auto"/>
            <w:vAlign w:val="center"/>
            <w:hideMark/>
          </w:tcPr>
          <w:p w14:paraId="3DC34D2D"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-2,9</w:t>
            </w:r>
          </w:p>
        </w:tc>
        <w:tc>
          <w:tcPr>
            <w:tcW w:w="455" w:type="pct"/>
            <w:shd w:val="clear" w:color="auto" w:fill="auto"/>
            <w:vAlign w:val="center"/>
            <w:hideMark/>
          </w:tcPr>
          <w:p w14:paraId="08749EC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+31,9</w:t>
            </w:r>
          </w:p>
        </w:tc>
        <w:tc>
          <w:tcPr>
            <w:tcW w:w="453" w:type="pct"/>
            <w:shd w:val="clear" w:color="auto" w:fill="D9D9D9" w:themeFill="background1" w:themeFillShade="D9"/>
            <w:vAlign w:val="center"/>
            <w:hideMark/>
          </w:tcPr>
          <w:p w14:paraId="7CFAF8B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+28,1</w:t>
            </w:r>
          </w:p>
        </w:tc>
      </w:tr>
      <w:tr w:rsidR="00FE3268" w:rsidRPr="000E4DD7" w14:paraId="48380D3E" w14:textId="77777777" w:rsidTr="009453DC">
        <w:trPr>
          <w:trHeight w:val="227"/>
        </w:trPr>
        <w:tc>
          <w:tcPr>
            <w:tcW w:w="1386" w:type="pct"/>
            <w:shd w:val="clear" w:color="auto" w:fill="auto"/>
            <w:vAlign w:val="center"/>
            <w:hideMark/>
          </w:tcPr>
          <w:p w14:paraId="51664663" w14:textId="1827610A" w:rsidR="00FE3268" w:rsidRPr="000E4DD7" w:rsidRDefault="001C064C" w:rsidP="006A3A97">
            <w:pPr>
              <w:widowControl/>
              <w:autoSpaceDE/>
              <w:autoSpaceDN/>
              <w:spacing w:before="40" w:after="20"/>
              <w:rPr>
                <w:rFonts w:ascii="Arial Narrow" w:eastAsia="Times New Roman" w:hAnsi="Arial Narrow" w:cs="Arial"/>
                <w:sz w:val="16"/>
                <w:szCs w:val="16"/>
                <w:lang w:eastAsia="it-IT"/>
              </w:rPr>
            </w:pPr>
            <w:proofErr w:type="spellStart"/>
            <w:r w:rsidRPr="001C064C">
              <w:rPr>
                <w:rFonts w:ascii="Arial Narrow" w:eastAsia="Times New Roman" w:hAnsi="Arial Narrow" w:cs="Arial"/>
                <w:sz w:val="16"/>
                <w:szCs w:val="16"/>
                <w:lang w:eastAsia="it-IT"/>
              </w:rPr>
              <w:t>Legumes</w:t>
            </w:r>
            <w:proofErr w:type="spellEnd"/>
          </w:p>
        </w:tc>
        <w:tc>
          <w:tcPr>
            <w:tcW w:w="411" w:type="pct"/>
            <w:shd w:val="clear" w:color="auto" w:fill="D9D9D9" w:themeFill="background1" w:themeFillShade="D9"/>
            <w:vAlign w:val="center"/>
            <w:hideMark/>
          </w:tcPr>
          <w:p w14:paraId="5BA72C6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176 </w:t>
            </w:r>
          </w:p>
        </w:tc>
        <w:tc>
          <w:tcPr>
            <w:tcW w:w="455" w:type="pct"/>
            <w:shd w:val="clear" w:color="auto" w:fill="auto"/>
            <w:vAlign w:val="center"/>
            <w:hideMark/>
          </w:tcPr>
          <w:p w14:paraId="375FC04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-3,7</w:t>
            </w:r>
          </w:p>
        </w:tc>
        <w:tc>
          <w:tcPr>
            <w:tcW w:w="455" w:type="pct"/>
            <w:shd w:val="clear" w:color="auto" w:fill="D9D9D9" w:themeFill="background1" w:themeFillShade="D9"/>
            <w:vAlign w:val="center"/>
            <w:hideMark/>
          </w:tcPr>
          <w:p w14:paraId="6F60B24B"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+1,8</w:t>
            </w:r>
          </w:p>
        </w:tc>
        <w:tc>
          <w:tcPr>
            <w:tcW w:w="455" w:type="pct"/>
            <w:shd w:val="clear" w:color="auto" w:fill="auto"/>
            <w:vAlign w:val="center"/>
            <w:hideMark/>
          </w:tcPr>
          <w:p w14:paraId="6BA4D82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-2,0</w:t>
            </w:r>
          </w:p>
        </w:tc>
        <w:tc>
          <w:tcPr>
            <w:tcW w:w="79" w:type="pct"/>
            <w:tcBorders>
              <w:top w:val="nil"/>
              <w:bottom w:val="nil"/>
            </w:tcBorders>
            <w:shd w:val="clear" w:color="auto" w:fill="auto"/>
            <w:noWrap/>
            <w:vAlign w:val="center"/>
            <w:hideMark/>
          </w:tcPr>
          <w:p w14:paraId="2E0592E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26E1AB6B"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172 </w:t>
            </w:r>
          </w:p>
        </w:tc>
        <w:tc>
          <w:tcPr>
            <w:tcW w:w="455" w:type="pct"/>
            <w:shd w:val="clear" w:color="auto" w:fill="auto"/>
            <w:vAlign w:val="center"/>
            <w:hideMark/>
          </w:tcPr>
          <w:p w14:paraId="3A79F93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-11,8</w:t>
            </w:r>
          </w:p>
        </w:tc>
        <w:tc>
          <w:tcPr>
            <w:tcW w:w="455" w:type="pct"/>
            <w:shd w:val="clear" w:color="auto" w:fill="auto"/>
            <w:vAlign w:val="center"/>
            <w:hideMark/>
          </w:tcPr>
          <w:p w14:paraId="745BA366"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+10,6</w:t>
            </w:r>
          </w:p>
        </w:tc>
        <w:tc>
          <w:tcPr>
            <w:tcW w:w="453" w:type="pct"/>
            <w:shd w:val="clear" w:color="auto" w:fill="D9D9D9" w:themeFill="background1" w:themeFillShade="D9"/>
            <w:vAlign w:val="center"/>
            <w:hideMark/>
          </w:tcPr>
          <w:p w14:paraId="7A988520"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-2,5</w:t>
            </w:r>
          </w:p>
        </w:tc>
      </w:tr>
      <w:tr w:rsidR="00FE3268" w:rsidRPr="000E4DD7" w14:paraId="7B3A2754" w14:textId="77777777" w:rsidTr="009453DC">
        <w:trPr>
          <w:trHeight w:val="227"/>
        </w:trPr>
        <w:tc>
          <w:tcPr>
            <w:tcW w:w="1386" w:type="pct"/>
            <w:shd w:val="clear" w:color="auto" w:fill="auto"/>
            <w:vAlign w:val="center"/>
            <w:hideMark/>
          </w:tcPr>
          <w:p w14:paraId="2960DDAA" w14:textId="0D880A6D" w:rsidR="00FE3268" w:rsidRPr="000E4DD7" w:rsidRDefault="001C064C" w:rsidP="006A3A97">
            <w:pPr>
              <w:widowControl/>
              <w:autoSpaceDE/>
              <w:autoSpaceDN/>
              <w:spacing w:before="40" w:after="20"/>
              <w:rPr>
                <w:rFonts w:ascii="Arial Narrow" w:eastAsia="Times New Roman" w:hAnsi="Arial Narrow" w:cs="Arial"/>
                <w:sz w:val="16"/>
                <w:szCs w:val="16"/>
                <w:lang w:eastAsia="it-IT"/>
              </w:rPr>
            </w:pPr>
            <w:proofErr w:type="spellStart"/>
            <w:r w:rsidRPr="001C064C">
              <w:rPr>
                <w:rFonts w:ascii="Arial Narrow" w:eastAsia="Times New Roman" w:hAnsi="Arial Narrow" w:cs="Arial"/>
                <w:sz w:val="16"/>
                <w:szCs w:val="16"/>
                <w:lang w:eastAsia="it-IT"/>
              </w:rPr>
              <w:t>Potatoes</w:t>
            </w:r>
            <w:proofErr w:type="spellEnd"/>
            <w:r w:rsidRPr="001C064C">
              <w:rPr>
                <w:rFonts w:ascii="Arial Narrow" w:eastAsia="Times New Roman" w:hAnsi="Arial Narrow" w:cs="Arial"/>
                <w:sz w:val="16"/>
                <w:szCs w:val="16"/>
                <w:lang w:eastAsia="it-IT"/>
              </w:rPr>
              <w:t xml:space="preserve"> and </w:t>
            </w:r>
            <w:proofErr w:type="spellStart"/>
            <w:r w:rsidRPr="001C064C">
              <w:rPr>
                <w:rFonts w:ascii="Arial Narrow" w:eastAsia="Times New Roman" w:hAnsi="Arial Narrow" w:cs="Arial"/>
                <w:sz w:val="16"/>
                <w:szCs w:val="16"/>
                <w:lang w:eastAsia="it-IT"/>
              </w:rPr>
              <w:t>vegetables</w:t>
            </w:r>
            <w:proofErr w:type="spellEnd"/>
          </w:p>
        </w:tc>
        <w:tc>
          <w:tcPr>
            <w:tcW w:w="411" w:type="pct"/>
            <w:shd w:val="clear" w:color="auto" w:fill="D9D9D9" w:themeFill="background1" w:themeFillShade="D9"/>
            <w:vAlign w:val="center"/>
            <w:hideMark/>
          </w:tcPr>
          <w:p w14:paraId="042489F2"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9.035 </w:t>
            </w:r>
          </w:p>
        </w:tc>
        <w:tc>
          <w:tcPr>
            <w:tcW w:w="455" w:type="pct"/>
            <w:shd w:val="clear" w:color="auto" w:fill="auto"/>
            <w:vAlign w:val="center"/>
            <w:hideMark/>
          </w:tcPr>
          <w:p w14:paraId="08CCAB76"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+2,0</w:t>
            </w:r>
          </w:p>
        </w:tc>
        <w:tc>
          <w:tcPr>
            <w:tcW w:w="455" w:type="pct"/>
            <w:shd w:val="clear" w:color="auto" w:fill="D9D9D9" w:themeFill="background1" w:themeFillShade="D9"/>
            <w:vAlign w:val="center"/>
            <w:hideMark/>
          </w:tcPr>
          <w:p w14:paraId="2EDA773B"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+2,5</w:t>
            </w:r>
          </w:p>
        </w:tc>
        <w:tc>
          <w:tcPr>
            <w:tcW w:w="455" w:type="pct"/>
            <w:shd w:val="clear" w:color="auto" w:fill="auto"/>
            <w:vAlign w:val="center"/>
            <w:hideMark/>
          </w:tcPr>
          <w:p w14:paraId="0E1CD01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+4,6</w:t>
            </w:r>
          </w:p>
        </w:tc>
        <w:tc>
          <w:tcPr>
            <w:tcW w:w="79" w:type="pct"/>
            <w:tcBorders>
              <w:top w:val="nil"/>
              <w:bottom w:val="nil"/>
            </w:tcBorders>
            <w:shd w:val="clear" w:color="auto" w:fill="auto"/>
            <w:noWrap/>
            <w:vAlign w:val="center"/>
            <w:hideMark/>
          </w:tcPr>
          <w:p w14:paraId="02683BBB"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73C836F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9.125 </w:t>
            </w:r>
          </w:p>
        </w:tc>
        <w:tc>
          <w:tcPr>
            <w:tcW w:w="455" w:type="pct"/>
            <w:shd w:val="clear" w:color="auto" w:fill="auto"/>
            <w:vAlign w:val="center"/>
            <w:hideMark/>
          </w:tcPr>
          <w:p w14:paraId="62F0BCB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-1,7</w:t>
            </w:r>
          </w:p>
        </w:tc>
        <w:tc>
          <w:tcPr>
            <w:tcW w:w="455" w:type="pct"/>
            <w:shd w:val="clear" w:color="auto" w:fill="auto"/>
            <w:vAlign w:val="center"/>
            <w:hideMark/>
          </w:tcPr>
          <w:p w14:paraId="4885222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+2,7</w:t>
            </w:r>
          </w:p>
        </w:tc>
        <w:tc>
          <w:tcPr>
            <w:tcW w:w="453" w:type="pct"/>
            <w:shd w:val="clear" w:color="auto" w:fill="D9D9D9" w:themeFill="background1" w:themeFillShade="D9"/>
            <w:vAlign w:val="center"/>
            <w:hideMark/>
          </w:tcPr>
          <w:p w14:paraId="367D2D2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+1,0</w:t>
            </w:r>
          </w:p>
        </w:tc>
      </w:tr>
      <w:tr w:rsidR="00FE3268" w:rsidRPr="000E4DD7" w14:paraId="06F248B0" w14:textId="77777777" w:rsidTr="009453DC">
        <w:trPr>
          <w:trHeight w:val="227"/>
        </w:trPr>
        <w:tc>
          <w:tcPr>
            <w:tcW w:w="1386" w:type="pct"/>
            <w:shd w:val="clear" w:color="auto" w:fill="auto"/>
            <w:vAlign w:val="center"/>
            <w:hideMark/>
          </w:tcPr>
          <w:p w14:paraId="0103AC84" w14:textId="380EA1DB" w:rsidR="00FE3268" w:rsidRPr="000E4DD7" w:rsidRDefault="001C064C" w:rsidP="006A3A97">
            <w:pPr>
              <w:widowControl/>
              <w:autoSpaceDE/>
              <w:autoSpaceDN/>
              <w:spacing w:before="40" w:after="20"/>
              <w:rPr>
                <w:rFonts w:ascii="Arial Narrow" w:eastAsia="Times New Roman" w:hAnsi="Arial Narrow" w:cs="Arial"/>
                <w:sz w:val="16"/>
                <w:szCs w:val="16"/>
                <w:lang w:eastAsia="it-IT"/>
              </w:rPr>
            </w:pPr>
            <w:r w:rsidRPr="001C064C">
              <w:rPr>
                <w:rFonts w:ascii="Arial Narrow" w:eastAsia="Times New Roman" w:hAnsi="Arial Narrow" w:cs="Arial"/>
                <w:sz w:val="16"/>
                <w:szCs w:val="16"/>
                <w:lang w:eastAsia="it-IT"/>
              </w:rPr>
              <w:t xml:space="preserve">Industrial </w:t>
            </w:r>
            <w:proofErr w:type="spellStart"/>
            <w:r w:rsidRPr="001C064C">
              <w:rPr>
                <w:rFonts w:ascii="Arial Narrow" w:eastAsia="Times New Roman" w:hAnsi="Arial Narrow" w:cs="Arial"/>
                <w:sz w:val="16"/>
                <w:szCs w:val="16"/>
                <w:lang w:eastAsia="it-IT"/>
              </w:rPr>
              <w:t>crops</w:t>
            </w:r>
            <w:proofErr w:type="spellEnd"/>
          </w:p>
        </w:tc>
        <w:tc>
          <w:tcPr>
            <w:tcW w:w="411" w:type="pct"/>
            <w:shd w:val="clear" w:color="auto" w:fill="D9D9D9" w:themeFill="background1" w:themeFillShade="D9"/>
            <w:vAlign w:val="center"/>
            <w:hideMark/>
          </w:tcPr>
          <w:p w14:paraId="04FE061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667 </w:t>
            </w:r>
          </w:p>
        </w:tc>
        <w:tc>
          <w:tcPr>
            <w:tcW w:w="455" w:type="pct"/>
            <w:shd w:val="clear" w:color="auto" w:fill="auto"/>
            <w:vAlign w:val="center"/>
            <w:hideMark/>
          </w:tcPr>
          <w:p w14:paraId="203D6F4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-2,2</w:t>
            </w:r>
          </w:p>
        </w:tc>
        <w:tc>
          <w:tcPr>
            <w:tcW w:w="455" w:type="pct"/>
            <w:shd w:val="clear" w:color="auto" w:fill="D9D9D9" w:themeFill="background1" w:themeFillShade="D9"/>
            <w:vAlign w:val="center"/>
            <w:hideMark/>
          </w:tcPr>
          <w:p w14:paraId="6FE3264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+7,3</w:t>
            </w:r>
          </w:p>
        </w:tc>
        <w:tc>
          <w:tcPr>
            <w:tcW w:w="455" w:type="pct"/>
            <w:shd w:val="clear" w:color="auto" w:fill="auto"/>
            <w:vAlign w:val="center"/>
            <w:hideMark/>
          </w:tcPr>
          <w:p w14:paraId="784176A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+5,0</w:t>
            </w:r>
          </w:p>
        </w:tc>
        <w:tc>
          <w:tcPr>
            <w:tcW w:w="79" w:type="pct"/>
            <w:tcBorders>
              <w:top w:val="nil"/>
              <w:bottom w:val="nil"/>
            </w:tcBorders>
            <w:shd w:val="clear" w:color="auto" w:fill="auto"/>
            <w:noWrap/>
            <w:vAlign w:val="center"/>
            <w:hideMark/>
          </w:tcPr>
          <w:p w14:paraId="0271037D"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449F95C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796 </w:t>
            </w:r>
          </w:p>
        </w:tc>
        <w:tc>
          <w:tcPr>
            <w:tcW w:w="455" w:type="pct"/>
            <w:shd w:val="clear" w:color="auto" w:fill="auto"/>
            <w:vAlign w:val="center"/>
            <w:hideMark/>
          </w:tcPr>
          <w:p w14:paraId="39418BB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-6,3</w:t>
            </w:r>
          </w:p>
        </w:tc>
        <w:tc>
          <w:tcPr>
            <w:tcW w:w="455" w:type="pct"/>
            <w:shd w:val="clear" w:color="auto" w:fill="auto"/>
            <w:vAlign w:val="center"/>
            <w:hideMark/>
          </w:tcPr>
          <w:p w14:paraId="229A0AE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+27,4</w:t>
            </w:r>
          </w:p>
        </w:tc>
        <w:tc>
          <w:tcPr>
            <w:tcW w:w="453" w:type="pct"/>
            <w:shd w:val="clear" w:color="auto" w:fill="D9D9D9" w:themeFill="background1" w:themeFillShade="D9"/>
            <w:vAlign w:val="center"/>
            <w:hideMark/>
          </w:tcPr>
          <w:p w14:paraId="0AA21452"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+19,4</w:t>
            </w:r>
          </w:p>
        </w:tc>
      </w:tr>
      <w:tr w:rsidR="00FE3268" w:rsidRPr="000E4DD7" w14:paraId="78C90F44" w14:textId="77777777" w:rsidTr="009453DC">
        <w:trPr>
          <w:trHeight w:val="227"/>
        </w:trPr>
        <w:tc>
          <w:tcPr>
            <w:tcW w:w="1386" w:type="pct"/>
            <w:shd w:val="clear" w:color="auto" w:fill="auto"/>
            <w:vAlign w:val="center"/>
            <w:hideMark/>
          </w:tcPr>
          <w:p w14:paraId="17DB3293" w14:textId="6093D22D" w:rsidR="00FE3268" w:rsidRPr="000E4DD7" w:rsidRDefault="001C064C" w:rsidP="006A3A97">
            <w:pPr>
              <w:widowControl/>
              <w:autoSpaceDE/>
              <w:autoSpaceDN/>
              <w:spacing w:before="40" w:after="20"/>
              <w:rPr>
                <w:rFonts w:ascii="Arial Narrow" w:eastAsia="Times New Roman" w:hAnsi="Arial Narrow" w:cs="Arial"/>
                <w:sz w:val="16"/>
                <w:szCs w:val="16"/>
                <w:lang w:eastAsia="it-IT"/>
              </w:rPr>
            </w:pPr>
            <w:r w:rsidRPr="001C064C">
              <w:rPr>
                <w:rFonts w:ascii="Arial Narrow" w:eastAsia="Times New Roman" w:hAnsi="Arial Narrow" w:cs="Arial"/>
                <w:sz w:val="16"/>
                <w:szCs w:val="16"/>
                <w:lang w:eastAsia="it-IT"/>
              </w:rPr>
              <w:t>Flowers</w:t>
            </w:r>
          </w:p>
        </w:tc>
        <w:tc>
          <w:tcPr>
            <w:tcW w:w="411" w:type="pct"/>
            <w:shd w:val="clear" w:color="auto" w:fill="D9D9D9" w:themeFill="background1" w:themeFillShade="D9"/>
            <w:vAlign w:val="center"/>
            <w:hideMark/>
          </w:tcPr>
          <w:p w14:paraId="4F2FF27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1.231 </w:t>
            </w:r>
          </w:p>
        </w:tc>
        <w:tc>
          <w:tcPr>
            <w:tcW w:w="455" w:type="pct"/>
            <w:shd w:val="clear" w:color="auto" w:fill="auto"/>
            <w:vAlign w:val="center"/>
            <w:hideMark/>
          </w:tcPr>
          <w:p w14:paraId="7D74A600"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-9,0</w:t>
            </w:r>
          </w:p>
        </w:tc>
        <w:tc>
          <w:tcPr>
            <w:tcW w:w="455" w:type="pct"/>
            <w:shd w:val="clear" w:color="auto" w:fill="D9D9D9" w:themeFill="background1" w:themeFillShade="D9"/>
            <w:vAlign w:val="center"/>
            <w:hideMark/>
          </w:tcPr>
          <w:p w14:paraId="7F113CB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+6,5</w:t>
            </w:r>
          </w:p>
        </w:tc>
        <w:tc>
          <w:tcPr>
            <w:tcW w:w="455" w:type="pct"/>
            <w:shd w:val="clear" w:color="auto" w:fill="auto"/>
            <w:vAlign w:val="center"/>
            <w:hideMark/>
          </w:tcPr>
          <w:p w14:paraId="535430D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-3,0</w:t>
            </w:r>
          </w:p>
        </w:tc>
        <w:tc>
          <w:tcPr>
            <w:tcW w:w="79" w:type="pct"/>
            <w:tcBorders>
              <w:top w:val="nil"/>
              <w:bottom w:val="nil"/>
            </w:tcBorders>
            <w:shd w:val="clear" w:color="auto" w:fill="auto"/>
            <w:noWrap/>
            <w:vAlign w:val="center"/>
            <w:hideMark/>
          </w:tcPr>
          <w:p w14:paraId="5FE2B6F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17931707"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1.295 </w:t>
            </w:r>
          </w:p>
        </w:tc>
        <w:tc>
          <w:tcPr>
            <w:tcW w:w="455" w:type="pct"/>
            <w:shd w:val="clear" w:color="auto" w:fill="auto"/>
            <w:vAlign w:val="center"/>
            <w:hideMark/>
          </w:tcPr>
          <w:p w14:paraId="00E7187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+3,1</w:t>
            </w:r>
          </w:p>
        </w:tc>
        <w:tc>
          <w:tcPr>
            <w:tcW w:w="455" w:type="pct"/>
            <w:shd w:val="clear" w:color="auto" w:fill="auto"/>
            <w:vAlign w:val="center"/>
            <w:hideMark/>
          </w:tcPr>
          <w:p w14:paraId="3CA2A4E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+2,0</w:t>
            </w:r>
          </w:p>
        </w:tc>
        <w:tc>
          <w:tcPr>
            <w:tcW w:w="453" w:type="pct"/>
            <w:shd w:val="clear" w:color="auto" w:fill="D9D9D9" w:themeFill="background1" w:themeFillShade="D9"/>
            <w:vAlign w:val="center"/>
            <w:hideMark/>
          </w:tcPr>
          <w:p w14:paraId="469C648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+5,2</w:t>
            </w:r>
          </w:p>
        </w:tc>
      </w:tr>
      <w:tr w:rsidR="00FE3268" w:rsidRPr="000E4DD7" w14:paraId="24D0BD68" w14:textId="77777777" w:rsidTr="009453DC">
        <w:trPr>
          <w:trHeight w:val="227"/>
        </w:trPr>
        <w:tc>
          <w:tcPr>
            <w:tcW w:w="1386" w:type="pct"/>
            <w:shd w:val="clear" w:color="auto" w:fill="auto"/>
            <w:vAlign w:val="center"/>
            <w:hideMark/>
          </w:tcPr>
          <w:p w14:paraId="545B9272" w14:textId="34F19614" w:rsidR="00FE3268" w:rsidRPr="000E4DD7" w:rsidRDefault="001C064C" w:rsidP="006A3A97">
            <w:pPr>
              <w:widowControl/>
              <w:autoSpaceDE/>
              <w:autoSpaceDN/>
              <w:spacing w:before="40" w:after="20"/>
              <w:rPr>
                <w:rFonts w:ascii="Arial Narrow" w:eastAsia="Times New Roman" w:hAnsi="Arial Narrow" w:cs="Arial"/>
                <w:sz w:val="16"/>
                <w:szCs w:val="16"/>
                <w:lang w:eastAsia="it-IT"/>
              </w:rPr>
            </w:pPr>
            <w:proofErr w:type="spellStart"/>
            <w:r w:rsidRPr="001C064C">
              <w:rPr>
                <w:rFonts w:ascii="Arial Narrow" w:eastAsia="Times New Roman" w:hAnsi="Arial Narrow" w:cs="Arial"/>
                <w:sz w:val="16"/>
                <w:szCs w:val="16"/>
                <w:lang w:eastAsia="it-IT"/>
              </w:rPr>
              <w:t>Forage</w:t>
            </w:r>
            <w:proofErr w:type="spellEnd"/>
          </w:p>
        </w:tc>
        <w:tc>
          <w:tcPr>
            <w:tcW w:w="411" w:type="pct"/>
            <w:shd w:val="clear" w:color="auto" w:fill="D9D9D9" w:themeFill="background1" w:themeFillShade="D9"/>
            <w:vAlign w:val="center"/>
            <w:hideMark/>
          </w:tcPr>
          <w:p w14:paraId="580E0B3C"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1.707 </w:t>
            </w:r>
          </w:p>
        </w:tc>
        <w:tc>
          <w:tcPr>
            <w:tcW w:w="455" w:type="pct"/>
            <w:shd w:val="clear" w:color="auto" w:fill="auto"/>
            <w:vAlign w:val="center"/>
            <w:hideMark/>
          </w:tcPr>
          <w:p w14:paraId="2DD1E540"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-0,3</w:t>
            </w:r>
          </w:p>
        </w:tc>
        <w:tc>
          <w:tcPr>
            <w:tcW w:w="455" w:type="pct"/>
            <w:shd w:val="clear" w:color="auto" w:fill="D9D9D9" w:themeFill="background1" w:themeFillShade="D9"/>
            <w:vAlign w:val="center"/>
            <w:hideMark/>
          </w:tcPr>
          <w:p w14:paraId="685483A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-4,2</w:t>
            </w:r>
          </w:p>
        </w:tc>
        <w:tc>
          <w:tcPr>
            <w:tcW w:w="455" w:type="pct"/>
            <w:shd w:val="clear" w:color="auto" w:fill="auto"/>
            <w:vAlign w:val="center"/>
            <w:hideMark/>
          </w:tcPr>
          <w:p w14:paraId="0D4C128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-4,4</w:t>
            </w:r>
          </w:p>
        </w:tc>
        <w:tc>
          <w:tcPr>
            <w:tcW w:w="79" w:type="pct"/>
            <w:tcBorders>
              <w:top w:val="nil"/>
              <w:bottom w:val="nil"/>
            </w:tcBorders>
            <w:shd w:val="clear" w:color="auto" w:fill="auto"/>
            <w:noWrap/>
            <w:vAlign w:val="center"/>
            <w:hideMark/>
          </w:tcPr>
          <w:p w14:paraId="3A6FDC5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70642BB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2.008 </w:t>
            </w:r>
          </w:p>
        </w:tc>
        <w:tc>
          <w:tcPr>
            <w:tcW w:w="455" w:type="pct"/>
            <w:shd w:val="clear" w:color="auto" w:fill="auto"/>
            <w:vAlign w:val="center"/>
            <w:hideMark/>
          </w:tcPr>
          <w:p w14:paraId="4DEE54A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-0,2</w:t>
            </w:r>
          </w:p>
        </w:tc>
        <w:tc>
          <w:tcPr>
            <w:tcW w:w="455" w:type="pct"/>
            <w:shd w:val="clear" w:color="auto" w:fill="auto"/>
            <w:vAlign w:val="center"/>
            <w:hideMark/>
          </w:tcPr>
          <w:p w14:paraId="4B32CC5B"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+17,8</w:t>
            </w:r>
          </w:p>
        </w:tc>
        <w:tc>
          <w:tcPr>
            <w:tcW w:w="453" w:type="pct"/>
            <w:shd w:val="clear" w:color="auto" w:fill="D9D9D9" w:themeFill="background1" w:themeFillShade="D9"/>
            <w:vAlign w:val="center"/>
            <w:hideMark/>
          </w:tcPr>
          <w:p w14:paraId="76D6ADA6"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+17,6</w:t>
            </w:r>
          </w:p>
        </w:tc>
      </w:tr>
      <w:tr w:rsidR="00FE3268" w:rsidRPr="000E4DD7" w14:paraId="4124D23D" w14:textId="77777777" w:rsidTr="009453DC">
        <w:trPr>
          <w:trHeight w:val="227"/>
        </w:trPr>
        <w:tc>
          <w:tcPr>
            <w:tcW w:w="1386" w:type="pct"/>
            <w:shd w:val="clear" w:color="auto" w:fill="auto"/>
            <w:vAlign w:val="center"/>
            <w:hideMark/>
          </w:tcPr>
          <w:p w14:paraId="76FEFB3F" w14:textId="03F49162" w:rsidR="00FE3268" w:rsidRPr="000E4DD7" w:rsidRDefault="001C064C" w:rsidP="006A3A97">
            <w:pPr>
              <w:widowControl/>
              <w:autoSpaceDE/>
              <w:autoSpaceDN/>
              <w:spacing w:before="40" w:after="20"/>
              <w:rPr>
                <w:rFonts w:ascii="Arial Narrow" w:eastAsia="Times New Roman" w:hAnsi="Arial Narrow" w:cs="Arial"/>
                <w:sz w:val="16"/>
                <w:szCs w:val="16"/>
                <w:lang w:eastAsia="it-IT"/>
              </w:rPr>
            </w:pPr>
            <w:r w:rsidRPr="001C064C">
              <w:rPr>
                <w:rFonts w:ascii="Arial Narrow" w:eastAsia="Times New Roman" w:hAnsi="Arial Narrow" w:cs="Arial"/>
                <w:sz w:val="16"/>
                <w:szCs w:val="16"/>
                <w:lang w:eastAsia="it-IT"/>
              </w:rPr>
              <w:t>Viticulture products</w:t>
            </w:r>
          </w:p>
        </w:tc>
        <w:tc>
          <w:tcPr>
            <w:tcW w:w="411" w:type="pct"/>
            <w:shd w:val="clear" w:color="auto" w:fill="D9D9D9" w:themeFill="background1" w:themeFillShade="D9"/>
            <w:vAlign w:val="center"/>
            <w:hideMark/>
          </w:tcPr>
          <w:p w14:paraId="2EF9902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6.026 </w:t>
            </w:r>
          </w:p>
        </w:tc>
        <w:tc>
          <w:tcPr>
            <w:tcW w:w="455" w:type="pct"/>
            <w:shd w:val="clear" w:color="auto" w:fill="auto"/>
            <w:vAlign w:val="center"/>
            <w:hideMark/>
          </w:tcPr>
          <w:p w14:paraId="371B1FB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+4,2</w:t>
            </w:r>
          </w:p>
        </w:tc>
        <w:tc>
          <w:tcPr>
            <w:tcW w:w="455" w:type="pct"/>
            <w:shd w:val="clear" w:color="auto" w:fill="D9D9D9" w:themeFill="background1" w:themeFillShade="D9"/>
            <w:vAlign w:val="center"/>
            <w:hideMark/>
          </w:tcPr>
          <w:p w14:paraId="269CDEF7"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-2,2</w:t>
            </w:r>
          </w:p>
        </w:tc>
        <w:tc>
          <w:tcPr>
            <w:tcW w:w="455" w:type="pct"/>
            <w:shd w:val="clear" w:color="auto" w:fill="auto"/>
            <w:vAlign w:val="center"/>
            <w:hideMark/>
          </w:tcPr>
          <w:p w14:paraId="6B226CA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+1,8</w:t>
            </w:r>
          </w:p>
        </w:tc>
        <w:tc>
          <w:tcPr>
            <w:tcW w:w="79" w:type="pct"/>
            <w:tcBorders>
              <w:top w:val="nil"/>
              <w:bottom w:val="nil"/>
            </w:tcBorders>
            <w:shd w:val="clear" w:color="auto" w:fill="auto"/>
            <w:noWrap/>
            <w:vAlign w:val="center"/>
            <w:hideMark/>
          </w:tcPr>
          <w:p w14:paraId="22AEB14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22D411F7"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5.876 </w:t>
            </w:r>
          </w:p>
        </w:tc>
        <w:tc>
          <w:tcPr>
            <w:tcW w:w="455" w:type="pct"/>
            <w:shd w:val="clear" w:color="auto" w:fill="auto"/>
            <w:vAlign w:val="center"/>
            <w:hideMark/>
          </w:tcPr>
          <w:p w14:paraId="3CC1FF6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-6,7</w:t>
            </w:r>
          </w:p>
        </w:tc>
        <w:tc>
          <w:tcPr>
            <w:tcW w:w="455" w:type="pct"/>
            <w:shd w:val="clear" w:color="auto" w:fill="auto"/>
            <w:vAlign w:val="center"/>
            <w:hideMark/>
          </w:tcPr>
          <w:p w14:paraId="797007F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+4,6</w:t>
            </w:r>
          </w:p>
        </w:tc>
        <w:tc>
          <w:tcPr>
            <w:tcW w:w="453" w:type="pct"/>
            <w:shd w:val="clear" w:color="auto" w:fill="D9D9D9" w:themeFill="background1" w:themeFillShade="D9"/>
            <w:vAlign w:val="center"/>
            <w:hideMark/>
          </w:tcPr>
          <w:p w14:paraId="59EF01CC"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-2,5</w:t>
            </w:r>
          </w:p>
        </w:tc>
      </w:tr>
      <w:tr w:rsidR="00FE3268" w:rsidRPr="000E4DD7" w14:paraId="5983DAF7" w14:textId="77777777" w:rsidTr="009453DC">
        <w:trPr>
          <w:trHeight w:val="227"/>
        </w:trPr>
        <w:tc>
          <w:tcPr>
            <w:tcW w:w="1386" w:type="pct"/>
            <w:shd w:val="clear" w:color="auto" w:fill="auto"/>
            <w:vAlign w:val="center"/>
            <w:hideMark/>
          </w:tcPr>
          <w:p w14:paraId="3CA253EA" w14:textId="6D133C46" w:rsidR="00FE3268" w:rsidRPr="000E4DD7" w:rsidRDefault="00FE3268" w:rsidP="006A3A97">
            <w:pPr>
              <w:widowControl/>
              <w:autoSpaceDE/>
              <w:autoSpaceDN/>
              <w:spacing w:before="40" w:after="20"/>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 </w:t>
            </w:r>
            <w:r w:rsidR="001C064C" w:rsidRPr="001C064C">
              <w:rPr>
                <w:rFonts w:ascii="Arial Narrow" w:eastAsia="Times New Roman" w:hAnsi="Arial Narrow" w:cs="Arial"/>
                <w:i/>
                <w:iCs/>
                <w:sz w:val="16"/>
                <w:szCs w:val="16"/>
                <w:lang w:eastAsia="it-IT"/>
              </w:rPr>
              <w:t xml:space="preserve">of </w:t>
            </w:r>
            <w:proofErr w:type="spellStart"/>
            <w:r w:rsidR="001C064C" w:rsidRPr="001C064C">
              <w:rPr>
                <w:rFonts w:ascii="Arial Narrow" w:eastAsia="Times New Roman" w:hAnsi="Arial Narrow" w:cs="Arial"/>
                <w:i/>
                <w:iCs/>
                <w:sz w:val="16"/>
                <w:szCs w:val="16"/>
                <w:lang w:eastAsia="it-IT"/>
              </w:rPr>
              <w:t>which</w:t>
            </w:r>
            <w:proofErr w:type="spellEnd"/>
            <w:r w:rsidR="001C064C" w:rsidRPr="001C064C">
              <w:rPr>
                <w:rFonts w:ascii="Arial Narrow" w:eastAsia="Times New Roman" w:hAnsi="Arial Narrow" w:cs="Arial"/>
                <w:i/>
                <w:iCs/>
                <w:sz w:val="16"/>
                <w:szCs w:val="16"/>
                <w:lang w:eastAsia="it-IT"/>
              </w:rPr>
              <w:t xml:space="preserve"> </w:t>
            </w:r>
            <w:proofErr w:type="spellStart"/>
            <w:r w:rsidR="001C064C" w:rsidRPr="001C064C">
              <w:rPr>
                <w:rFonts w:ascii="Arial Narrow" w:eastAsia="Times New Roman" w:hAnsi="Arial Narrow" w:cs="Arial"/>
                <w:i/>
                <w:iCs/>
                <w:sz w:val="16"/>
                <w:szCs w:val="16"/>
                <w:lang w:eastAsia="it-IT"/>
              </w:rPr>
              <w:t>wine</w:t>
            </w:r>
            <w:proofErr w:type="spellEnd"/>
          </w:p>
        </w:tc>
        <w:tc>
          <w:tcPr>
            <w:tcW w:w="411" w:type="pct"/>
            <w:shd w:val="clear" w:color="auto" w:fill="D9D9D9" w:themeFill="background1" w:themeFillShade="D9"/>
            <w:vAlign w:val="center"/>
            <w:hideMark/>
          </w:tcPr>
          <w:p w14:paraId="3A7A051C"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4.081 </w:t>
            </w:r>
          </w:p>
        </w:tc>
        <w:tc>
          <w:tcPr>
            <w:tcW w:w="455" w:type="pct"/>
            <w:shd w:val="clear" w:color="auto" w:fill="auto"/>
            <w:vAlign w:val="center"/>
            <w:hideMark/>
          </w:tcPr>
          <w:p w14:paraId="7622D97C"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+3,9</w:t>
            </w:r>
          </w:p>
        </w:tc>
        <w:tc>
          <w:tcPr>
            <w:tcW w:w="455" w:type="pct"/>
            <w:shd w:val="clear" w:color="auto" w:fill="D9D9D9" w:themeFill="background1" w:themeFillShade="D9"/>
            <w:vAlign w:val="center"/>
            <w:hideMark/>
          </w:tcPr>
          <w:p w14:paraId="31FE73D7"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-2,5</w:t>
            </w:r>
          </w:p>
        </w:tc>
        <w:tc>
          <w:tcPr>
            <w:tcW w:w="455" w:type="pct"/>
            <w:shd w:val="clear" w:color="auto" w:fill="auto"/>
            <w:vAlign w:val="center"/>
            <w:hideMark/>
          </w:tcPr>
          <w:p w14:paraId="09AEDA72"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+1,3</w:t>
            </w:r>
          </w:p>
        </w:tc>
        <w:tc>
          <w:tcPr>
            <w:tcW w:w="79" w:type="pct"/>
            <w:tcBorders>
              <w:top w:val="nil"/>
              <w:bottom w:val="nil"/>
            </w:tcBorders>
            <w:shd w:val="clear" w:color="auto" w:fill="auto"/>
            <w:noWrap/>
            <w:vAlign w:val="center"/>
            <w:hideMark/>
          </w:tcPr>
          <w:p w14:paraId="13FF0B01"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p>
        </w:tc>
        <w:tc>
          <w:tcPr>
            <w:tcW w:w="397" w:type="pct"/>
            <w:shd w:val="clear" w:color="auto" w:fill="D9D9D9" w:themeFill="background1" w:themeFillShade="D9"/>
            <w:vAlign w:val="center"/>
            <w:hideMark/>
          </w:tcPr>
          <w:p w14:paraId="3A55D2B2"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3.798 </w:t>
            </w:r>
          </w:p>
        </w:tc>
        <w:tc>
          <w:tcPr>
            <w:tcW w:w="455" w:type="pct"/>
            <w:shd w:val="clear" w:color="auto" w:fill="auto"/>
            <w:vAlign w:val="center"/>
            <w:hideMark/>
          </w:tcPr>
          <w:p w14:paraId="0980CC63"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-8,0</w:t>
            </w:r>
          </w:p>
        </w:tc>
        <w:tc>
          <w:tcPr>
            <w:tcW w:w="455" w:type="pct"/>
            <w:shd w:val="clear" w:color="auto" w:fill="auto"/>
            <w:vAlign w:val="center"/>
            <w:hideMark/>
          </w:tcPr>
          <w:p w14:paraId="2D2D9DA6"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+1,1</w:t>
            </w:r>
          </w:p>
        </w:tc>
        <w:tc>
          <w:tcPr>
            <w:tcW w:w="453" w:type="pct"/>
            <w:shd w:val="clear" w:color="auto" w:fill="D9D9D9" w:themeFill="background1" w:themeFillShade="D9"/>
            <w:vAlign w:val="center"/>
            <w:hideMark/>
          </w:tcPr>
          <w:p w14:paraId="4A05BF2C"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-6,9</w:t>
            </w:r>
          </w:p>
        </w:tc>
      </w:tr>
      <w:tr w:rsidR="00FE3268" w:rsidRPr="000E4DD7" w14:paraId="41CA5B04" w14:textId="77777777" w:rsidTr="009453DC">
        <w:trPr>
          <w:trHeight w:val="227"/>
        </w:trPr>
        <w:tc>
          <w:tcPr>
            <w:tcW w:w="1386" w:type="pct"/>
            <w:shd w:val="clear" w:color="auto" w:fill="auto"/>
            <w:vAlign w:val="center"/>
            <w:hideMark/>
          </w:tcPr>
          <w:p w14:paraId="327429B8" w14:textId="129EDCDD" w:rsidR="00FE3268" w:rsidRPr="000E4DD7" w:rsidRDefault="001C064C" w:rsidP="006A3A97">
            <w:pPr>
              <w:widowControl/>
              <w:autoSpaceDE/>
              <w:autoSpaceDN/>
              <w:spacing w:before="40" w:after="20"/>
              <w:rPr>
                <w:rFonts w:ascii="Arial Narrow" w:eastAsia="Times New Roman" w:hAnsi="Arial Narrow" w:cs="Arial"/>
                <w:sz w:val="16"/>
                <w:szCs w:val="16"/>
                <w:lang w:eastAsia="it-IT"/>
              </w:rPr>
            </w:pPr>
            <w:r w:rsidRPr="001C064C">
              <w:rPr>
                <w:rFonts w:ascii="Arial Narrow" w:eastAsia="Times New Roman" w:hAnsi="Arial Narrow" w:cs="Arial"/>
                <w:sz w:val="16"/>
                <w:szCs w:val="16"/>
                <w:lang w:eastAsia="it-IT"/>
              </w:rPr>
              <w:t xml:space="preserve">Olive </w:t>
            </w:r>
            <w:proofErr w:type="spellStart"/>
            <w:r w:rsidRPr="001C064C">
              <w:rPr>
                <w:rFonts w:ascii="Arial Narrow" w:eastAsia="Times New Roman" w:hAnsi="Arial Narrow" w:cs="Arial"/>
                <w:sz w:val="16"/>
                <w:szCs w:val="16"/>
                <w:lang w:eastAsia="it-IT"/>
              </w:rPr>
              <w:t>growing</w:t>
            </w:r>
            <w:proofErr w:type="spellEnd"/>
            <w:r w:rsidRPr="001C064C">
              <w:rPr>
                <w:rFonts w:ascii="Arial Narrow" w:eastAsia="Times New Roman" w:hAnsi="Arial Narrow" w:cs="Arial"/>
                <w:sz w:val="16"/>
                <w:szCs w:val="16"/>
                <w:lang w:eastAsia="it-IT"/>
              </w:rPr>
              <w:t xml:space="preserve"> products</w:t>
            </w:r>
          </w:p>
        </w:tc>
        <w:tc>
          <w:tcPr>
            <w:tcW w:w="411" w:type="pct"/>
            <w:shd w:val="clear" w:color="auto" w:fill="D9D9D9" w:themeFill="background1" w:themeFillShade="D9"/>
            <w:vAlign w:val="center"/>
            <w:hideMark/>
          </w:tcPr>
          <w:p w14:paraId="2D71589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1.539 </w:t>
            </w:r>
          </w:p>
        </w:tc>
        <w:tc>
          <w:tcPr>
            <w:tcW w:w="455" w:type="pct"/>
            <w:shd w:val="clear" w:color="auto" w:fill="auto"/>
            <w:vAlign w:val="center"/>
            <w:hideMark/>
          </w:tcPr>
          <w:p w14:paraId="705FEC5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-2,6</w:t>
            </w:r>
          </w:p>
        </w:tc>
        <w:tc>
          <w:tcPr>
            <w:tcW w:w="455" w:type="pct"/>
            <w:shd w:val="clear" w:color="auto" w:fill="D9D9D9" w:themeFill="background1" w:themeFillShade="D9"/>
            <w:vAlign w:val="center"/>
            <w:hideMark/>
          </w:tcPr>
          <w:p w14:paraId="2AFAF03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-5,6</w:t>
            </w:r>
          </w:p>
        </w:tc>
        <w:tc>
          <w:tcPr>
            <w:tcW w:w="455" w:type="pct"/>
            <w:shd w:val="clear" w:color="auto" w:fill="auto"/>
            <w:vAlign w:val="center"/>
            <w:hideMark/>
          </w:tcPr>
          <w:p w14:paraId="77DE5EB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-8,0</w:t>
            </w:r>
          </w:p>
        </w:tc>
        <w:tc>
          <w:tcPr>
            <w:tcW w:w="79" w:type="pct"/>
            <w:tcBorders>
              <w:top w:val="nil"/>
              <w:bottom w:val="nil"/>
            </w:tcBorders>
            <w:shd w:val="clear" w:color="auto" w:fill="auto"/>
            <w:noWrap/>
            <w:vAlign w:val="center"/>
            <w:hideMark/>
          </w:tcPr>
          <w:p w14:paraId="28E5AD6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0E398D4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1.823 </w:t>
            </w:r>
          </w:p>
        </w:tc>
        <w:tc>
          <w:tcPr>
            <w:tcW w:w="455" w:type="pct"/>
            <w:shd w:val="clear" w:color="auto" w:fill="auto"/>
            <w:vAlign w:val="center"/>
            <w:hideMark/>
          </w:tcPr>
          <w:p w14:paraId="50EE90B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+9,7</w:t>
            </w:r>
          </w:p>
        </w:tc>
        <w:tc>
          <w:tcPr>
            <w:tcW w:w="455" w:type="pct"/>
            <w:shd w:val="clear" w:color="auto" w:fill="auto"/>
            <w:vAlign w:val="center"/>
            <w:hideMark/>
          </w:tcPr>
          <w:p w14:paraId="6B33DE0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+8,0</w:t>
            </w:r>
          </w:p>
        </w:tc>
        <w:tc>
          <w:tcPr>
            <w:tcW w:w="453" w:type="pct"/>
            <w:shd w:val="clear" w:color="auto" w:fill="D9D9D9" w:themeFill="background1" w:themeFillShade="D9"/>
            <w:vAlign w:val="center"/>
            <w:hideMark/>
          </w:tcPr>
          <w:p w14:paraId="3FDAA3C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+18,4</w:t>
            </w:r>
          </w:p>
        </w:tc>
      </w:tr>
      <w:tr w:rsidR="00FE3268" w:rsidRPr="000E4DD7" w14:paraId="41C808B6" w14:textId="77777777" w:rsidTr="009453DC">
        <w:trPr>
          <w:trHeight w:val="227"/>
        </w:trPr>
        <w:tc>
          <w:tcPr>
            <w:tcW w:w="1386" w:type="pct"/>
            <w:shd w:val="clear" w:color="auto" w:fill="auto"/>
            <w:vAlign w:val="center"/>
            <w:hideMark/>
          </w:tcPr>
          <w:p w14:paraId="0B12921B" w14:textId="190A5EA3" w:rsidR="00FE3268" w:rsidRPr="000E4DD7" w:rsidRDefault="00FE3268" w:rsidP="006A3A97">
            <w:pPr>
              <w:widowControl/>
              <w:autoSpaceDE/>
              <w:autoSpaceDN/>
              <w:spacing w:before="40" w:after="20"/>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 </w:t>
            </w:r>
            <w:r w:rsidR="001C064C" w:rsidRPr="001C064C">
              <w:rPr>
                <w:rFonts w:ascii="Arial Narrow" w:eastAsia="Times New Roman" w:hAnsi="Arial Narrow" w:cs="Arial"/>
                <w:i/>
                <w:iCs/>
                <w:sz w:val="16"/>
                <w:szCs w:val="16"/>
                <w:lang w:eastAsia="it-IT"/>
              </w:rPr>
              <w:t xml:space="preserve">of </w:t>
            </w:r>
            <w:proofErr w:type="spellStart"/>
            <w:r w:rsidR="001C064C" w:rsidRPr="001C064C">
              <w:rPr>
                <w:rFonts w:ascii="Arial Narrow" w:eastAsia="Times New Roman" w:hAnsi="Arial Narrow" w:cs="Arial"/>
                <w:i/>
                <w:iCs/>
                <w:sz w:val="16"/>
                <w:szCs w:val="16"/>
                <w:lang w:eastAsia="it-IT"/>
              </w:rPr>
              <w:t>which</w:t>
            </w:r>
            <w:proofErr w:type="spellEnd"/>
            <w:r w:rsidR="001C064C" w:rsidRPr="001C064C">
              <w:rPr>
                <w:rFonts w:ascii="Arial Narrow" w:eastAsia="Times New Roman" w:hAnsi="Arial Narrow" w:cs="Arial"/>
                <w:i/>
                <w:iCs/>
                <w:sz w:val="16"/>
                <w:szCs w:val="16"/>
                <w:lang w:eastAsia="it-IT"/>
              </w:rPr>
              <w:t xml:space="preserve"> oil</w:t>
            </w:r>
          </w:p>
        </w:tc>
        <w:tc>
          <w:tcPr>
            <w:tcW w:w="411" w:type="pct"/>
            <w:shd w:val="clear" w:color="auto" w:fill="D9D9D9" w:themeFill="background1" w:themeFillShade="D9"/>
            <w:vAlign w:val="center"/>
            <w:hideMark/>
          </w:tcPr>
          <w:p w14:paraId="627BCDA1"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1.274 </w:t>
            </w:r>
          </w:p>
        </w:tc>
        <w:tc>
          <w:tcPr>
            <w:tcW w:w="455" w:type="pct"/>
            <w:shd w:val="clear" w:color="auto" w:fill="auto"/>
            <w:vAlign w:val="center"/>
            <w:hideMark/>
          </w:tcPr>
          <w:p w14:paraId="428C7FB1"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-3,0</w:t>
            </w:r>
          </w:p>
        </w:tc>
        <w:tc>
          <w:tcPr>
            <w:tcW w:w="455" w:type="pct"/>
            <w:shd w:val="clear" w:color="auto" w:fill="D9D9D9" w:themeFill="background1" w:themeFillShade="D9"/>
            <w:vAlign w:val="center"/>
            <w:hideMark/>
          </w:tcPr>
          <w:p w14:paraId="230B79DA"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-8,4</w:t>
            </w:r>
          </w:p>
        </w:tc>
        <w:tc>
          <w:tcPr>
            <w:tcW w:w="455" w:type="pct"/>
            <w:shd w:val="clear" w:color="auto" w:fill="auto"/>
            <w:vAlign w:val="center"/>
            <w:hideMark/>
          </w:tcPr>
          <w:p w14:paraId="0A4E5DCA"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-11,1</w:t>
            </w:r>
          </w:p>
        </w:tc>
        <w:tc>
          <w:tcPr>
            <w:tcW w:w="79" w:type="pct"/>
            <w:tcBorders>
              <w:top w:val="nil"/>
              <w:bottom w:val="nil"/>
            </w:tcBorders>
            <w:shd w:val="clear" w:color="auto" w:fill="auto"/>
            <w:noWrap/>
            <w:vAlign w:val="center"/>
            <w:hideMark/>
          </w:tcPr>
          <w:p w14:paraId="7B70CDB2"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p>
        </w:tc>
        <w:tc>
          <w:tcPr>
            <w:tcW w:w="397" w:type="pct"/>
            <w:shd w:val="clear" w:color="auto" w:fill="D9D9D9" w:themeFill="background1" w:themeFillShade="D9"/>
            <w:vAlign w:val="center"/>
            <w:hideMark/>
          </w:tcPr>
          <w:p w14:paraId="31901229"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1.577 </w:t>
            </w:r>
          </w:p>
        </w:tc>
        <w:tc>
          <w:tcPr>
            <w:tcW w:w="455" w:type="pct"/>
            <w:shd w:val="clear" w:color="auto" w:fill="auto"/>
            <w:vAlign w:val="center"/>
            <w:hideMark/>
          </w:tcPr>
          <w:p w14:paraId="7F158954"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+9,9</w:t>
            </w:r>
          </w:p>
        </w:tc>
        <w:tc>
          <w:tcPr>
            <w:tcW w:w="455" w:type="pct"/>
            <w:shd w:val="clear" w:color="auto" w:fill="auto"/>
            <w:vAlign w:val="center"/>
            <w:hideMark/>
          </w:tcPr>
          <w:p w14:paraId="784264EE"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+12,6</w:t>
            </w:r>
          </w:p>
        </w:tc>
        <w:tc>
          <w:tcPr>
            <w:tcW w:w="453" w:type="pct"/>
            <w:shd w:val="clear" w:color="auto" w:fill="D9D9D9" w:themeFill="background1" w:themeFillShade="D9"/>
            <w:vAlign w:val="center"/>
            <w:hideMark/>
          </w:tcPr>
          <w:p w14:paraId="262703C3"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+23,7</w:t>
            </w:r>
          </w:p>
        </w:tc>
      </w:tr>
      <w:tr w:rsidR="00FE3268" w:rsidRPr="000E4DD7" w14:paraId="0C101FE8" w14:textId="77777777" w:rsidTr="009453DC">
        <w:trPr>
          <w:trHeight w:val="227"/>
        </w:trPr>
        <w:tc>
          <w:tcPr>
            <w:tcW w:w="1386" w:type="pct"/>
            <w:shd w:val="clear" w:color="auto" w:fill="auto"/>
            <w:vAlign w:val="center"/>
            <w:hideMark/>
          </w:tcPr>
          <w:p w14:paraId="320302CA" w14:textId="3FB5925B" w:rsidR="00FE3268" w:rsidRPr="000E4DD7" w:rsidRDefault="006C4334" w:rsidP="006A3A97">
            <w:pPr>
              <w:widowControl/>
              <w:autoSpaceDE/>
              <w:autoSpaceDN/>
              <w:spacing w:before="40" w:after="20"/>
              <w:rPr>
                <w:rFonts w:ascii="Arial Narrow" w:eastAsia="Times New Roman" w:hAnsi="Arial Narrow" w:cs="Arial"/>
                <w:sz w:val="16"/>
                <w:szCs w:val="16"/>
                <w:lang w:eastAsia="it-IT"/>
              </w:rPr>
            </w:pPr>
            <w:r w:rsidRPr="006C4334">
              <w:rPr>
                <w:rFonts w:ascii="Arial Narrow" w:eastAsia="Times New Roman" w:hAnsi="Arial Narrow" w:cs="Arial"/>
                <w:sz w:val="16"/>
                <w:szCs w:val="16"/>
                <w:lang w:eastAsia="it-IT"/>
              </w:rPr>
              <w:t xml:space="preserve">Citrus </w:t>
            </w:r>
            <w:proofErr w:type="spellStart"/>
            <w:r w:rsidRPr="006C4334">
              <w:rPr>
                <w:rFonts w:ascii="Arial Narrow" w:eastAsia="Times New Roman" w:hAnsi="Arial Narrow" w:cs="Arial"/>
                <w:sz w:val="16"/>
                <w:szCs w:val="16"/>
                <w:lang w:eastAsia="it-IT"/>
              </w:rPr>
              <w:t>fruits</w:t>
            </w:r>
            <w:proofErr w:type="spellEnd"/>
          </w:p>
        </w:tc>
        <w:tc>
          <w:tcPr>
            <w:tcW w:w="411" w:type="pct"/>
            <w:shd w:val="clear" w:color="auto" w:fill="D9D9D9" w:themeFill="background1" w:themeFillShade="D9"/>
            <w:vAlign w:val="center"/>
            <w:hideMark/>
          </w:tcPr>
          <w:p w14:paraId="388EBC9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1.151 </w:t>
            </w:r>
          </w:p>
        </w:tc>
        <w:tc>
          <w:tcPr>
            <w:tcW w:w="455" w:type="pct"/>
            <w:shd w:val="clear" w:color="auto" w:fill="auto"/>
            <w:vAlign w:val="center"/>
            <w:hideMark/>
          </w:tcPr>
          <w:p w14:paraId="56E622C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+3,2</w:t>
            </w:r>
          </w:p>
        </w:tc>
        <w:tc>
          <w:tcPr>
            <w:tcW w:w="455" w:type="pct"/>
            <w:shd w:val="clear" w:color="auto" w:fill="D9D9D9" w:themeFill="background1" w:themeFillShade="D9"/>
            <w:vAlign w:val="center"/>
            <w:hideMark/>
          </w:tcPr>
          <w:p w14:paraId="55D12D6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+3,7</w:t>
            </w:r>
          </w:p>
        </w:tc>
        <w:tc>
          <w:tcPr>
            <w:tcW w:w="455" w:type="pct"/>
            <w:shd w:val="clear" w:color="auto" w:fill="auto"/>
            <w:vAlign w:val="center"/>
            <w:hideMark/>
          </w:tcPr>
          <w:p w14:paraId="54C7544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+7,0</w:t>
            </w:r>
          </w:p>
        </w:tc>
        <w:tc>
          <w:tcPr>
            <w:tcW w:w="79" w:type="pct"/>
            <w:tcBorders>
              <w:top w:val="nil"/>
              <w:bottom w:val="nil"/>
            </w:tcBorders>
            <w:shd w:val="clear" w:color="auto" w:fill="auto"/>
            <w:noWrap/>
            <w:vAlign w:val="center"/>
            <w:hideMark/>
          </w:tcPr>
          <w:p w14:paraId="7DF83646"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3647148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1.239 </w:t>
            </w:r>
          </w:p>
        </w:tc>
        <w:tc>
          <w:tcPr>
            <w:tcW w:w="455" w:type="pct"/>
            <w:shd w:val="clear" w:color="auto" w:fill="auto"/>
            <w:vAlign w:val="center"/>
            <w:hideMark/>
          </w:tcPr>
          <w:p w14:paraId="5FEAD3C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+0,5</w:t>
            </w:r>
          </w:p>
        </w:tc>
        <w:tc>
          <w:tcPr>
            <w:tcW w:w="455" w:type="pct"/>
            <w:shd w:val="clear" w:color="auto" w:fill="auto"/>
            <w:vAlign w:val="center"/>
            <w:hideMark/>
          </w:tcPr>
          <w:p w14:paraId="4ECC8D7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+7,1</w:t>
            </w:r>
          </w:p>
        </w:tc>
        <w:tc>
          <w:tcPr>
            <w:tcW w:w="453" w:type="pct"/>
            <w:shd w:val="clear" w:color="auto" w:fill="D9D9D9" w:themeFill="background1" w:themeFillShade="D9"/>
            <w:vAlign w:val="center"/>
            <w:hideMark/>
          </w:tcPr>
          <w:p w14:paraId="185B928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+7,6</w:t>
            </w:r>
          </w:p>
        </w:tc>
      </w:tr>
      <w:tr w:rsidR="00FE3268" w:rsidRPr="000E4DD7" w14:paraId="012A3D5B" w14:textId="77777777" w:rsidTr="009453DC">
        <w:trPr>
          <w:trHeight w:val="227"/>
        </w:trPr>
        <w:tc>
          <w:tcPr>
            <w:tcW w:w="1386" w:type="pct"/>
            <w:shd w:val="clear" w:color="auto" w:fill="auto"/>
            <w:vAlign w:val="center"/>
            <w:hideMark/>
          </w:tcPr>
          <w:p w14:paraId="61A4ADDE" w14:textId="3E350C41" w:rsidR="00FE3268" w:rsidRPr="000E4DD7" w:rsidRDefault="007D57AE" w:rsidP="006A3A97">
            <w:pPr>
              <w:widowControl/>
              <w:autoSpaceDE/>
              <w:autoSpaceDN/>
              <w:spacing w:before="40" w:after="20"/>
              <w:rPr>
                <w:rFonts w:ascii="Arial Narrow" w:eastAsia="Times New Roman" w:hAnsi="Arial Narrow" w:cs="Arial"/>
                <w:sz w:val="16"/>
                <w:szCs w:val="16"/>
                <w:lang w:eastAsia="it-IT"/>
              </w:rPr>
            </w:pPr>
            <w:proofErr w:type="spellStart"/>
            <w:r>
              <w:rPr>
                <w:rFonts w:ascii="Arial Narrow" w:eastAsia="Times New Roman" w:hAnsi="Arial Narrow" w:cs="Arial"/>
                <w:sz w:val="16"/>
                <w:szCs w:val="16"/>
                <w:lang w:eastAsia="it-IT"/>
              </w:rPr>
              <w:t>F</w:t>
            </w:r>
            <w:r w:rsidRPr="007D57AE">
              <w:rPr>
                <w:rFonts w:ascii="Arial Narrow" w:eastAsia="Times New Roman" w:hAnsi="Arial Narrow" w:cs="Arial"/>
                <w:sz w:val="16"/>
                <w:szCs w:val="16"/>
                <w:lang w:eastAsia="it-IT"/>
              </w:rPr>
              <w:t>ruit</w:t>
            </w:r>
            <w:proofErr w:type="spellEnd"/>
          </w:p>
        </w:tc>
        <w:tc>
          <w:tcPr>
            <w:tcW w:w="411" w:type="pct"/>
            <w:shd w:val="clear" w:color="auto" w:fill="D9D9D9" w:themeFill="background1" w:themeFillShade="D9"/>
            <w:vAlign w:val="center"/>
            <w:hideMark/>
          </w:tcPr>
          <w:p w14:paraId="05AF0C6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3.277 </w:t>
            </w:r>
          </w:p>
        </w:tc>
        <w:tc>
          <w:tcPr>
            <w:tcW w:w="455" w:type="pct"/>
            <w:shd w:val="clear" w:color="auto" w:fill="auto"/>
            <w:vAlign w:val="center"/>
            <w:hideMark/>
          </w:tcPr>
          <w:p w14:paraId="277B4400"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+6,7</w:t>
            </w:r>
          </w:p>
        </w:tc>
        <w:tc>
          <w:tcPr>
            <w:tcW w:w="455" w:type="pct"/>
            <w:shd w:val="clear" w:color="auto" w:fill="D9D9D9" w:themeFill="background1" w:themeFillShade="D9"/>
            <w:vAlign w:val="center"/>
            <w:hideMark/>
          </w:tcPr>
          <w:p w14:paraId="3EEC8E8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+8,9</w:t>
            </w:r>
          </w:p>
        </w:tc>
        <w:tc>
          <w:tcPr>
            <w:tcW w:w="455" w:type="pct"/>
            <w:shd w:val="clear" w:color="auto" w:fill="auto"/>
            <w:vAlign w:val="center"/>
            <w:hideMark/>
          </w:tcPr>
          <w:p w14:paraId="1424219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+16,2</w:t>
            </w:r>
          </w:p>
        </w:tc>
        <w:tc>
          <w:tcPr>
            <w:tcW w:w="79" w:type="pct"/>
            <w:tcBorders>
              <w:top w:val="nil"/>
              <w:bottom w:val="nil"/>
            </w:tcBorders>
            <w:shd w:val="clear" w:color="auto" w:fill="auto"/>
            <w:noWrap/>
            <w:vAlign w:val="center"/>
            <w:hideMark/>
          </w:tcPr>
          <w:p w14:paraId="492A5EB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797FCA9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2.994 </w:t>
            </w:r>
          </w:p>
        </w:tc>
        <w:tc>
          <w:tcPr>
            <w:tcW w:w="455" w:type="pct"/>
            <w:shd w:val="clear" w:color="auto" w:fill="auto"/>
            <w:vAlign w:val="center"/>
            <w:hideMark/>
          </w:tcPr>
          <w:p w14:paraId="368D2E8C"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-18,9</w:t>
            </w:r>
          </w:p>
        </w:tc>
        <w:tc>
          <w:tcPr>
            <w:tcW w:w="455" w:type="pct"/>
            <w:shd w:val="clear" w:color="auto" w:fill="auto"/>
            <w:vAlign w:val="center"/>
            <w:hideMark/>
          </w:tcPr>
          <w:p w14:paraId="613F833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+12,7</w:t>
            </w:r>
          </w:p>
        </w:tc>
        <w:tc>
          <w:tcPr>
            <w:tcW w:w="453" w:type="pct"/>
            <w:shd w:val="clear" w:color="auto" w:fill="D9D9D9" w:themeFill="background1" w:themeFillShade="D9"/>
            <w:vAlign w:val="center"/>
            <w:hideMark/>
          </w:tcPr>
          <w:p w14:paraId="5C9953A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-8,6</w:t>
            </w:r>
          </w:p>
        </w:tc>
      </w:tr>
      <w:tr w:rsidR="00FE3268" w:rsidRPr="000E4DD7" w14:paraId="1DB8949C" w14:textId="77777777" w:rsidTr="009453DC">
        <w:trPr>
          <w:trHeight w:val="227"/>
        </w:trPr>
        <w:tc>
          <w:tcPr>
            <w:tcW w:w="1386" w:type="pct"/>
            <w:shd w:val="clear" w:color="auto" w:fill="auto"/>
            <w:vAlign w:val="center"/>
            <w:hideMark/>
          </w:tcPr>
          <w:p w14:paraId="4C8074D2" w14:textId="52D9CB93" w:rsidR="00FE3268" w:rsidRPr="007D57AE" w:rsidRDefault="007D57AE" w:rsidP="006A3A97">
            <w:pPr>
              <w:widowControl/>
              <w:autoSpaceDE/>
              <w:autoSpaceDN/>
              <w:spacing w:before="40" w:after="20"/>
              <w:rPr>
                <w:rFonts w:ascii="Arial Narrow" w:eastAsia="Times New Roman" w:hAnsi="Arial Narrow" w:cs="Arial"/>
                <w:sz w:val="16"/>
                <w:szCs w:val="16"/>
                <w:lang w:val="en-US" w:eastAsia="it-IT"/>
              </w:rPr>
            </w:pPr>
            <w:r w:rsidRPr="007D57AE">
              <w:rPr>
                <w:rFonts w:ascii="Arial Narrow" w:eastAsia="Times New Roman" w:hAnsi="Arial Narrow" w:cs="Arial"/>
                <w:sz w:val="16"/>
                <w:szCs w:val="16"/>
                <w:lang w:val="en-US" w:eastAsia="it-IT"/>
              </w:rPr>
              <w:t>Nurseries and other plant products</w:t>
            </w:r>
          </w:p>
        </w:tc>
        <w:tc>
          <w:tcPr>
            <w:tcW w:w="411" w:type="pct"/>
            <w:shd w:val="clear" w:color="auto" w:fill="D9D9D9" w:themeFill="background1" w:themeFillShade="D9"/>
            <w:vAlign w:val="center"/>
            <w:hideMark/>
          </w:tcPr>
          <w:p w14:paraId="770E6EE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1.420 </w:t>
            </w:r>
          </w:p>
        </w:tc>
        <w:tc>
          <w:tcPr>
            <w:tcW w:w="455" w:type="pct"/>
            <w:shd w:val="clear" w:color="auto" w:fill="auto"/>
            <w:vAlign w:val="center"/>
            <w:hideMark/>
          </w:tcPr>
          <w:p w14:paraId="7FC2B98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-7,9</w:t>
            </w:r>
          </w:p>
        </w:tc>
        <w:tc>
          <w:tcPr>
            <w:tcW w:w="455" w:type="pct"/>
            <w:shd w:val="clear" w:color="auto" w:fill="D9D9D9" w:themeFill="background1" w:themeFillShade="D9"/>
            <w:vAlign w:val="center"/>
            <w:hideMark/>
          </w:tcPr>
          <w:p w14:paraId="6C54C09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+6,5</w:t>
            </w:r>
          </w:p>
        </w:tc>
        <w:tc>
          <w:tcPr>
            <w:tcW w:w="455" w:type="pct"/>
            <w:shd w:val="clear" w:color="auto" w:fill="auto"/>
            <w:vAlign w:val="center"/>
            <w:hideMark/>
          </w:tcPr>
          <w:p w14:paraId="0A6C6800"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-1,9</w:t>
            </w:r>
          </w:p>
        </w:tc>
        <w:tc>
          <w:tcPr>
            <w:tcW w:w="79" w:type="pct"/>
            <w:tcBorders>
              <w:top w:val="nil"/>
              <w:bottom w:val="nil"/>
            </w:tcBorders>
            <w:shd w:val="clear" w:color="auto" w:fill="auto"/>
            <w:noWrap/>
            <w:vAlign w:val="center"/>
            <w:hideMark/>
          </w:tcPr>
          <w:p w14:paraId="7BDE7C12"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214AC7F6"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1.490 </w:t>
            </w:r>
          </w:p>
        </w:tc>
        <w:tc>
          <w:tcPr>
            <w:tcW w:w="455" w:type="pct"/>
            <w:shd w:val="clear" w:color="auto" w:fill="auto"/>
            <w:vAlign w:val="center"/>
            <w:hideMark/>
          </w:tcPr>
          <w:p w14:paraId="4CE5E0F0"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+2,9</w:t>
            </w:r>
          </w:p>
        </w:tc>
        <w:tc>
          <w:tcPr>
            <w:tcW w:w="455" w:type="pct"/>
            <w:shd w:val="clear" w:color="auto" w:fill="auto"/>
            <w:vAlign w:val="center"/>
            <w:hideMark/>
          </w:tcPr>
          <w:p w14:paraId="29F3365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+2,0</w:t>
            </w:r>
          </w:p>
        </w:tc>
        <w:tc>
          <w:tcPr>
            <w:tcW w:w="453" w:type="pct"/>
            <w:shd w:val="clear" w:color="auto" w:fill="D9D9D9" w:themeFill="background1" w:themeFillShade="D9"/>
            <w:vAlign w:val="center"/>
            <w:hideMark/>
          </w:tcPr>
          <w:p w14:paraId="7278C20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+4,9</w:t>
            </w:r>
          </w:p>
        </w:tc>
      </w:tr>
      <w:tr w:rsidR="00FE3268" w:rsidRPr="000E4DD7" w14:paraId="5BA68DA6" w14:textId="77777777" w:rsidTr="009453DC">
        <w:trPr>
          <w:trHeight w:val="227"/>
        </w:trPr>
        <w:tc>
          <w:tcPr>
            <w:tcW w:w="1386" w:type="pct"/>
            <w:shd w:val="clear" w:color="auto" w:fill="auto"/>
            <w:vAlign w:val="center"/>
            <w:hideMark/>
          </w:tcPr>
          <w:p w14:paraId="4D29E722" w14:textId="5DCFD567" w:rsidR="00FE3268" w:rsidRPr="000E4DD7" w:rsidRDefault="007D57AE" w:rsidP="006A3A97">
            <w:pPr>
              <w:widowControl/>
              <w:autoSpaceDE/>
              <w:autoSpaceDN/>
              <w:spacing w:before="40" w:after="20"/>
              <w:rPr>
                <w:rFonts w:ascii="Arial Narrow" w:eastAsia="Times New Roman" w:hAnsi="Arial Narrow" w:cs="Arial"/>
                <w:b/>
                <w:bCs/>
                <w:sz w:val="16"/>
                <w:szCs w:val="16"/>
                <w:lang w:eastAsia="it-IT"/>
              </w:rPr>
            </w:pPr>
            <w:proofErr w:type="spellStart"/>
            <w:r w:rsidRPr="007D57AE">
              <w:rPr>
                <w:rFonts w:ascii="Arial Narrow" w:eastAsia="Times New Roman" w:hAnsi="Arial Narrow" w:cs="Arial"/>
                <w:b/>
                <w:bCs/>
                <w:sz w:val="16"/>
                <w:szCs w:val="16"/>
                <w:lang w:eastAsia="it-IT"/>
              </w:rPr>
              <w:t>Livestock</w:t>
            </w:r>
            <w:proofErr w:type="spellEnd"/>
            <w:r w:rsidRPr="007D57AE">
              <w:rPr>
                <w:rFonts w:ascii="Arial Narrow" w:eastAsia="Times New Roman" w:hAnsi="Arial Narrow" w:cs="Arial"/>
                <w:b/>
                <w:bCs/>
                <w:sz w:val="16"/>
                <w:szCs w:val="16"/>
                <w:lang w:eastAsia="it-IT"/>
              </w:rPr>
              <w:t xml:space="preserve"> farms</w:t>
            </w:r>
          </w:p>
        </w:tc>
        <w:tc>
          <w:tcPr>
            <w:tcW w:w="411" w:type="pct"/>
            <w:shd w:val="clear" w:color="auto" w:fill="auto"/>
            <w:vAlign w:val="center"/>
            <w:hideMark/>
          </w:tcPr>
          <w:p w14:paraId="5B94E19C"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 xml:space="preserve">16.016 </w:t>
            </w:r>
          </w:p>
        </w:tc>
        <w:tc>
          <w:tcPr>
            <w:tcW w:w="455" w:type="pct"/>
            <w:shd w:val="clear" w:color="auto" w:fill="auto"/>
            <w:vAlign w:val="center"/>
            <w:hideMark/>
          </w:tcPr>
          <w:p w14:paraId="79A00AD7"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0,0</w:t>
            </w:r>
          </w:p>
        </w:tc>
        <w:tc>
          <w:tcPr>
            <w:tcW w:w="455" w:type="pct"/>
            <w:shd w:val="clear" w:color="auto" w:fill="auto"/>
            <w:vAlign w:val="center"/>
            <w:hideMark/>
          </w:tcPr>
          <w:p w14:paraId="0BCCCCE6"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-2,1</w:t>
            </w:r>
          </w:p>
        </w:tc>
        <w:tc>
          <w:tcPr>
            <w:tcW w:w="455" w:type="pct"/>
            <w:shd w:val="clear" w:color="auto" w:fill="auto"/>
            <w:vAlign w:val="center"/>
            <w:hideMark/>
          </w:tcPr>
          <w:p w14:paraId="4ADD5185"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-2,0</w:t>
            </w:r>
          </w:p>
        </w:tc>
        <w:tc>
          <w:tcPr>
            <w:tcW w:w="79" w:type="pct"/>
            <w:tcBorders>
              <w:top w:val="nil"/>
              <w:bottom w:val="nil"/>
            </w:tcBorders>
            <w:shd w:val="clear" w:color="auto" w:fill="auto"/>
            <w:noWrap/>
            <w:vAlign w:val="center"/>
            <w:hideMark/>
          </w:tcPr>
          <w:p w14:paraId="278D3D79"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p>
        </w:tc>
        <w:tc>
          <w:tcPr>
            <w:tcW w:w="397" w:type="pct"/>
            <w:shd w:val="clear" w:color="auto" w:fill="auto"/>
            <w:vAlign w:val="center"/>
            <w:hideMark/>
          </w:tcPr>
          <w:p w14:paraId="707C22D8"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 xml:space="preserve">16.890 </w:t>
            </w:r>
          </w:p>
        </w:tc>
        <w:tc>
          <w:tcPr>
            <w:tcW w:w="455" w:type="pct"/>
            <w:shd w:val="clear" w:color="auto" w:fill="auto"/>
            <w:vAlign w:val="center"/>
            <w:hideMark/>
          </w:tcPr>
          <w:p w14:paraId="6551BB24"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+1,8</w:t>
            </w:r>
          </w:p>
        </w:tc>
        <w:tc>
          <w:tcPr>
            <w:tcW w:w="455" w:type="pct"/>
            <w:shd w:val="clear" w:color="auto" w:fill="auto"/>
            <w:vAlign w:val="center"/>
            <w:hideMark/>
          </w:tcPr>
          <w:p w14:paraId="0B854BE4"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+3,6</w:t>
            </w:r>
          </w:p>
        </w:tc>
        <w:tc>
          <w:tcPr>
            <w:tcW w:w="453" w:type="pct"/>
            <w:shd w:val="clear" w:color="auto" w:fill="FFFFFF" w:themeFill="background1"/>
            <w:vAlign w:val="center"/>
            <w:hideMark/>
          </w:tcPr>
          <w:p w14:paraId="13BD2E51"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+5,5</w:t>
            </w:r>
          </w:p>
        </w:tc>
      </w:tr>
      <w:tr w:rsidR="00FE3268" w:rsidRPr="000E4DD7" w14:paraId="55799E60" w14:textId="77777777" w:rsidTr="009453DC">
        <w:trPr>
          <w:trHeight w:val="227"/>
        </w:trPr>
        <w:tc>
          <w:tcPr>
            <w:tcW w:w="1386" w:type="pct"/>
            <w:shd w:val="clear" w:color="auto" w:fill="auto"/>
            <w:vAlign w:val="center"/>
            <w:hideMark/>
          </w:tcPr>
          <w:p w14:paraId="1F950A4D" w14:textId="61BC1131" w:rsidR="00FE3268" w:rsidRPr="000E4DD7" w:rsidRDefault="007D57AE" w:rsidP="006A3A97">
            <w:pPr>
              <w:widowControl/>
              <w:autoSpaceDE/>
              <w:autoSpaceDN/>
              <w:spacing w:before="40" w:after="20"/>
              <w:rPr>
                <w:rFonts w:ascii="Arial Narrow" w:eastAsia="Times New Roman" w:hAnsi="Arial Narrow" w:cs="Arial"/>
                <w:sz w:val="16"/>
                <w:szCs w:val="16"/>
                <w:lang w:eastAsia="it-IT"/>
              </w:rPr>
            </w:pPr>
            <w:r w:rsidRPr="007D57AE">
              <w:rPr>
                <w:rFonts w:ascii="Arial Narrow" w:eastAsia="Times New Roman" w:hAnsi="Arial Narrow" w:cs="Arial"/>
                <w:sz w:val="16"/>
                <w:szCs w:val="16"/>
                <w:lang w:eastAsia="it-IT"/>
              </w:rPr>
              <w:t xml:space="preserve">Animal </w:t>
            </w:r>
            <w:proofErr w:type="spellStart"/>
            <w:r w:rsidRPr="007D57AE">
              <w:rPr>
                <w:rFonts w:ascii="Arial Narrow" w:eastAsia="Times New Roman" w:hAnsi="Arial Narrow" w:cs="Arial"/>
                <w:sz w:val="16"/>
                <w:szCs w:val="16"/>
                <w:lang w:eastAsia="it-IT"/>
              </w:rPr>
              <w:t>meats</w:t>
            </w:r>
            <w:proofErr w:type="spellEnd"/>
          </w:p>
        </w:tc>
        <w:tc>
          <w:tcPr>
            <w:tcW w:w="411" w:type="pct"/>
            <w:shd w:val="clear" w:color="auto" w:fill="D9D9D9" w:themeFill="background1" w:themeFillShade="D9"/>
            <w:vAlign w:val="center"/>
            <w:hideMark/>
          </w:tcPr>
          <w:p w14:paraId="33B8DC27"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9.223 </w:t>
            </w:r>
          </w:p>
        </w:tc>
        <w:tc>
          <w:tcPr>
            <w:tcW w:w="455" w:type="pct"/>
            <w:shd w:val="clear" w:color="auto" w:fill="auto"/>
            <w:vAlign w:val="center"/>
            <w:hideMark/>
          </w:tcPr>
          <w:p w14:paraId="55E2962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-1,3</w:t>
            </w:r>
          </w:p>
        </w:tc>
        <w:tc>
          <w:tcPr>
            <w:tcW w:w="455" w:type="pct"/>
            <w:shd w:val="clear" w:color="auto" w:fill="D9D9D9" w:themeFill="background1" w:themeFillShade="D9"/>
            <w:vAlign w:val="center"/>
            <w:hideMark/>
          </w:tcPr>
          <w:p w14:paraId="70A6B1F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-3,7</w:t>
            </w:r>
          </w:p>
        </w:tc>
        <w:tc>
          <w:tcPr>
            <w:tcW w:w="455" w:type="pct"/>
            <w:shd w:val="clear" w:color="auto" w:fill="auto"/>
            <w:vAlign w:val="center"/>
            <w:hideMark/>
          </w:tcPr>
          <w:p w14:paraId="4606A7ED"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-4,9</w:t>
            </w:r>
          </w:p>
        </w:tc>
        <w:tc>
          <w:tcPr>
            <w:tcW w:w="79" w:type="pct"/>
            <w:tcBorders>
              <w:top w:val="nil"/>
              <w:bottom w:val="nil"/>
            </w:tcBorders>
            <w:shd w:val="clear" w:color="auto" w:fill="auto"/>
            <w:noWrap/>
            <w:vAlign w:val="center"/>
            <w:hideMark/>
          </w:tcPr>
          <w:p w14:paraId="0864FC5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2531C697"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9.945 </w:t>
            </w:r>
          </w:p>
        </w:tc>
        <w:tc>
          <w:tcPr>
            <w:tcW w:w="455" w:type="pct"/>
            <w:shd w:val="clear" w:color="auto" w:fill="auto"/>
            <w:vAlign w:val="center"/>
            <w:hideMark/>
          </w:tcPr>
          <w:p w14:paraId="019C43A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+2,0</w:t>
            </w:r>
          </w:p>
        </w:tc>
        <w:tc>
          <w:tcPr>
            <w:tcW w:w="455" w:type="pct"/>
            <w:shd w:val="clear" w:color="auto" w:fill="auto"/>
            <w:vAlign w:val="center"/>
            <w:hideMark/>
          </w:tcPr>
          <w:p w14:paraId="62DD463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+5,7</w:t>
            </w:r>
          </w:p>
        </w:tc>
        <w:tc>
          <w:tcPr>
            <w:tcW w:w="453" w:type="pct"/>
            <w:shd w:val="clear" w:color="auto" w:fill="D9D9D9" w:themeFill="background1" w:themeFillShade="D9"/>
            <w:vAlign w:val="center"/>
            <w:hideMark/>
          </w:tcPr>
          <w:p w14:paraId="5DDBD4A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+7,8</w:t>
            </w:r>
          </w:p>
        </w:tc>
      </w:tr>
      <w:tr w:rsidR="00FE3268" w:rsidRPr="000E4DD7" w14:paraId="6C0F0F2D" w14:textId="77777777" w:rsidTr="009453DC">
        <w:trPr>
          <w:trHeight w:val="227"/>
        </w:trPr>
        <w:tc>
          <w:tcPr>
            <w:tcW w:w="1386" w:type="pct"/>
            <w:shd w:val="clear" w:color="auto" w:fill="auto"/>
            <w:vAlign w:val="center"/>
            <w:hideMark/>
          </w:tcPr>
          <w:p w14:paraId="35BD99F3" w14:textId="43A08E6F" w:rsidR="00FE3268" w:rsidRPr="000E4DD7" w:rsidRDefault="00FE3268" w:rsidP="006A3A97">
            <w:pPr>
              <w:widowControl/>
              <w:autoSpaceDE/>
              <w:autoSpaceDN/>
              <w:spacing w:before="40" w:after="20"/>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 </w:t>
            </w:r>
            <w:r w:rsidR="007D57AE" w:rsidRPr="007D57AE">
              <w:rPr>
                <w:rFonts w:ascii="Arial Narrow" w:eastAsia="Times New Roman" w:hAnsi="Arial Narrow" w:cs="Arial"/>
                <w:i/>
                <w:iCs/>
                <w:sz w:val="16"/>
                <w:szCs w:val="16"/>
                <w:lang w:eastAsia="it-IT"/>
              </w:rPr>
              <w:t xml:space="preserve">of </w:t>
            </w:r>
            <w:proofErr w:type="spellStart"/>
            <w:r w:rsidR="007D57AE" w:rsidRPr="007D57AE">
              <w:rPr>
                <w:rFonts w:ascii="Arial Narrow" w:eastAsia="Times New Roman" w:hAnsi="Arial Narrow" w:cs="Arial"/>
                <w:i/>
                <w:iCs/>
                <w:sz w:val="16"/>
                <w:szCs w:val="16"/>
                <w:lang w:eastAsia="it-IT"/>
              </w:rPr>
              <w:t>which</w:t>
            </w:r>
            <w:proofErr w:type="spellEnd"/>
            <w:r w:rsidR="007D57AE" w:rsidRPr="007D57AE">
              <w:rPr>
                <w:rFonts w:ascii="Arial Narrow" w:eastAsia="Times New Roman" w:hAnsi="Arial Narrow" w:cs="Arial"/>
                <w:i/>
                <w:iCs/>
                <w:sz w:val="16"/>
                <w:szCs w:val="16"/>
                <w:lang w:eastAsia="it-IT"/>
              </w:rPr>
              <w:t xml:space="preserve"> </w:t>
            </w:r>
            <w:proofErr w:type="spellStart"/>
            <w:r w:rsidR="007D57AE" w:rsidRPr="007D57AE">
              <w:rPr>
                <w:rFonts w:ascii="Arial Narrow" w:eastAsia="Times New Roman" w:hAnsi="Arial Narrow" w:cs="Arial"/>
                <w:i/>
                <w:iCs/>
                <w:sz w:val="16"/>
                <w:szCs w:val="16"/>
                <w:lang w:eastAsia="it-IT"/>
              </w:rPr>
              <w:t>cattle</w:t>
            </w:r>
            <w:proofErr w:type="spellEnd"/>
          </w:p>
        </w:tc>
        <w:tc>
          <w:tcPr>
            <w:tcW w:w="411" w:type="pct"/>
            <w:shd w:val="clear" w:color="auto" w:fill="D9D9D9" w:themeFill="background1" w:themeFillShade="D9"/>
            <w:vAlign w:val="center"/>
            <w:hideMark/>
          </w:tcPr>
          <w:p w14:paraId="45C7C749"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2.798 </w:t>
            </w:r>
          </w:p>
        </w:tc>
        <w:tc>
          <w:tcPr>
            <w:tcW w:w="455" w:type="pct"/>
            <w:shd w:val="clear" w:color="auto" w:fill="auto"/>
            <w:vAlign w:val="center"/>
            <w:hideMark/>
          </w:tcPr>
          <w:p w14:paraId="1C35045A"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-1,3</w:t>
            </w:r>
          </w:p>
        </w:tc>
        <w:tc>
          <w:tcPr>
            <w:tcW w:w="455" w:type="pct"/>
            <w:shd w:val="clear" w:color="auto" w:fill="D9D9D9" w:themeFill="background1" w:themeFillShade="D9"/>
            <w:vAlign w:val="center"/>
            <w:hideMark/>
          </w:tcPr>
          <w:p w14:paraId="38F4B974"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-2,6</w:t>
            </w:r>
          </w:p>
        </w:tc>
        <w:tc>
          <w:tcPr>
            <w:tcW w:w="455" w:type="pct"/>
            <w:shd w:val="clear" w:color="auto" w:fill="auto"/>
            <w:vAlign w:val="center"/>
            <w:hideMark/>
          </w:tcPr>
          <w:p w14:paraId="1F7B58EE"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-3,9</w:t>
            </w:r>
          </w:p>
        </w:tc>
        <w:tc>
          <w:tcPr>
            <w:tcW w:w="79" w:type="pct"/>
            <w:tcBorders>
              <w:top w:val="nil"/>
              <w:bottom w:val="nil"/>
            </w:tcBorders>
            <w:shd w:val="clear" w:color="auto" w:fill="auto"/>
            <w:noWrap/>
            <w:vAlign w:val="center"/>
            <w:hideMark/>
          </w:tcPr>
          <w:p w14:paraId="5A0F685E"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p>
        </w:tc>
        <w:tc>
          <w:tcPr>
            <w:tcW w:w="397" w:type="pct"/>
            <w:shd w:val="clear" w:color="auto" w:fill="D9D9D9" w:themeFill="background1" w:themeFillShade="D9"/>
            <w:vAlign w:val="center"/>
            <w:hideMark/>
          </w:tcPr>
          <w:p w14:paraId="1C23CA0C"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2.977 </w:t>
            </w:r>
          </w:p>
        </w:tc>
        <w:tc>
          <w:tcPr>
            <w:tcW w:w="455" w:type="pct"/>
            <w:shd w:val="clear" w:color="auto" w:fill="auto"/>
            <w:vAlign w:val="center"/>
            <w:hideMark/>
          </w:tcPr>
          <w:p w14:paraId="240AF76B"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+2,0</w:t>
            </w:r>
          </w:p>
        </w:tc>
        <w:tc>
          <w:tcPr>
            <w:tcW w:w="455" w:type="pct"/>
            <w:shd w:val="clear" w:color="auto" w:fill="auto"/>
            <w:vAlign w:val="center"/>
            <w:hideMark/>
          </w:tcPr>
          <w:p w14:paraId="53C27B2B"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+4,3</w:t>
            </w:r>
          </w:p>
        </w:tc>
        <w:tc>
          <w:tcPr>
            <w:tcW w:w="453" w:type="pct"/>
            <w:shd w:val="clear" w:color="auto" w:fill="D9D9D9" w:themeFill="background1" w:themeFillShade="D9"/>
            <w:vAlign w:val="center"/>
            <w:hideMark/>
          </w:tcPr>
          <w:p w14:paraId="66FBFC68"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+6,4</w:t>
            </w:r>
          </w:p>
        </w:tc>
      </w:tr>
      <w:tr w:rsidR="00FE3268" w:rsidRPr="000E4DD7" w14:paraId="04C97209" w14:textId="77777777" w:rsidTr="009453DC">
        <w:trPr>
          <w:trHeight w:val="227"/>
        </w:trPr>
        <w:tc>
          <w:tcPr>
            <w:tcW w:w="1386" w:type="pct"/>
            <w:shd w:val="clear" w:color="auto" w:fill="auto"/>
            <w:vAlign w:val="center"/>
            <w:hideMark/>
          </w:tcPr>
          <w:p w14:paraId="18C612AF" w14:textId="6792DA10" w:rsidR="00FE3268" w:rsidRPr="000E4DD7" w:rsidRDefault="00FE3268" w:rsidP="006A3A97">
            <w:pPr>
              <w:widowControl/>
              <w:autoSpaceDE/>
              <w:autoSpaceDN/>
              <w:spacing w:before="40" w:after="20"/>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 </w:t>
            </w:r>
            <w:r w:rsidR="007D57AE" w:rsidRPr="007D57AE">
              <w:rPr>
                <w:rFonts w:ascii="Arial Narrow" w:eastAsia="Times New Roman" w:hAnsi="Arial Narrow" w:cs="Arial"/>
                <w:i/>
                <w:iCs/>
                <w:sz w:val="16"/>
                <w:szCs w:val="16"/>
                <w:lang w:eastAsia="it-IT"/>
              </w:rPr>
              <w:t xml:space="preserve">of </w:t>
            </w:r>
            <w:proofErr w:type="spellStart"/>
            <w:r w:rsidR="007D57AE" w:rsidRPr="007D57AE">
              <w:rPr>
                <w:rFonts w:ascii="Arial Narrow" w:eastAsia="Times New Roman" w:hAnsi="Arial Narrow" w:cs="Arial"/>
                <w:i/>
                <w:iCs/>
                <w:sz w:val="16"/>
                <w:szCs w:val="16"/>
                <w:lang w:eastAsia="it-IT"/>
              </w:rPr>
              <w:t>which</w:t>
            </w:r>
            <w:proofErr w:type="spellEnd"/>
            <w:r w:rsidR="007D57AE" w:rsidRPr="007D57AE">
              <w:rPr>
                <w:rFonts w:ascii="Arial Narrow" w:eastAsia="Times New Roman" w:hAnsi="Arial Narrow" w:cs="Arial"/>
                <w:i/>
                <w:iCs/>
                <w:sz w:val="16"/>
                <w:szCs w:val="16"/>
                <w:lang w:eastAsia="it-IT"/>
              </w:rPr>
              <w:t xml:space="preserve"> equine</w:t>
            </w:r>
          </w:p>
        </w:tc>
        <w:tc>
          <w:tcPr>
            <w:tcW w:w="411" w:type="pct"/>
            <w:shd w:val="clear" w:color="auto" w:fill="D9D9D9" w:themeFill="background1" w:themeFillShade="D9"/>
            <w:vAlign w:val="center"/>
            <w:hideMark/>
          </w:tcPr>
          <w:p w14:paraId="01C77541"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102 </w:t>
            </w:r>
          </w:p>
        </w:tc>
        <w:tc>
          <w:tcPr>
            <w:tcW w:w="455" w:type="pct"/>
            <w:shd w:val="clear" w:color="auto" w:fill="auto"/>
            <w:vAlign w:val="center"/>
            <w:hideMark/>
          </w:tcPr>
          <w:p w14:paraId="5BEA027F"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+0,7</w:t>
            </w:r>
          </w:p>
        </w:tc>
        <w:tc>
          <w:tcPr>
            <w:tcW w:w="455" w:type="pct"/>
            <w:shd w:val="clear" w:color="auto" w:fill="D9D9D9" w:themeFill="background1" w:themeFillShade="D9"/>
            <w:vAlign w:val="center"/>
            <w:hideMark/>
          </w:tcPr>
          <w:p w14:paraId="3B6EB1B5"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+0,5</w:t>
            </w:r>
          </w:p>
        </w:tc>
        <w:tc>
          <w:tcPr>
            <w:tcW w:w="455" w:type="pct"/>
            <w:shd w:val="clear" w:color="auto" w:fill="auto"/>
            <w:vAlign w:val="center"/>
            <w:hideMark/>
          </w:tcPr>
          <w:p w14:paraId="20A448FE"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+1,2</w:t>
            </w:r>
          </w:p>
        </w:tc>
        <w:tc>
          <w:tcPr>
            <w:tcW w:w="79" w:type="pct"/>
            <w:tcBorders>
              <w:top w:val="nil"/>
              <w:bottom w:val="nil"/>
            </w:tcBorders>
            <w:shd w:val="clear" w:color="auto" w:fill="auto"/>
            <w:noWrap/>
            <w:vAlign w:val="center"/>
            <w:hideMark/>
          </w:tcPr>
          <w:p w14:paraId="599102C0"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p>
        </w:tc>
        <w:tc>
          <w:tcPr>
            <w:tcW w:w="397" w:type="pct"/>
            <w:shd w:val="clear" w:color="auto" w:fill="D9D9D9" w:themeFill="background1" w:themeFillShade="D9"/>
            <w:vAlign w:val="center"/>
            <w:hideMark/>
          </w:tcPr>
          <w:p w14:paraId="2B236EB8"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100 </w:t>
            </w:r>
          </w:p>
        </w:tc>
        <w:tc>
          <w:tcPr>
            <w:tcW w:w="455" w:type="pct"/>
            <w:shd w:val="clear" w:color="auto" w:fill="auto"/>
            <w:vAlign w:val="center"/>
            <w:hideMark/>
          </w:tcPr>
          <w:p w14:paraId="095B6310"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-6,3</w:t>
            </w:r>
          </w:p>
        </w:tc>
        <w:tc>
          <w:tcPr>
            <w:tcW w:w="455" w:type="pct"/>
            <w:shd w:val="clear" w:color="auto" w:fill="auto"/>
            <w:vAlign w:val="center"/>
            <w:hideMark/>
          </w:tcPr>
          <w:p w14:paraId="11F4049A"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+4,8</w:t>
            </w:r>
          </w:p>
        </w:tc>
        <w:tc>
          <w:tcPr>
            <w:tcW w:w="453" w:type="pct"/>
            <w:shd w:val="clear" w:color="auto" w:fill="D9D9D9" w:themeFill="background1" w:themeFillShade="D9"/>
            <w:vAlign w:val="center"/>
            <w:hideMark/>
          </w:tcPr>
          <w:p w14:paraId="59614CBA"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-1,8</w:t>
            </w:r>
          </w:p>
        </w:tc>
      </w:tr>
      <w:tr w:rsidR="00FE3268" w:rsidRPr="000E4DD7" w14:paraId="56964E14" w14:textId="77777777" w:rsidTr="009453DC">
        <w:trPr>
          <w:trHeight w:val="227"/>
        </w:trPr>
        <w:tc>
          <w:tcPr>
            <w:tcW w:w="1386" w:type="pct"/>
            <w:shd w:val="clear" w:color="auto" w:fill="auto"/>
            <w:vAlign w:val="center"/>
            <w:hideMark/>
          </w:tcPr>
          <w:p w14:paraId="3F287D6A" w14:textId="5C62C9F2" w:rsidR="00FE3268" w:rsidRPr="000E4DD7" w:rsidRDefault="00FE3268" w:rsidP="006A3A97">
            <w:pPr>
              <w:widowControl/>
              <w:autoSpaceDE/>
              <w:autoSpaceDN/>
              <w:spacing w:before="40" w:after="20"/>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 </w:t>
            </w:r>
            <w:r w:rsidR="007D57AE" w:rsidRPr="007D57AE">
              <w:rPr>
                <w:rFonts w:ascii="Arial Narrow" w:eastAsia="Times New Roman" w:hAnsi="Arial Narrow" w:cs="Arial"/>
                <w:i/>
                <w:iCs/>
                <w:sz w:val="16"/>
                <w:szCs w:val="16"/>
                <w:lang w:eastAsia="it-IT"/>
              </w:rPr>
              <w:t xml:space="preserve">of </w:t>
            </w:r>
            <w:proofErr w:type="spellStart"/>
            <w:r w:rsidR="007D57AE" w:rsidRPr="007D57AE">
              <w:rPr>
                <w:rFonts w:ascii="Arial Narrow" w:eastAsia="Times New Roman" w:hAnsi="Arial Narrow" w:cs="Arial"/>
                <w:i/>
                <w:iCs/>
                <w:sz w:val="16"/>
                <w:szCs w:val="16"/>
                <w:lang w:eastAsia="it-IT"/>
              </w:rPr>
              <w:t>which</w:t>
            </w:r>
            <w:proofErr w:type="spellEnd"/>
            <w:r w:rsidR="007D57AE" w:rsidRPr="007D57AE">
              <w:rPr>
                <w:rFonts w:ascii="Arial Narrow" w:eastAsia="Times New Roman" w:hAnsi="Arial Narrow" w:cs="Arial"/>
                <w:i/>
                <w:iCs/>
                <w:sz w:val="16"/>
                <w:szCs w:val="16"/>
                <w:lang w:eastAsia="it-IT"/>
              </w:rPr>
              <w:t xml:space="preserve"> </w:t>
            </w:r>
            <w:proofErr w:type="spellStart"/>
            <w:r w:rsidR="007D57AE" w:rsidRPr="007D57AE">
              <w:rPr>
                <w:rFonts w:ascii="Arial Narrow" w:eastAsia="Times New Roman" w:hAnsi="Arial Narrow" w:cs="Arial"/>
                <w:i/>
                <w:iCs/>
                <w:sz w:val="16"/>
                <w:szCs w:val="16"/>
                <w:lang w:eastAsia="it-IT"/>
              </w:rPr>
              <w:t>pigs</w:t>
            </w:r>
            <w:proofErr w:type="spellEnd"/>
          </w:p>
        </w:tc>
        <w:tc>
          <w:tcPr>
            <w:tcW w:w="411" w:type="pct"/>
            <w:shd w:val="clear" w:color="auto" w:fill="D9D9D9" w:themeFill="background1" w:themeFillShade="D9"/>
            <w:vAlign w:val="center"/>
            <w:hideMark/>
          </w:tcPr>
          <w:p w14:paraId="0F60238D"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2.775 </w:t>
            </w:r>
          </w:p>
        </w:tc>
        <w:tc>
          <w:tcPr>
            <w:tcW w:w="455" w:type="pct"/>
            <w:shd w:val="clear" w:color="auto" w:fill="auto"/>
            <w:vAlign w:val="center"/>
            <w:hideMark/>
          </w:tcPr>
          <w:p w14:paraId="76409C1B"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-3,6</w:t>
            </w:r>
          </w:p>
        </w:tc>
        <w:tc>
          <w:tcPr>
            <w:tcW w:w="455" w:type="pct"/>
            <w:shd w:val="clear" w:color="auto" w:fill="D9D9D9" w:themeFill="background1" w:themeFillShade="D9"/>
            <w:vAlign w:val="center"/>
            <w:hideMark/>
          </w:tcPr>
          <w:p w14:paraId="27B1A761"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-4,2</w:t>
            </w:r>
          </w:p>
        </w:tc>
        <w:tc>
          <w:tcPr>
            <w:tcW w:w="455" w:type="pct"/>
            <w:shd w:val="clear" w:color="auto" w:fill="auto"/>
            <w:vAlign w:val="center"/>
            <w:hideMark/>
          </w:tcPr>
          <w:p w14:paraId="656EF98C"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-7,7</w:t>
            </w:r>
          </w:p>
        </w:tc>
        <w:tc>
          <w:tcPr>
            <w:tcW w:w="79" w:type="pct"/>
            <w:tcBorders>
              <w:top w:val="nil"/>
              <w:bottom w:val="nil"/>
            </w:tcBorders>
            <w:shd w:val="clear" w:color="auto" w:fill="auto"/>
            <w:noWrap/>
            <w:vAlign w:val="center"/>
            <w:hideMark/>
          </w:tcPr>
          <w:p w14:paraId="6D684A5F"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p>
        </w:tc>
        <w:tc>
          <w:tcPr>
            <w:tcW w:w="397" w:type="pct"/>
            <w:shd w:val="clear" w:color="auto" w:fill="D9D9D9" w:themeFill="background1" w:themeFillShade="D9"/>
            <w:vAlign w:val="center"/>
            <w:hideMark/>
          </w:tcPr>
          <w:p w14:paraId="54FA0889"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3.052 </w:t>
            </w:r>
          </w:p>
        </w:tc>
        <w:tc>
          <w:tcPr>
            <w:tcW w:w="455" w:type="pct"/>
            <w:shd w:val="clear" w:color="auto" w:fill="auto"/>
            <w:vAlign w:val="center"/>
            <w:hideMark/>
          </w:tcPr>
          <w:p w14:paraId="17264A83"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+2,3</w:t>
            </w:r>
          </w:p>
        </w:tc>
        <w:tc>
          <w:tcPr>
            <w:tcW w:w="455" w:type="pct"/>
            <w:shd w:val="clear" w:color="auto" w:fill="auto"/>
            <w:vAlign w:val="center"/>
            <w:hideMark/>
          </w:tcPr>
          <w:p w14:paraId="330535CB"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+7,5</w:t>
            </w:r>
          </w:p>
        </w:tc>
        <w:tc>
          <w:tcPr>
            <w:tcW w:w="453" w:type="pct"/>
            <w:shd w:val="clear" w:color="auto" w:fill="D9D9D9" w:themeFill="background1" w:themeFillShade="D9"/>
            <w:vAlign w:val="center"/>
            <w:hideMark/>
          </w:tcPr>
          <w:p w14:paraId="69ED7B0B"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+10,0</w:t>
            </w:r>
          </w:p>
        </w:tc>
      </w:tr>
      <w:tr w:rsidR="00FE3268" w:rsidRPr="000E4DD7" w14:paraId="346EBB12" w14:textId="77777777" w:rsidTr="009453DC">
        <w:trPr>
          <w:trHeight w:val="227"/>
        </w:trPr>
        <w:tc>
          <w:tcPr>
            <w:tcW w:w="1386" w:type="pct"/>
            <w:shd w:val="clear" w:color="auto" w:fill="auto"/>
            <w:vAlign w:val="center"/>
            <w:hideMark/>
          </w:tcPr>
          <w:p w14:paraId="5F3E437C" w14:textId="2793EBA0" w:rsidR="00FE3268" w:rsidRPr="007D57AE" w:rsidRDefault="00FE3268" w:rsidP="006A3A97">
            <w:pPr>
              <w:widowControl/>
              <w:autoSpaceDE/>
              <w:autoSpaceDN/>
              <w:spacing w:before="40" w:after="20"/>
              <w:rPr>
                <w:rFonts w:ascii="Arial Narrow" w:eastAsia="Times New Roman" w:hAnsi="Arial Narrow" w:cs="Arial"/>
                <w:i/>
                <w:iCs/>
                <w:sz w:val="16"/>
                <w:szCs w:val="16"/>
                <w:lang w:val="en-US" w:eastAsia="it-IT"/>
              </w:rPr>
            </w:pPr>
            <w:r w:rsidRPr="007D57AE">
              <w:rPr>
                <w:rFonts w:ascii="Arial Narrow" w:eastAsia="Times New Roman" w:hAnsi="Arial Narrow" w:cs="Arial"/>
                <w:i/>
                <w:iCs/>
                <w:sz w:val="16"/>
                <w:szCs w:val="16"/>
                <w:lang w:val="en-US" w:eastAsia="it-IT"/>
              </w:rPr>
              <w:t xml:space="preserve"> </w:t>
            </w:r>
            <w:r w:rsidR="007D57AE" w:rsidRPr="007D57AE">
              <w:rPr>
                <w:rFonts w:ascii="Arial Narrow" w:eastAsia="Times New Roman" w:hAnsi="Arial Narrow" w:cs="Arial"/>
                <w:i/>
                <w:iCs/>
                <w:sz w:val="16"/>
                <w:szCs w:val="16"/>
                <w:lang w:val="en-US" w:eastAsia="it-IT"/>
              </w:rPr>
              <w:t>of which sheep and goats</w:t>
            </w:r>
          </w:p>
        </w:tc>
        <w:tc>
          <w:tcPr>
            <w:tcW w:w="411" w:type="pct"/>
            <w:shd w:val="clear" w:color="auto" w:fill="D9D9D9" w:themeFill="background1" w:themeFillShade="D9"/>
            <w:vAlign w:val="center"/>
            <w:hideMark/>
          </w:tcPr>
          <w:p w14:paraId="72AFCD4D"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157 </w:t>
            </w:r>
          </w:p>
        </w:tc>
        <w:tc>
          <w:tcPr>
            <w:tcW w:w="455" w:type="pct"/>
            <w:shd w:val="clear" w:color="auto" w:fill="auto"/>
            <w:vAlign w:val="center"/>
            <w:hideMark/>
          </w:tcPr>
          <w:p w14:paraId="5D63FA55"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-5,3</w:t>
            </w:r>
          </w:p>
        </w:tc>
        <w:tc>
          <w:tcPr>
            <w:tcW w:w="455" w:type="pct"/>
            <w:shd w:val="clear" w:color="auto" w:fill="D9D9D9" w:themeFill="background1" w:themeFillShade="D9"/>
            <w:vAlign w:val="center"/>
            <w:hideMark/>
          </w:tcPr>
          <w:p w14:paraId="5F87765A"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+1,5</w:t>
            </w:r>
          </w:p>
        </w:tc>
        <w:tc>
          <w:tcPr>
            <w:tcW w:w="455" w:type="pct"/>
            <w:shd w:val="clear" w:color="auto" w:fill="auto"/>
            <w:vAlign w:val="center"/>
            <w:hideMark/>
          </w:tcPr>
          <w:p w14:paraId="6AD454FA"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-3,8</w:t>
            </w:r>
          </w:p>
        </w:tc>
        <w:tc>
          <w:tcPr>
            <w:tcW w:w="79" w:type="pct"/>
            <w:tcBorders>
              <w:top w:val="nil"/>
              <w:bottom w:val="nil"/>
            </w:tcBorders>
            <w:shd w:val="clear" w:color="auto" w:fill="auto"/>
            <w:noWrap/>
            <w:vAlign w:val="center"/>
            <w:hideMark/>
          </w:tcPr>
          <w:p w14:paraId="6ECCE571"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p>
        </w:tc>
        <w:tc>
          <w:tcPr>
            <w:tcW w:w="397" w:type="pct"/>
            <w:shd w:val="clear" w:color="auto" w:fill="D9D9D9" w:themeFill="background1" w:themeFillShade="D9"/>
            <w:vAlign w:val="center"/>
            <w:hideMark/>
          </w:tcPr>
          <w:p w14:paraId="458B0C2C"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167 </w:t>
            </w:r>
          </w:p>
        </w:tc>
        <w:tc>
          <w:tcPr>
            <w:tcW w:w="455" w:type="pct"/>
            <w:shd w:val="clear" w:color="auto" w:fill="auto"/>
            <w:vAlign w:val="center"/>
            <w:hideMark/>
          </w:tcPr>
          <w:p w14:paraId="025ED206"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+4,7</w:t>
            </w:r>
          </w:p>
        </w:tc>
        <w:tc>
          <w:tcPr>
            <w:tcW w:w="455" w:type="pct"/>
            <w:shd w:val="clear" w:color="auto" w:fill="auto"/>
            <w:vAlign w:val="center"/>
            <w:hideMark/>
          </w:tcPr>
          <w:p w14:paraId="0AABE216"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+1,5</w:t>
            </w:r>
          </w:p>
        </w:tc>
        <w:tc>
          <w:tcPr>
            <w:tcW w:w="453" w:type="pct"/>
            <w:shd w:val="clear" w:color="auto" w:fill="D9D9D9" w:themeFill="background1" w:themeFillShade="D9"/>
            <w:vAlign w:val="center"/>
            <w:hideMark/>
          </w:tcPr>
          <w:p w14:paraId="7F0D186B"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+6,3</w:t>
            </w:r>
          </w:p>
        </w:tc>
      </w:tr>
      <w:tr w:rsidR="00FE3268" w:rsidRPr="000E4DD7" w14:paraId="489CF02E" w14:textId="77777777" w:rsidTr="009453DC">
        <w:trPr>
          <w:trHeight w:val="227"/>
        </w:trPr>
        <w:tc>
          <w:tcPr>
            <w:tcW w:w="1386" w:type="pct"/>
            <w:shd w:val="clear" w:color="auto" w:fill="auto"/>
            <w:vAlign w:val="center"/>
            <w:hideMark/>
          </w:tcPr>
          <w:p w14:paraId="170B75FC" w14:textId="3F85CF87" w:rsidR="00FE3268" w:rsidRPr="000E4DD7" w:rsidRDefault="00FE3268" w:rsidP="006A3A97">
            <w:pPr>
              <w:widowControl/>
              <w:autoSpaceDE/>
              <w:autoSpaceDN/>
              <w:spacing w:before="40" w:after="20"/>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 </w:t>
            </w:r>
            <w:r w:rsidR="007D57AE" w:rsidRPr="007D57AE">
              <w:rPr>
                <w:rFonts w:ascii="Arial Narrow" w:eastAsia="Times New Roman" w:hAnsi="Arial Narrow" w:cs="Arial"/>
                <w:i/>
                <w:iCs/>
                <w:sz w:val="16"/>
                <w:szCs w:val="16"/>
                <w:lang w:eastAsia="it-IT"/>
              </w:rPr>
              <w:t xml:space="preserve">of </w:t>
            </w:r>
            <w:proofErr w:type="spellStart"/>
            <w:r w:rsidR="007D57AE" w:rsidRPr="007D57AE">
              <w:rPr>
                <w:rFonts w:ascii="Arial Narrow" w:eastAsia="Times New Roman" w:hAnsi="Arial Narrow" w:cs="Arial"/>
                <w:i/>
                <w:iCs/>
                <w:sz w:val="16"/>
                <w:szCs w:val="16"/>
                <w:lang w:eastAsia="it-IT"/>
              </w:rPr>
              <w:t>which</w:t>
            </w:r>
            <w:proofErr w:type="spellEnd"/>
            <w:r w:rsidR="007D57AE" w:rsidRPr="007D57AE">
              <w:rPr>
                <w:rFonts w:ascii="Arial Narrow" w:eastAsia="Times New Roman" w:hAnsi="Arial Narrow" w:cs="Arial"/>
                <w:i/>
                <w:iCs/>
                <w:sz w:val="16"/>
                <w:szCs w:val="16"/>
                <w:lang w:eastAsia="it-IT"/>
              </w:rPr>
              <w:t xml:space="preserve"> </w:t>
            </w:r>
            <w:proofErr w:type="spellStart"/>
            <w:r w:rsidR="007D57AE" w:rsidRPr="007D57AE">
              <w:rPr>
                <w:rFonts w:ascii="Arial Narrow" w:eastAsia="Times New Roman" w:hAnsi="Arial Narrow" w:cs="Arial"/>
                <w:i/>
                <w:iCs/>
                <w:sz w:val="16"/>
                <w:szCs w:val="16"/>
                <w:lang w:eastAsia="it-IT"/>
              </w:rPr>
              <w:t>poultry</w:t>
            </w:r>
            <w:proofErr w:type="spellEnd"/>
          </w:p>
        </w:tc>
        <w:tc>
          <w:tcPr>
            <w:tcW w:w="411" w:type="pct"/>
            <w:shd w:val="clear" w:color="auto" w:fill="D9D9D9" w:themeFill="background1" w:themeFillShade="D9"/>
            <w:vAlign w:val="center"/>
            <w:hideMark/>
          </w:tcPr>
          <w:p w14:paraId="2DBA1339"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2.668 </w:t>
            </w:r>
          </w:p>
        </w:tc>
        <w:tc>
          <w:tcPr>
            <w:tcW w:w="455" w:type="pct"/>
            <w:shd w:val="clear" w:color="auto" w:fill="auto"/>
            <w:vAlign w:val="center"/>
            <w:hideMark/>
          </w:tcPr>
          <w:p w14:paraId="568040E8"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+1,3</w:t>
            </w:r>
          </w:p>
        </w:tc>
        <w:tc>
          <w:tcPr>
            <w:tcW w:w="455" w:type="pct"/>
            <w:shd w:val="clear" w:color="auto" w:fill="D9D9D9" w:themeFill="background1" w:themeFillShade="D9"/>
            <w:vAlign w:val="center"/>
            <w:hideMark/>
          </w:tcPr>
          <w:p w14:paraId="1146DDE6"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-4,7</w:t>
            </w:r>
          </w:p>
        </w:tc>
        <w:tc>
          <w:tcPr>
            <w:tcW w:w="455" w:type="pct"/>
            <w:shd w:val="clear" w:color="auto" w:fill="auto"/>
            <w:vAlign w:val="center"/>
            <w:hideMark/>
          </w:tcPr>
          <w:p w14:paraId="66BB7D52"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-3,5</w:t>
            </w:r>
          </w:p>
        </w:tc>
        <w:tc>
          <w:tcPr>
            <w:tcW w:w="79" w:type="pct"/>
            <w:tcBorders>
              <w:top w:val="nil"/>
              <w:bottom w:val="nil"/>
            </w:tcBorders>
            <w:shd w:val="clear" w:color="auto" w:fill="auto"/>
            <w:noWrap/>
            <w:vAlign w:val="center"/>
            <w:hideMark/>
          </w:tcPr>
          <w:p w14:paraId="41C3988B"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p>
        </w:tc>
        <w:tc>
          <w:tcPr>
            <w:tcW w:w="397" w:type="pct"/>
            <w:shd w:val="clear" w:color="auto" w:fill="D9D9D9" w:themeFill="background1" w:themeFillShade="D9"/>
            <w:vAlign w:val="center"/>
            <w:hideMark/>
          </w:tcPr>
          <w:p w14:paraId="07BFD99A"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2.927 </w:t>
            </w:r>
          </w:p>
        </w:tc>
        <w:tc>
          <w:tcPr>
            <w:tcW w:w="455" w:type="pct"/>
            <w:shd w:val="clear" w:color="auto" w:fill="auto"/>
            <w:vAlign w:val="center"/>
            <w:hideMark/>
          </w:tcPr>
          <w:p w14:paraId="660B98E6"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+1,7</w:t>
            </w:r>
          </w:p>
        </w:tc>
        <w:tc>
          <w:tcPr>
            <w:tcW w:w="455" w:type="pct"/>
            <w:shd w:val="clear" w:color="auto" w:fill="auto"/>
            <w:vAlign w:val="center"/>
            <w:hideMark/>
          </w:tcPr>
          <w:p w14:paraId="65F592FC"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+7,9</w:t>
            </w:r>
          </w:p>
        </w:tc>
        <w:tc>
          <w:tcPr>
            <w:tcW w:w="453" w:type="pct"/>
            <w:shd w:val="clear" w:color="auto" w:fill="D9D9D9" w:themeFill="background1" w:themeFillShade="D9"/>
            <w:vAlign w:val="center"/>
            <w:hideMark/>
          </w:tcPr>
          <w:p w14:paraId="1914A8D0"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+9,7</w:t>
            </w:r>
          </w:p>
        </w:tc>
      </w:tr>
      <w:tr w:rsidR="00FE3268" w:rsidRPr="000E4DD7" w14:paraId="37689681" w14:textId="77777777" w:rsidTr="009453DC">
        <w:trPr>
          <w:trHeight w:val="227"/>
        </w:trPr>
        <w:tc>
          <w:tcPr>
            <w:tcW w:w="1386" w:type="pct"/>
            <w:shd w:val="clear" w:color="auto" w:fill="auto"/>
            <w:vAlign w:val="center"/>
            <w:hideMark/>
          </w:tcPr>
          <w:p w14:paraId="47B6EC87" w14:textId="5AB04280" w:rsidR="00FE3268" w:rsidRPr="007D57AE" w:rsidRDefault="00FE3268" w:rsidP="006A3A97">
            <w:pPr>
              <w:widowControl/>
              <w:autoSpaceDE/>
              <w:autoSpaceDN/>
              <w:spacing w:before="40" w:after="20"/>
              <w:rPr>
                <w:rFonts w:ascii="Arial Narrow" w:eastAsia="Times New Roman" w:hAnsi="Arial Narrow" w:cs="Arial"/>
                <w:i/>
                <w:iCs/>
                <w:sz w:val="16"/>
                <w:szCs w:val="16"/>
                <w:lang w:val="en-US" w:eastAsia="it-IT"/>
              </w:rPr>
            </w:pPr>
            <w:r w:rsidRPr="007D57AE">
              <w:rPr>
                <w:rFonts w:ascii="Arial Narrow" w:eastAsia="Times New Roman" w:hAnsi="Arial Narrow" w:cs="Arial"/>
                <w:i/>
                <w:iCs/>
                <w:sz w:val="16"/>
                <w:szCs w:val="16"/>
                <w:lang w:val="en-US" w:eastAsia="it-IT"/>
              </w:rPr>
              <w:t xml:space="preserve"> </w:t>
            </w:r>
            <w:r w:rsidR="007D57AE" w:rsidRPr="007D57AE">
              <w:rPr>
                <w:rFonts w:ascii="Arial Narrow" w:eastAsia="Times New Roman" w:hAnsi="Arial Narrow" w:cs="Arial"/>
                <w:i/>
                <w:iCs/>
                <w:sz w:val="16"/>
                <w:szCs w:val="16"/>
                <w:lang w:val="en-US" w:eastAsia="it-IT"/>
              </w:rPr>
              <w:t xml:space="preserve">of which rabbits and </w:t>
            </w:r>
            <w:proofErr w:type="gramStart"/>
            <w:r w:rsidR="007D57AE" w:rsidRPr="007D57AE">
              <w:rPr>
                <w:rFonts w:ascii="Arial Narrow" w:eastAsia="Times New Roman" w:hAnsi="Arial Narrow" w:cs="Arial"/>
                <w:i/>
                <w:iCs/>
                <w:sz w:val="16"/>
                <w:szCs w:val="16"/>
                <w:lang w:val="en-US" w:eastAsia="it-IT"/>
              </w:rPr>
              <w:t>others</w:t>
            </w:r>
            <w:proofErr w:type="gramEnd"/>
            <w:r w:rsidR="007D57AE" w:rsidRPr="007D57AE">
              <w:rPr>
                <w:rFonts w:ascii="Arial Narrow" w:eastAsia="Times New Roman" w:hAnsi="Arial Narrow" w:cs="Arial"/>
                <w:i/>
                <w:iCs/>
                <w:sz w:val="16"/>
                <w:szCs w:val="16"/>
                <w:lang w:val="en-US" w:eastAsia="it-IT"/>
              </w:rPr>
              <w:t xml:space="preserve"> minors</w:t>
            </w:r>
          </w:p>
        </w:tc>
        <w:tc>
          <w:tcPr>
            <w:tcW w:w="411" w:type="pct"/>
            <w:shd w:val="clear" w:color="auto" w:fill="D9D9D9" w:themeFill="background1" w:themeFillShade="D9"/>
            <w:vAlign w:val="center"/>
            <w:hideMark/>
          </w:tcPr>
          <w:p w14:paraId="4F9CCC63"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722 </w:t>
            </w:r>
          </w:p>
        </w:tc>
        <w:tc>
          <w:tcPr>
            <w:tcW w:w="455" w:type="pct"/>
            <w:shd w:val="clear" w:color="auto" w:fill="auto"/>
            <w:vAlign w:val="center"/>
            <w:hideMark/>
          </w:tcPr>
          <w:p w14:paraId="4D59C788"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-0,5</w:t>
            </w:r>
          </w:p>
        </w:tc>
        <w:tc>
          <w:tcPr>
            <w:tcW w:w="455" w:type="pct"/>
            <w:shd w:val="clear" w:color="auto" w:fill="D9D9D9" w:themeFill="background1" w:themeFillShade="D9"/>
            <w:vAlign w:val="center"/>
            <w:hideMark/>
          </w:tcPr>
          <w:p w14:paraId="084896E2"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-4,1</w:t>
            </w:r>
          </w:p>
        </w:tc>
        <w:tc>
          <w:tcPr>
            <w:tcW w:w="455" w:type="pct"/>
            <w:shd w:val="clear" w:color="auto" w:fill="auto"/>
            <w:vAlign w:val="center"/>
            <w:hideMark/>
          </w:tcPr>
          <w:p w14:paraId="63D113D9"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-4,6</w:t>
            </w:r>
          </w:p>
        </w:tc>
        <w:tc>
          <w:tcPr>
            <w:tcW w:w="79" w:type="pct"/>
            <w:tcBorders>
              <w:top w:val="nil"/>
              <w:bottom w:val="nil"/>
            </w:tcBorders>
            <w:shd w:val="clear" w:color="auto" w:fill="auto"/>
            <w:noWrap/>
            <w:vAlign w:val="center"/>
            <w:hideMark/>
          </w:tcPr>
          <w:p w14:paraId="66F34B10"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p>
        </w:tc>
        <w:tc>
          <w:tcPr>
            <w:tcW w:w="397" w:type="pct"/>
            <w:shd w:val="clear" w:color="auto" w:fill="D9D9D9" w:themeFill="background1" w:themeFillShade="D9"/>
            <w:vAlign w:val="center"/>
            <w:hideMark/>
          </w:tcPr>
          <w:p w14:paraId="1E939FD9"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722 </w:t>
            </w:r>
          </w:p>
        </w:tc>
        <w:tc>
          <w:tcPr>
            <w:tcW w:w="455" w:type="pct"/>
            <w:shd w:val="clear" w:color="auto" w:fill="auto"/>
            <w:vAlign w:val="center"/>
            <w:hideMark/>
          </w:tcPr>
          <w:p w14:paraId="2068050D"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+2,3</w:t>
            </w:r>
          </w:p>
        </w:tc>
        <w:tc>
          <w:tcPr>
            <w:tcW w:w="455" w:type="pct"/>
            <w:shd w:val="clear" w:color="auto" w:fill="auto"/>
            <w:vAlign w:val="center"/>
            <w:hideMark/>
          </w:tcPr>
          <w:p w14:paraId="5196868F"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-2,3</w:t>
            </w:r>
          </w:p>
        </w:tc>
        <w:tc>
          <w:tcPr>
            <w:tcW w:w="453" w:type="pct"/>
            <w:shd w:val="clear" w:color="auto" w:fill="D9D9D9" w:themeFill="background1" w:themeFillShade="D9"/>
            <w:vAlign w:val="center"/>
            <w:hideMark/>
          </w:tcPr>
          <w:p w14:paraId="16B4F6B1"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0,0</w:t>
            </w:r>
          </w:p>
        </w:tc>
      </w:tr>
      <w:tr w:rsidR="00FE3268" w:rsidRPr="000E4DD7" w14:paraId="3F944580" w14:textId="77777777" w:rsidTr="009453DC">
        <w:trPr>
          <w:trHeight w:val="227"/>
        </w:trPr>
        <w:tc>
          <w:tcPr>
            <w:tcW w:w="1386" w:type="pct"/>
            <w:shd w:val="clear" w:color="auto" w:fill="auto"/>
            <w:vAlign w:val="center"/>
            <w:hideMark/>
          </w:tcPr>
          <w:p w14:paraId="4262A12A" w14:textId="3F3BBCE8" w:rsidR="00FE3268" w:rsidRPr="000E4DD7" w:rsidRDefault="007D57AE" w:rsidP="006A3A97">
            <w:pPr>
              <w:widowControl/>
              <w:autoSpaceDE/>
              <w:autoSpaceDN/>
              <w:spacing w:before="40" w:after="20"/>
              <w:rPr>
                <w:rFonts w:ascii="Arial Narrow" w:eastAsia="Times New Roman" w:hAnsi="Arial Narrow" w:cs="Arial"/>
                <w:sz w:val="16"/>
                <w:szCs w:val="16"/>
                <w:lang w:eastAsia="it-IT"/>
              </w:rPr>
            </w:pPr>
            <w:r w:rsidRPr="007D57AE">
              <w:rPr>
                <w:rFonts w:ascii="Arial Narrow" w:eastAsia="Times New Roman" w:hAnsi="Arial Narrow" w:cs="Arial"/>
                <w:sz w:val="16"/>
                <w:szCs w:val="16"/>
                <w:lang w:eastAsia="it-IT"/>
              </w:rPr>
              <w:t>Milk</w:t>
            </w:r>
          </w:p>
        </w:tc>
        <w:tc>
          <w:tcPr>
            <w:tcW w:w="411" w:type="pct"/>
            <w:shd w:val="clear" w:color="auto" w:fill="D9D9D9" w:themeFill="background1" w:themeFillShade="D9"/>
            <w:vAlign w:val="center"/>
            <w:hideMark/>
          </w:tcPr>
          <w:p w14:paraId="5CCD9AF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5.249 </w:t>
            </w:r>
          </w:p>
        </w:tc>
        <w:tc>
          <w:tcPr>
            <w:tcW w:w="455" w:type="pct"/>
            <w:shd w:val="clear" w:color="auto" w:fill="auto"/>
            <w:vAlign w:val="center"/>
            <w:hideMark/>
          </w:tcPr>
          <w:p w14:paraId="56BF570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+2,7</w:t>
            </w:r>
          </w:p>
        </w:tc>
        <w:tc>
          <w:tcPr>
            <w:tcW w:w="455" w:type="pct"/>
            <w:shd w:val="clear" w:color="auto" w:fill="D9D9D9" w:themeFill="background1" w:themeFillShade="D9"/>
            <w:vAlign w:val="center"/>
            <w:hideMark/>
          </w:tcPr>
          <w:p w14:paraId="057AFBE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-1,5</w:t>
            </w:r>
          </w:p>
        </w:tc>
        <w:tc>
          <w:tcPr>
            <w:tcW w:w="455" w:type="pct"/>
            <w:shd w:val="clear" w:color="auto" w:fill="auto"/>
            <w:vAlign w:val="center"/>
            <w:hideMark/>
          </w:tcPr>
          <w:p w14:paraId="5A1E2AD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+1,1</w:t>
            </w:r>
          </w:p>
        </w:tc>
        <w:tc>
          <w:tcPr>
            <w:tcW w:w="79" w:type="pct"/>
            <w:tcBorders>
              <w:top w:val="nil"/>
              <w:bottom w:val="nil"/>
            </w:tcBorders>
            <w:shd w:val="clear" w:color="auto" w:fill="auto"/>
            <w:noWrap/>
            <w:vAlign w:val="center"/>
            <w:hideMark/>
          </w:tcPr>
          <w:p w14:paraId="525DC80D"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72D08E0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5.452 </w:t>
            </w:r>
          </w:p>
        </w:tc>
        <w:tc>
          <w:tcPr>
            <w:tcW w:w="455" w:type="pct"/>
            <w:shd w:val="clear" w:color="auto" w:fill="auto"/>
            <w:vAlign w:val="center"/>
            <w:hideMark/>
          </w:tcPr>
          <w:p w14:paraId="45E5DE0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+2,5</w:t>
            </w:r>
          </w:p>
        </w:tc>
        <w:tc>
          <w:tcPr>
            <w:tcW w:w="455" w:type="pct"/>
            <w:shd w:val="clear" w:color="auto" w:fill="auto"/>
            <w:vAlign w:val="center"/>
            <w:hideMark/>
          </w:tcPr>
          <w:p w14:paraId="1E8304E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+1,4</w:t>
            </w:r>
          </w:p>
        </w:tc>
        <w:tc>
          <w:tcPr>
            <w:tcW w:w="453" w:type="pct"/>
            <w:shd w:val="clear" w:color="auto" w:fill="D9D9D9" w:themeFill="background1" w:themeFillShade="D9"/>
            <w:vAlign w:val="center"/>
            <w:hideMark/>
          </w:tcPr>
          <w:p w14:paraId="2360471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+3,9</w:t>
            </w:r>
          </w:p>
        </w:tc>
      </w:tr>
      <w:tr w:rsidR="00FE3268" w:rsidRPr="000E4DD7" w14:paraId="27CC91A7" w14:textId="77777777" w:rsidTr="009453DC">
        <w:trPr>
          <w:trHeight w:val="227"/>
        </w:trPr>
        <w:tc>
          <w:tcPr>
            <w:tcW w:w="1386" w:type="pct"/>
            <w:shd w:val="clear" w:color="auto" w:fill="auto"/>
            <w:vAlign w:val="center"/>
            <w:hideMark/>
          </w:tcPr>
          <w:p w14:paraId="363B1AEA" w14:textId="11AF6B7D" w:rsidR="00FE3268" w:rsidRPr="000E4DD7" w:rsidRDefault="007D57AE" w:rsidP="006A3A97">
            <w:pPr>
              <w:widowControl/>
              <w:autoSpaceDE/>
              <w:autoSpaceDN/>
              <w:spacing w:before="40" w:after="20"/>
              <w:rPr>
                <w:rFonts w:ascii="Arial Narrow" w:eastAsia="Times New Roman" w:hAnsi="Arial Narrow" w:cs="Arial"/>
                <w:sz w:val="16"/>
                <w:szCs w:val="16"/>
                <w:lang w:eastAsia="it-IT"/>
              </w:rPr>
            </w:pPr>
            <w:proofErr w:type="spellStart"/>
            <w:r>
              <w:rPr>
                <w:rFonts w:ascii="Arial Narrow" w:eastAsia="Times New Roman" w:hAnsi="Arial Narrow" w:cs="Arial"/>
                <w:sz w:val="16"/>
                <w:szCs w:val="16"/>
                <w:lang w:eastAsia="it-IT"/>
              </w:rPr>
              <w:t>Eggs</w:t>
            </w:r>
            <w:proofErr w:type="spellEnd"/>
          </w:p>
        </w:tc>
        <w:tc>
          <w:tcPr>
            <w:tcW w:w="411" w:type="pct"/>
            <w:shd w:val="clear" w:color="auto" w:fill="D9D9D9" w:themeFill="background1" w:themeFillShade="D9"/>
            <w:vAlign w:val="center"/>
            <w:hideMark/>
          </w:tcPr>
          <w:p w14:paraId="14844D90"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1.463 </w:t>
            </w:r>
          </w:p>
        </w:tc>
        <w:tc>
          <w:tcPr>
            <w:tcW w:w="455" w:type="pct"/>
            <w:shd w:val="clear" w:color="auto" w:fill="auto"/>
            <w:vAlign w:val="center"/>
            <w:hideMark/>
          </w:tcPr>
          <w:p w14:paraId="32A05CE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-1,0</w:t>
            </w:r>
          </w:p>
        </w:tc>
        <w:tc>
          <w:tcPr>
            <w:tcW w:w="455" w:type="pct"/>
            <w:shd w:val="clear" w:color="auto" w:fill="D9D9D9" w:themeFill="background1" w:themeFillShade="D9"/>
            <w:vAlign w:val="center"/>
            <w:hideMark/>
          </w:tcPr>
          <w:p w14:paraId="4D18468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+6,9</w:t>
            </w:r>
          </w:p>
        </w:tc>
        <w:tc>
          <w:tcPr>
            <w:tcW w:w="455" w:type="pct"/>
            <w:shd w:val="clear" w:color="auto" w:fill="auto"/>
            <w:vAlign w:val="center"/>
            <w:hideMark/>
          </w:tcPr>
          <w:p w14:paraId="3757AA7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+5,8</w:t>
            </w:r>
          </w:p>
        </w:tc>
        <w:tc>
          <w:tcPr>
            <w:tcW w:w="79" w:type="pct"/>
            <w:tcBorders>
              <w:top w:val="nil"/>
              <w:bottom w:val="nil"/>
            </w:tcBorders>
            <w:shd w:val="clear" w:color="auto" w:fill="auto"/>
            <w:noWrap/>
            <w:vAlign w:val="center"/>
            <w:hideMark/>
          </w:tcPr>
          <w:p w14:paraId="3933CB9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1315F4FD"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1.456 </w:t>
            </w:r>
          </w:p>
        </w:tc>
        <w:tc>
          <w:tcPr>
            <w:tcW w:w="455" w:type="pct"/>
            <w:shd w:val="clear" w:color="auto" w:fill="auto"/>
            <w:vAlign w:val="center"/>
            <w:hideMark/>
          </w:tcPr>
          <w:p w14:paraId="4C6449ED"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+1,5</w:t>
            </w:r>
          </w:p>
        </w:tc>
        <w:tc>
          <w:tcPr>
            <w:tcW w:w="455" w:type="pct"/>
            <w:shd w:val="clear" w:color="auto" w:fill="auto"/>
            <w:vAlign w:val="center"/>
            <w:hideMark/>
          </w:tcPr>
          <w:p w14:paraId="3E74F5E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-1,9</w:t>
            </w:r>
          </w:p>
        </w:tc>
        <w:tc>
          <w:tcPr>
            <w:tcW w:w="453" w:type="pct"/>
            <w:shd w:val="clear" w:color="auto" w:fill="D9D9D9" w:themeFill="background1" w:themeFillShade="D9"/>
            <w:vAlign w:val="center"/>
            <w:hideMark/>
          </w:tcPr>
          <w:p w14:paraId="280A222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-0,5</w:t>
            </w:r>
          </w:p>
        </w:tc>
      </w:tr>
      <w:tr w:rsidR="00FE3268" w:rsidRPr="000E4DD7" w14:paraId="6B4C7E69" w14:textId="77777777" w:rsidTr="009453DC">
        <w:trPr>
          <w:trHeight w:val="227"/>
        </w:trPr>
        <w:tc>
          <w:tcPr>
            <w:tcW w:w="1386" w:type="pct"/>
            <w:shd w:val="clear" w:color="auto" w:fill="auto"/>
            <w:vAlign w:val="center"/>
            <w:hideMark/>
          </w:tcPr>
          <w:p w14:paraId="6DFC6D96" w14:textId="7E197A5C" w:rsidR="00FE3268" w:rsidRPr="000E4DD7" w:rsidRDefault="007D57AE" w:rsidP="006A3A97">
            <w:pPr>
              <w:widowControl/>
              <w:autoSpaceDE/>
              <w:autoSpaceDN/>
              <w:spacing w:before="40" w:after="20"/>
              <w:rPr>
                <w:rFonts w:ascii="Arial Narrow" w:eastAsia="Times New Roman" w:hAnsi="Arial Narrow" w:cs="Arial"/>
                <w:sz w:val="16"/>
                <w:szCs w:val="16"/>
                <w:lang w:eastAsia="it-IT"/>
              </w:rPr>
            </w:pPr>
            <w:proofErr w:type="spellStart"/>
            <w:r w:rsidRPr="007D57AE">
              <w:rPr>
                <w:rFonts w:ascii="Arial Narrow" w:eastAsia="Times New Roman" w:hAnsi="Arial Narrow" w:cs="Arial"/>
                <w:sz w:val="16"/>
                <w:szCs w:val="16"/>
                <w:lang w:eastAsia="it-IT"/>
              </w:rPr>
              <w:t>Honey</w:t>
            </w:r>
            <w:proofErr w:type="spellEnd"/>
          </w:p>
        </w:tc>
        <w:tc>
          <w:tcPr>
            <w:tcW w:w="411" w:type="pct"/>
            <w:shd w:val="clear" w:color="auto" w:fill="D9D9D9" w:themeFill="background1" w:themeFillShade="D9"/>
            <w:vAlign w:val="center"/>
            <w:hideMark/>
          </w:tcPr>
          <w:p w14:paraId="0804FCF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 </w:t>
            </w:r>
          </w:p>
        </w:tc>
        <w:tc>
          <w:tcPr>
            <w:tcW w:w="455" w:type="pct"/>
            <w:shd w:val="clear" w:color="auto" w:fill="auto"/>
            <w:vAlign w:val="center"/>
            <w:hideMark/>
          </w:tcPr>
          <w:p w14:paraId="426A6C86"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+2,6</w:t>
            </w:r>
          </w:p>
        </w:tc>
        <w:tc>
          <w:tcPr>
            <w:tcW w:w="455" w:type="pct"/>
            <w:shd w:val="clear" w:color="auto" w:fill="D9D9D9" w:themeFill="background1" w:themeFillShade="D9"/>
            <w:vAlign w:val="center"/>
            <w:hideMark/>
          </w:tcPr>
          <w:p w14:paraId="07D218C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+8,9</w:t>
            </w:r>
          </w:p>
        </w:tc>
        <w:tc>
          <w:tcPr>
            <w:tcW w:w="455" w:type="pct"/>
            <w:shd w:val="clear" w:color="auto" w:fill="auto"/>
            <w:vAlign w:val="center"/>
            <w:hideMark/>
          </w:tcPr>
          <w:p w14:paraId="220CC0A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+11,8</w:t>
            </w:r>
          </w:p>
        </w:tc>
        <w:tc>
          <w:tcPr>
            <w:tcW w:w="79" w:type="pct"/>
            <w:tcBorders>
              <w:top w:val="nil"/>
              <w:bottom w:val="nil"/>
            </w:tcBorders>
            <w:shd w:val="clear" w:color="auto" w:fill="auto"/>
            <w:noWrap/>
            <w:vAlign w:val="center"/>
            <w:hideMark/>
          </w:tcPr>
          <w:p w14:paraId="5E471836"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6878B82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 </w:t>
            </w:r>
          </w:p>
        </w:tc>
        <w:tc>
          <w:tcPr>
            <w:tcW w:w="455" w:type="pct"/>
            <w:shd w:val="clear" w:color="auto" w:fill="auto"/>
            <w:vAlign w:val="center"/>
            <w:hideMark/>
          </w:tcPr>
          <w:p w14:paraId="7A3D25D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-66,7</w:t>
            </w:r>
          </w:p>
        </w:tc>
        <w:tc>
          <w:tcPr>
            <w:tcW w:w="455" w:type="pct"/>
            <w:shd w:val="clear" w:color="auto" w:fill="auto"/>
            <w:vAlign w:val="center"/>
            <w:hideMark/>
          </w:tcPr>
          <w:p w14:paraId="16E10D4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+18,0</w:t>
            </w:r>
          </w:p>
        </w:tc>
        <w:tc>
          <w:tcPr>
            <w:tcW w:w="453" w:type="pct"/>
            <w:shd w:val="clear" w:color="auto" w:fill="D9D9D9" w:themeFill="background1" w:themeFillShade="D9"/>
            <w:vAlign w:val="center"/>
            <w:hideMark/>
          </w:tcPr>
          <w:p w14:paraId="52C85AB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-60,7</w:t>
            </w:r>
          </w:p>
        </w:tc>
      </w:tr>
      <w:tr w:rsidR="00FE3268" w:rsidRPr="000E4DD7" w14:paraId="7EEBE717" w14:textId="77777777" w:rsidTr="009453DC">
        <w:trPr>
          <w:trHeight w:val="227"/>
        </w:trPr>
        <w:tc>
          <w:tcPr>
            <w:tcW w:w="1386" w:type="pct"/>
            <w:shd w:val="clear" w:color="auto" w:fill="auto"/>
            <w:vAlign w:val="center"/>
            <w:hideMark/>
          </w:tcPr>
          <w:p w14:paraId="709A65DF" w14:textId="5C42D30E" w:rsidR="00FE3268" w:rsidRPr="000E4DD7" w:rsidRDefault="005067BE" w:rsidP="006A3A97">
            <w:pPr>
              <w:widowControl/>
              <w:autoSpaceDE/>
              <w:autoSpaceDN/>
              <w:spacing w:before="40" w:after="20"/>
              <w:rPr>
                <w:rFonts w:ascii="Arial Narrow" w:eastAsia="Times New Roman" w:hAnsi="Arial Narrow" w:cs="Arial"/>
                <w:sz w:val="16"/>
                <w:szCs w:val="16"/>
                <w:lang w:eastAsia="it-IT"/>
              </w:rPr>
            </w:pPr>
            <w:proofErr w:type="spellStart"/>
            <w:r w:rsidRPr="005067BE">
              <w:rPr>
                <w:rFonts w:ascii="Arial Narrow" w:eastAsia="Times New Roman" w:hAnsi="Arial Narrow" w:cs="Arial"/>
                <w:sz w:val="16"/>
                <w:szCs w:val="16"/>
                <w:lang w:eastAsia="it-IT"/>
              </w:rPr>
              <w:t>Other</w:t>
            </w:r>
            <w:proofErr w:type="spellEnd"/>
            <w:r w:rsidRPr="005067BE">
              <w:rPr>
                <w:rFonts w:ascii="Arial Narrow" w:eastAsia="Times New Roman" w:hAnsi="Arial Narrow" w:cs="Arial"/>
                <w:sz w:val="16"/>
                <w:szCs w:val="16"/>
                <w:lang w:eastAsia="it-IT"/>
              </w:rPr>
              <w:t xml:space="preserve"> </w:t>
            </w:r>
            <w:proofErr w:type="spellStart"/>
            <w:r w:rsidRPr="005067BE">
              <w:rPr>
                <w:rFonts w:ascii="Arial Narrow" w:eastAsia="Times New Roman" w:hAnsi="Arial Narrow" w:cs="Arial"/>
                <w:sz w:val="16"/>
                <w:szCs w:val="16"/>
                <w:lang w:eastAsia="it-IT"/>
              </w:rPr>
              <w:t>zootechnical</w:t>
            </w:r>
            <w:proofErr w:type="spellEnd"/>
            <w:r w:rsidRPr="005067BE">
              <w:rPr>
                <w:rFonts w:ascii="Arial Narrow" w:eastAsia="Times New Roman" w:hAnsi="Arial Narrow" w:cs="Arial"/>
                <w:sz w:val="16"/>
                <w:szCs w:val="16"/>
                <w:lang w:eastAsia="it-IT"/>
              </w:rPr>
              <w:t xml:space="preserve"> products</w:t>
            </w:r>
          </w:p>
        </w:tc>
        <w:tc>
          <w:tcPr>
            <w:tcW w:w="411" w:type="pct"/>
            <w:shd w:val="clear" w:color="auto" w:fill="D9D9D9" w:themeFill="background1" w:themeFillShade="D9"/>
            <w:vAlign w:val="center"/>
            <w:hideMark/>
          </w:tcPr>
          <w:p w14:paraId="6E43133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11 </w:t>
            </w:r>
          </w:p>
        </w:tc>
        <w:tc>
          <w:tcPr>
            <w:tcW w:w="455" w:type="pct"/>
            <w:shd w:val="clear" w:color="auto" w:fill="auto"/>
            <w:vAlign w:val="center"/>
            <w:hideMark/>
          </w:tcPr>
          <w:p w14:paraId="1E454B40"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+3,8</w:t>
            </w:r>
          </w:p>
        </w:tc>
        <w:tc>
          <w:tcPr>
            <w:tcW w:w="455" w:type="pct"/>
            <w:shd w:val="clear" w:color="auto" w:fill="D9D9D9" w:themeFill="background1" w:themeFillShade="D9"/>
            <w:vAlign w:val="center"/>
            <w:hideMark/>
          </w:tcPr>
          <w:p w14:paraId="63648C1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-2,8</w:t>
            </w:r>
          </w:p>
        </w:tc>
        <w:tc>
          <w:tcPr>
            <w:tcW w:w="455" w:type="pct"/>
            <w:shd w:val="clear" w:color="auto" w:fill="auto"/>
            <w:vAlign w:val="center"/>
            <w:hideMark/>
          </w:tcPr>
          <w:p w14:paraId="2360721B"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+0,9</w:t>
            </w:r>
          </w:p>
        </w:tc>
        <w:tc>
          <w:tcPr>
            <w:tcW w:w="79" w:type="pct"/>
            <w:tcBorders>
              <w:top w:val="nil"/>
              <w:bottom w:val="nil"/>
            </w:tcBorders>
            <w:shd w:val="clear" w:color="auto" w:fill="auto"/>
            <w:noWrap/>
            <w:vAlign w:val="center"/>
            <w:hideMark/>
          </w:tcPr>
          <w:p w14:paraId="46063E6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789542B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9 </w:t>
            </w:r>
          </w:p>
        </w:tc>
        <w:tc>
          <w:tcPr>
            <w:tcW w:w="455" w:type="pct"/>
            <w:shd w:val="clear" w:color="auto" w:fill="auto"/>
            <w:vAlign w:val="center"/>
            <w:hideMark/>
          </w:tcPr>
          <w:p w14:paraId="112D815C"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-24,6</w:t>
            </w:r>
          </w:p>
        </w:tc>
        <w:tc>
          <w:tcPr>
            <w:tcW w:w="455" w:type="pct"/>
            <w:shd w:val="clear" w:color="auto" w:fill="auto"/>
            <w:vAlign w:val="center"/>
            <w:hideMark/>
          </w:tcPr>
          <w:p w14:paraId="19C86B4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+3,6</w:t>
            </w:r>
          </w:p>
        </w:tc>
        <w:tc>
          <w:tcPr>
            <w:tcW w:w="453" w:type="pct"/>
            <w:shd w:val="clear" w:color="auto" w:fill="D9D9D9" w:themeFill="background1" w:themeFillShade="D9"/>
            <w:vAlign w:val="center"/>
            <w:hideMark/>
          </w:tcPr>
          <w:p w14:paraId="38C8803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-21,9</w:t>
            </w:r>
          </w:p>
        </w:tc>
      </w:tr>
      <w:tr w:rsidR="00FE3268" w:rsidRPr="000E4DD7" w14:paraId="5834B7A3" w14:textId="77777777" w:rsidTr="009453DC">
        <w:trPr>
          <w:trHeight w:val="227"/>
        </w:trPr>
        <w:tc>
          <w:tcPr>
            <w:tcW w:w="1386" w:type="pct"/>
            <w:shd w:val="clear" w:color="auto" w:fill="auto"/>
            <w:vAlign w:val="center"/>
            <w:hideMark/>
          </w:tcPr>
          <w:p w14:paraId="3B0D5C22" w14:textId="725B8910" w:rsidR="00FE3268" w:rsidRPr="000E4DD7" w:rsidRDefault="005067BE" w:rsidP="006A3A97">
            <w:pPr>
              <w:widowControl/>
              <w:autoSpaceDE/>
              <w:autoSpaceDN/>
              <w:spacing w:before="40" w:after="20"/>
              <w:rPr>
                <w:rFonts w:ascii="Arial Narrow" w:eastAsia="Times New Roman" w:hAnsi="Arial Narrow" w:cs="Arial"/>
                <w:b/>
                <w:bCs/>
                <w:sz w:val="16"/>
                <w:szCs w:val="16"/>
                <w:lang w:eastAsia="it-IT"/>
              </w:rPr>
            </w:pPr>
            <w:proofErr w:type="spellStart"/>
            <w:r w:rsidRPr="005067BE">
              <w:rPr>
                <w:rFonts w:ascii="Arial Narrow" w:eastAsia="Times New Roman" w:hAnsi="Arial Narrow" w:cs="Arial"/>
                <w:b/>
                <w:bCs/>
                <w:sz w:val="16"/>
                <w:szCs w:val="16"/>
                <w:lang w:eastAsia="it-IT"/>
              </w:rPr>
              <w:t>Agricultural</w:t>
            </w:r>
            <w:proofErr w:type="spellEnd"/>
            <w:r w:rsidRPr="005067BE">
              <w:rPr>
                <w:rFonts w:ascii="Arial Narrow" w:eastAsia="Times New Roman" w:hAnsi="Arial Narrow" w:cs="Arial"/>
                <w:b/>
                <w:bCs/>
                <w:sz w:val="16"/>
                <w:szCs w:val="16"/>
                <w:lang w:eastAsia="it-IT"/>
              </w:rPr>
              <w:t xml:space="preserve"> production of services</w:t>
            </w:r>
          </w:p>
        </w:tc>
        <w:tc>
          <w:tcPr>
            <w:tcW w:w="411" w:type="pct"/>
            <w:shd w:val="clear" w:color="auto" w:fill="auto"/>
            <w:vAlign w:val="center"/>
            <w:hideMark/>
          </w:tcPr>
          <w:p w14:paraId="0A946B15"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 xml:space="preserve">6.796 </w:t>
            </w:r>
          </w:p>
        </w:tc>
        <w:tc>
          <w:tcPr>
            <w:tcW w:w="455" w:type="pct"/>
            <w:shd w:val="clear" w:color="auto" w:fill="auto"/>
            <w:vAlign w:val="center"/>
            <w:hideMark/>
          </w:tcPr>
          <w:p w14:paraId="7ADCB93A"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-4,4</w:t>
            </w:r>
          </w:p>
        </w:tc>
        <w:tc>
          <w:tcPr>
            <w:tcW w:w="455" w:type="pct"/>
            <w:shd w:val="clear" w:color="auto" w:fill="auto"/>
            <w:vAlign w:val="center"/>
            <w:hideMark/>
          </w:tcPr>
          <w:p w14:paraId="00BAD38B"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+1,1</w:t>
            </w:r>
          </w:p>
        </w:tc>
        <w:tc>
          <w:tcPr>
            <w:tcW w:w="455" w:type="pct"/>
            <w:shd w:val="clear" w:color="auto" w:fill="auto"/>
            <w:vAlign w:val="center"/>
            <w:hideMark/>
          </w:tcPr>
          <w:p w14:paraId="1A523D83"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-3,3</w:t>
            </w:r>
          </w:p>
        </w:tc>
        <w:tc>
          <w:tcPr>
            <w:tcW w:w="79" w:type="pct"/>
            <w:tcBorders>
              <w:top w:val="nil"/>
              <w:bottom w:val="nil"/>
            </w:tcBorders>
            <w:shd w:val="clear" w:color="auto" w:fill="auto"/>
            <w:noWrap/>
            <w:vAlign w:val="center"/>
            <w:hideMark/>
          </w:tcPr>
          <w:p w14:paraId="600E7F0A"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p>
        </w:tc>
        <w:tc>
          <w:tcPr>
            <w:tcW w:w="397" w:type="pct"/>
            <w:shd w:val="clear" w:color="auto" w:fill="auto"/>
            <w:vAlign w:val="center"/>
            <w:hideMark/>
          </w:tcPr>
          <w:p w14:paraId="272C8DAB"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 xml:space="preserve">7.196 </w:t>
            </w:r>
          </w:p>
        </w:tc>
        <w:tc>
          <w:tcPr>
            <w:tcW w:w="455" w:type="pct"/>
            <w:shd w:val="clear" w:color="auto" w:fill="auto"/>
            <w:vAlign w:val="center"/>
            <w:hideMark/>
          </w:tcPr>
          <w:p w14:paraId="7343B1FC"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+3,4</w:t>
            </w:r>
          </w:p>
        </w:tc>
        <w:tc>
          <w:tcPr>
            <w:tcW w:w="455" w:type="pct"/>
            <w:shd w:val="clear" w:color="auto" w:fill="auto"/>
            <w:vAlign w:val="center"/>
            <w:hideMark/>
          </w:tcPr>
          <w:p w14:paraId="070FFAB9"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+2,4</w:t>
            </w:r>
          </w:p>
        </w:tc>
        <w:tc>
          <w:tcPr>
            <w:tcW w:w="453" w:type="pct"/>
            <w:shd w:val="clear" w:color="auto" w:fill="FFFFFF" w:themeFill="background1"/>
            <w:vAlign w:val="center"/>
            <w:hideMark/>
          </w:tcPr>
          <w:p w14:paraId="0B124D86"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+5,9</w:t>
            </w:r>
          </w:p>
        </w:tc>
      </w:tr>
      <w:tr w:rsidR="00FE3268" w:rsidRPr="000E4DD7" w14:paraId="39FCEA6F" w14:textId="77777777" w:rsidTr="009453DC">
        <w:trPr>
          <w:trHeight w:val="227"/>
        </w:trPr>
        <w:tc>
          <w:tcPr>
            <w:tcW w:w="1386" w:type="pct"/>
            <w:shd w:val="clear" w:color="auto" w:fill="auto"/>
            <w:vAlign w:val="center"/>
            <w:hideMark/>
          </w:tcPr>
          <w:p w14:paraId="7975DDA0" w14:textId="4CD1014E" w:rsidR="00FE3268" w:rsidRPr="000E4DD7" w:rsidRDefault="005067BE" w:rsidP="006A3A97">
            <w:pPr>
              <w:widowControl/>
              <w:autoSpaceDE/>
              <w:autoSpaceDN/>
              <w:spacing w:before="40" w:after="20"/>
              <w:rPr>
                <w:rFonts w:ascii="Arial Narrow" w:eastAsia="Times New Roman" w:hAnsi="Arial Narrow" w:cs="Arial"/>
                <w:b/>
                <w:bCs/>
                <w:sz w:val="16"/>
                <w:szCs w:val="16"/>
                <w:lang w:eastAsia="it-IT"/>
              </w:rPr>
            </w:pPr>
            <w:r w:rsidRPr="005067BE">
              <w:rPr>
                <w:rFonts w:ascii="Arial Narrow" w:eastAsia="Times New Roman" w:hAnsi="Arial Narrow" w:cs="Arial"/>
                <w:b/>
                <w:bCs/>
                <w:sz w:val="16"/>
                <w:szCs w:val="16"/>
                <w:lang w:eastAsia="it-IT"/>
              </w:rPr>
              <w:t>Non-</w:t>
            </w:r>
            <w:proofErr w:type="spellStart"/>
            <w:r w:rsidRPr="005067BE">
              <w:rPr>
                <w:rFonts w:ascii="Arial Narrow" w:eastAsia="Times New Roman" w:hAnsi="Arial Narrow" w:cs="Arial"/>
                <w:b/>
                <w:bCs/>
                <w:sz w:val="16"/>
                <w:szCs w:val="16"/>
                <w:lang w:eastAsia="it-IT"/>
              </w:rPr>
              <w:t>agricultural</w:t>
            </w:r>
            <w:proofErr w:type="spellEnd"/>
            <w:r w:rsidRPr="005067BE">
              <w:rPr>
                <w:rFonts w:ascii="Arial Narrow" w:eastAsia="Times New Roman" w:hAnsi="Arial Narrow" w:cs="Arial"/>
                <w:b/>
                <w:bCs/>
                <w:sz w:val="16"/>
                <w:szCs w:val="16"/>
                <w:lang w:eastAsia="it-IT"/>
              </w:rPr>
              <w:t xml:space="preserve"> </w:t>
            </w:r>
            <w:proofErr w:type="spellStart"/>
            <w:r w:rsidRPr="005067BE">
              <w:rPr>
                <w:rFonts w:ascii="Arial Narrow" w:eastAsia="Times New Roman" w:hAnsi="Arial Narrow" w:cs="Arial"/>
                <w:b/>
                <w:bCs/>
                <w:sz w:val="16"/>
                <w:szCs w:val="16"/>
                <w:lang w:eastAsia="it-IT"/>
              </w:rPr>
              <w:t>secondary</w:t>
            </w:r>
            <w:proofErr w:type="spellEnd"/>
            <w:r w:rsidRPr="005067BE">
              <w:rPr>
                <w:rFonts w:ascii="Arial Narrow" w:eastAsia="Times New Roman" w:hAnsi="Arial Narrow" w:cs="Arial"/>
                <w:b/>
                <w:bCs/>
                <w:sz w:val="16"/>
                <w:szCs w:val="16"/>
                <w:lang w:eastAsia="it-IT"/>
              </w:rPr>
              <w:t xml:space="preserve"> activities</w:t>
            </w:r>
            <w:r w:rsidR="00FE3268" w:rsidRPr="000E4DD7">
              <w:rPr>
                <w:rFonts w:ascii="Arial Narrow" w:eastAsia="Times New Roman" w:hAnsi="Arial Narrow" w:cs="Arial"/>
                <w:b/>
                <w:bCs/>
                <w:sz w:val="16"/>
                <w:szCs w:val="16"/>
                <w:lang w:eastAsia="it-IT"/>
              </w:rPr>
              <w:t xml:space="preserve"> (+)</w:t>
            </w:r>
          </w:p>
        </w:tc>
        <w:tc>
          <w:tcPr>
            <w:tcW w:w="411" w:type="pct"/>
            <w:shd w:val="clear" w:color="auto" w:fill="auto"/>
            <w:vAlign w:val="center"/>
            <w:hideMark/>
          </w:tcPr>
          <w:p w14:paraId="39C4352B"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 xml:space="preserve">4.588 </w:t>
            </w:r>
          </w:p>
        </w:tc>
        <w:tc>
          <w:tcPr>
            <w:tcW w:w="455" w:type="pct"/>
            <w:shd w:val="clear" w:color="auto" w:fill="auto"/>
            <w:vAlign w:val="center"/>
            <w:hideMark/>
          </w:tcPr>
          <w:p w14:paraId="373877C8"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-17,2</w:t>
            </w:r>
          </w:p>
        </w:tc>
        <w:tc>
          <w:tcPr>
            <w:tcW w:w="455" w:type="pct"/>
            <w:shd w:val="clear" w:color="auto" w:fill="auto"/>
            <w:vAlign w:val="center"/>
            <w:hideMark/>
          </w:tcPr>
          <w:p w14:paraId="0C58003D"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-0,2</w:t>
            </w:r>
          </w:p>
        </w:tc>
        <w:tc>
          <w:tcPr>
            <w:tcW w:w="455" w:type="pct"/>
            <w:shd w:val="clear" w:color="auto" w:fill="auto"/>
            <w:vAlign w:val="center"/>
            <w:hideMark/>
          </w:tcPr>
          <w:p w14:paraId="270DC9B3"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-17,3</w:t>
            </w:r>
          </w:p>
        </w:tc>
        <w:tc>
          <w:tcPr>
            <w:tcW w:w="79" w:type="pct"/>
            <w:tcBorders>
              <w:top w:val="nil"/>
              <w:bottom w:val="nil"/>
            </w:tcBorders>
            <w:shd w:val="clear" w:color="auto" w:fill="auto"/>
            <w:noWrap/>
            <w:vAlign w:val="center"/>
            <w:hideMark/>
          </w:tcPr>
          <w:p w14:paraId="56FFB1F1"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p>
        </w:tc>
        <w:tc>
          <w:tcPr>
            <w:tcW w:w="397" w:type="pct"/>
            <w:shd w:val="clear" w:color="auto" w:fill="auto"/>
            <w:vAlign w:val="center"/>
            <w:hideMark/>
          </w:tcPr>
          <w:p w14:paraId="2A5A4331"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 xml:space="preserve">5.324 </w:t>
            </w:r>
          </w:p>
        </w:tc>
        <w:tc>
          <w:tcPr>
            <w:tcW w:w="455" w:type="pct"/>
            <w:shd w:val="clear" w:color="auto" w:fill="auto"/>
            <w:vAlign w:val="center"/>
            <w:hideMark/>
          </w:tcPr>
          <w:p w14:paraId="63D08411"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+9,6</w:t>
            </w:r>
          </w:p>
        </w:tc>
        <w:tc>
          <w:tcPr>
            <w:tcW w:w="455" w:type="pct"/>
            <w:shd w:val="clear" w:color="auto" w:fill="auto"/>
            <w:vAlign w:val="center"/>
            <w:hideMark/>
          </w:tcPr>
          <w:p w14:paraId="51677523"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+5,8</w:t>
            </w:r>
          </w:p>
        </w:tc>
        <w:tc>
          <w:tcPr>
            <w:tcW w:w="453" w:type="pct"/>
            <w:shd w:val="clear" w:color="auto" w:fill="FFFFFF" w:themeFill="background1"/>
            <w:vAlign w:val="center"/>
            <w:hideMark/>
          </w:tcPr>
          <w:p w14:paraId="0905AE50"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+16,0</w:t>
            </w:r>
          </w:p>
        </w:tc>
      </w:tr>
      <w:tr w:rsidR="00FE3268" w:rsidRPr="000E4DD7" w14:paraId="7CB147DE" w14:textId="77777777" w:rsidTr="009453DC">
        <w:trPr>
          <w:trHeight w:val="227"/>
        </w:trPr>
        <w:tc>
          <w:tcPr>
            <w:tcW w:w="1386" w:type="pct"/>
            <w:shd w:val="clear" w:color="auto" w:fill="auto"/>
            <w:vAlign w:val="center"/>
            <w:hideMark/>
          </w:tcPr>
          <w:p w14:paraId="36BA8715" w14:textId="1619C612" w:rsidR="00FE3268" w:rsidRPr="000E4DD7" w:rsidRDefault="005067BE" w:rsidP="006A3A97">
            <w:pPr>
              <w:widowControl/>
              <w:autoSpaceDE/>
              <w:autoSpaceDN/>
              <w:spacing w:before="40" w:after="20"/>
              <w:rPr>
                <w:rFonts w:ascii="Arial Narrow" w:eastAsia="Times New Roman" w:hAnsi="Arial Narrow" w:cs="Arial"/>
                <w:b/>
                <w:bCs/>
                <w:sz w:val="16"/>
                <w:szCs w:val="16"/>
                <w:lang w:eastAsia="it-IT"/>
              </w:rPr>
            </w:pPr>
            <w:r w:rsidRPr="005067BE">
              <w:rPr>
                <w:rFonts w:ascii="Arial Narrow" w:eastAsia="Times New Roman" w:hAnsi="Arial Narrow" w:cs="Arial"/>
                <w:b/>
                <w:bCs/>
                <w:sz w:val="16"/>
                <w:szCs w:val="16"/>
                <w:lang w:eastAsia="it-IT"/>
              </w:rPr>
              <w:t>Non-</w:t>
            </w:r>
            <w:proofErr w:type="spellStart"/>
            <w:r w:rsidRPr="005067BE">
              <w:rPr>
                <w:rFonts w:ascii="Arial Narrow" w:eastAsia="Times New Roman" w:hAnsi="Arial Narrow" w:cs="Arial"/>
                <w:b/>
                <w:bCs/>
                <w:sz w:val="16"/>
                <w:szCs w:val="16"/>
                <w:lang w:eastAsia="it-IT"/>
              </w:rPr>
              <w:t>agricultural</w:t>
            </w:r>
            <w:proofErr w:type="spellEnd"/>
            <w:r w:rsidRPr="005067BE">
              <w:rPr>
                <w:rFonts w:ascii="Arial Narrow" w:eastAsia="Times New Roman" w:hAnsi="Arial Narrow" w:cs="Arial"/>
                <w:b/>
                <w:bCs/>
                <w:sz w:val="16"/>
                <w:szCs w:val="16"/>
                <w:lang w:eastAsia="it-IT"/>
              </w:rPr>
              <w:t xml:space="preserve"> </w:t>
            </w:r>
            <w:proofErr w:type="spellStart"/>
            <w:r w:rsidRPr="005067BE">
              <w:rPr>
                <w:rFonts w:ascii="Arial Narrow" w:eastAsia="Times New Roman" w:hAnsi="Arial Narrow" w:cs="Arial"/>
                <w:b/>
                <w:bCs/>
                <w:sz w:val="16"/>
                <w:szCs w:val="16"/>
                <w:lang w:eastAsia="it-IT"/>
              </w:rPr>
              <w:t>secondary</w:t>
            </w:r>
            <w:proofErr w:type="spellEnd"/>
            <w:r w:rsidRPr="005067BE">
              <w:rPr>
                <w:rFonts w:ascii="Arial Narrow" w:eastAsia="Times New Roman" w:hAnsi="Arial Narrow" w:cs="Arial"/>
                <w:b/>
                <w:bCs/>
                <w:sz w:val="16"/>
                <w:szCs w:val="16"/>
                <w:lang w:eastAsia="it-IT"/>
              </w:rPr>
              <w:t xml:space="preserve"> activities</w:t>
            </w:r>
            <w:r w:rsidR="00FE3268" w:rsidRPr="000E4DD7">
              <w:rPr>
                <w:rFonts w:ascii="Arial Narrow" w:eastAsia="Times New Roman" w:hAnsi="Arial Narrow" w:cs="Arial"/>
                <w:b/>
                <w:bCs/>
                <w:sz w:val="16"/>
                <w:szCs w:val="16"/>
                <w:lang w:eastAsia="it-IT"/>
              </w:rPr>
              <w:t xml:space="preserve"> (-)</w:t>
            </w:r>
          </w:p>
        </w:tc>
        <w:tc>
          <w:tcPr>
            <w:tcW w:w="411" w:type="pct"/>
            <w:shd w:val="clear" w:color="auto" w:fill="auto"/>
            <w:vAlign w:val="center"/>
            <w:hideMark/>
          </w:tcPr>
          <w:p w14:paraId="2CDCF38B"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 xml:space="preserve">1.021 </w:t>
            </w:r>
          </w:p>
        </w:tc>
        <w:tc>
          <w:tcPr>
            <w:tcW w:w="455" w:type="pct"/>
            <w:shd w:val="clear" w:color="auto" w:fill="auto"/>
            <w:vAlign w:val="center"/>
            <w:hideMark/>
          </w:tcPr>
          <w:p w14:paraId="3377D6D7"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-1,2</w:t>
            </w:r>
          </w:p>
        </w:tc>
        <w:tc>
          <w:tcPr>
            <w:tcW w:w="455" w:type="pct"/>
            <w:shd w:val="clear" w:color="auto" w:fill="auto"/>
            <w:vAlign w:val="center"/>
            <w:hideMark/>
          </w:tcPr>
          <w:p w14:paraId="1779CA8D"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+3,0</w:t>
            </w:r>
          </w:p>
        </w:tc>
        <w:tc>
          <w:tcPr>
            <w:tcW w:w="455" w:type="pct"/>
            <w:shd w:val="clear" w:color="auto" w:fill="auto"/>
            <w:vAlign w:val="center"/>
            <w:hideMark/>
          </w:tcPr>
          <w:p w14:paraId="365C51E6"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+1,8</w:t>
            </w:r>
          </w:p>
        </w:tc>
        <w:tc>
          <w:tcPr>
            <w:tcW w:w="79" w:type="pct"/>
            <w:tcBorders>
              <w:top w:val="nil"/>
              <w:bottom w:val="nil"/>
            </w:tcBorders>
            <w:shd w:val="clear" w:color="auto" w:fill="auto"/>
            <w:noWrap/>
            <w:vAlign w:val="center"/>
            <w:hideMark/>
          </w:tcPr>
          <w:p w14:paraId="0EBEB3C2"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p>
        </w:tc>
        <w:tc>
          <w:tcPr>
            <w:tcW w:w="397" w:type="pct"/>
            <w:shd w:val="clear" w:color="auto" w:fill="auto"/>
            <w:vAlign w:val="center"/>
            <w:hideMark/>
          </w:tcPr>
          <w:p w14:paraId="4502CCBA"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 xml:space="preserve">1.090 </w:t>
            </w:r>
          </w:p>
        </w:tc>
        <w:tc>
          <w:tcPr>
            <w:tcW w:w="455" w:type="pct"/>
            <w:shd w:val="clear" w:color="auto" w:fill="auto"/>
            <w:vAlign w:val="center"/>
            <w:hideMark/>
          </w:tcPr>
          <w:p w14:paraId="1774DEB4"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-8,4</w:t>
            </w:r>
          </w:p>
        </w:tc>
        <w:tc>
          <w:tcPr>
            <w:tcW w:w="455" w:type="pct"/>
            <w:shd w:val="clear" w:color="auto" w:fill="auto"/>
            <w:vAlign w:val="center"/>
            <w:hideMark/>
          </w:tcPr>
          <w:p w14:paraId="79905EC7"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+16,5</w:t>
            </w:r>
          </w:p>
        </w:tc>
        <w:tc>
          <w:tcPr>
            <w:tcW w:w="453" w:type="pct"/>
            <w:shd w:val="clear" w:color="auto" w:fill="FFFFFF" w:themeFill="background1"/>
            <w:vAlign w:val="center"/>
            <w:hideMark/>
          </w:tcPr>
          <w:p w14:paraId="3290EBC2"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+6,7</w:t>
            </w:r>
          </w:p>
        </w:tc>
      </w:tr>
      <w:tr w:rsidR="00FE3268" w:rsidRPr="000E4DD7" w14:paraId="025D96C3" w14:textId="77777777" w:rsidTr="009453DC">
        <w:trPr>
          <w:trHeight w:val="227"/>
        </w:trPr>
        <w:tc>
          <w:tcPr>
            <w:tcW w:w="1386" w:type="pct"/>
            <w:shd w:val="clear" w:color="auto" w:fill="auto"/>
            <w:vAlign w:val="center"/>
            <w:hideMark/>
          </w:tcPr>
          <w:p w14:paraId="381EFA0C" w14:textId="5BE5AB4D" w:rsidR="00FE3268" w:rsidRPr="000E4DD7" w:rsidRDefault="005067BE" w:rsidP="006A3A97">
            <w:pPr>
              <w:widowControl/>
              <w:autoSpaceDE/>
              <w:autoSpaceDN/>
              <w:spacing w:before="40" w:after="20"/>
              <w:rPr>
                <w:rFonts w:ascii="Arial Narrow" w:eastAsia="Times New Roman" w:hAnsi="Arial Narrow" w:cs="Arial"/>
                <w:b/>
                <w:bCs/>
                <w:sz w:val="16"/>
                <w:szCs w:val="16"/>
                <w:lang w:eastAsia="it-IT"/>
              </w:rPr>
            </w:pPr>
            <w:r w:rsidRPr="005067BE">
              <w:rPr>
                <w:rFonts w:ascii="Arial Narrow" w:eastAsia="Times New Roman" w:hAnsi="Arial Narrow" w:cs="Arial"/>
                <w:b/>
                <w:bCs/>
                <w:sz w:val="16"/>
                <w:szCs w:val="16"/>
                <w:lang w:eastAsia="it-IT"/>
              </w:rPr>
              <w:t xml:space="preserve">Intermediate </w:t>
            </w:r>
            <w:proofErr w:type="spellStart"/>
            <w:r w:rsidRPr="005067BE">
              <w:rPr>
                <w:rFonts w:ascii="Arial Narrow" w:eastAsia="Times New Roman" w:hAnsi="Arial Narrow" w:cs="Arial"/>
                <w:b/>
                <w:bCs/>
                <w:sz w:val="16"/>
                <w:szCs w:val="16"/>
                <w:lang w:eastAsia="it-IT"/>
              </w:rPr>
              <w:t>consumption</w:t>
            </w:r>
            <w:proofErr w:type="spellEnd"/>
          </w:p>
        </w:tc>
        <w:tc>
          <w:tcPr>
            <w:tcW w:w="411" w:type="pct"/>
            <w:shd w:val="clear" w:color="auto" w:fill="auto"/>
            <w:vAlign w:val="center"/>
            <w:hideMark/>
          </w:tcPr>
          <w:p w14:paraId="176B7581"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 xml:space="preserve">26.157 </w:t>
            </w:r>
          </w:p>
        </w:tc>
        <w:tc>
          <w:tcPr>
            <w:tcW w:w="455" w:type="pct"/>
            <w:shd w:val="clear" w:color="auto" w:fill="auto"/>
            <w:vAlign w:val="center"/>
            <w:hideMark/>
          </w:tcPr>
          <w:p w14:paraId="108792DC"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+2,6</w:t>
            </w:r>
          </w:p>
        </w:tc>
        <w:tc>
          <w:tcPr>
            <w:tcW w:w="455" w:type="pct"/>
            <w:shd w:val="clear" w:color="auto" w:fill="auto"/>
            <w:vAlign w:val="center"/>
            <w:hideMark/>
          </w:tcPr>
          <w:p w14:paraId="3C19AFDA"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-0,8</w:t>
            </w:r>
          </w:p>
        </w:tc>
        <w:tc>
          <w:tcPr>
            <w:tcW w:w="455" w:type="pct"/>
            <w:shd w:val="clear" w:color="auto" w:fill="auto"/>
            <w:vAlign w:val="center"/>
            <w:hideMark/>
          </w:tcPr>
          <w:p w14:paraId="407C254C"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+1,8</w:t>
            </w:r>
          </w:p>
        </w:tc>
        <w:tc>
          <w:tcPr>
            <w:tcW w:w="79" w:type="pct"/>
            <w:tcBorders>
              <w:top w:val="nil"/>
              <w:bottom w:val="nil"/>
            </w:tcBorders>
            <w:shd w:val="clear" w:color="auto" w:fill="auto"/>
            <w:noWrap/>
            <w:vAlign w:val="center"/>
            <w:hideMark/>
          </w:tcPr>
          <w:p w14:paraId="75AFAC0C"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p>
        </w:tc>
        <w:tc>
          <w:tcPr>
            <w:tcW w:w="397" w:type="pct"/>
            <w:shd w:val="clear" w:color="auto" w:fill="auto"/>
            <w:vAlign w:val="center"/>
            <w:hideMark/>
          </w:tcPr>
          <w:p w14:paraId="6F684796"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 xml:space="preserve">28.530 </w:t>
            </w:r>
          </w:p>
        </w:tc>
        <w:tc>
          <w:tcPr>
            <w:tcW w:w="455" w:type="pct"/>
            <w:shd w:val="clear" w:color="auto" w:fill="auto"/>
            <w:vAlign w:val="center"/>
            <w:hideMark/>
          </w:tcPr>
          <w:p w14:paraId="0E8F2FD2"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+0,4</w:t>
            </w:r>
          </w:p>
        </w:tc>
        <w:tc>
          <w:tcPr>
            <w:tcW w:w="455" w:type="pct"/>
            <w:shd w:val="clear" w:color="auto" w:fill="auto"/>
            <w:vAlign w:val="center"/>
            <w:hideMark/>
          </w:tcPr>
          <w:p w14:paraId="262A352D"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+8,7</w:t>
            </w:r>
          </w:p>
        </w:tc>
        <w:tc>
          <w:tcPr>
            <w:tcW w:w="453" w:type="pct"/>
            <w:shd w:val="clear" w:color="auto" w:fill="FFFFFF" w:themeFill="background1"/>
            <w:vAlign w:val="center"/>
            <w:hideMark/>
          </w:tcPr>
          <w:p w14:paraId="3C46C76E" w14:textId="77777777" w:rsidR="00FE3268" w:rsidRPr="000E4DD7" w:rsidRDefault="00FE3268" w:rsidP="006A3A97">
            <w:pPr>
              <w:widowControl/>
              <w:autoSpaceDE/>
              <w:autoSpaceDN/>
              <w:spacing w:before="40" w:after="20"/>
              <w:jc w:val="right"/>
              <w:rPr>
                <w:rFonts w:ascii="Arial Narrow" w:eastAsia="Times New Roman" w:hAnsi="Arial Narrow" w:cs="Arial"/>
                <w:b/>
                <w:bCs/>
                <w:sz w:val="16"/>
                <w:szCs w:val="16"/>
                <w:lang w:eastAsia="it-IT"/>
              </w:rPr>
            </w:pPr>
            <w:r w:rsidRPr="000E4DD7">
              <w:rPr>
                <w:rFonts w:ascii="Arial Narrow" w:eastAsia="Times New Roman" w:hAnsi="Arial Narrow" w:cs="Arial"/>
                <w:b/>
                <w:bCs/>
                <w:sz w:val="16"/>
                <w:szCs w:val="16"/>
                <w:lang w:eastAsia="it-IT"/>
              </w:rPr>
              <w:t>+9,1</w:t>
            </w:r>
          </w:p>
        </w:tc>
      </w:tr>
      <w:tr w:rsidR="00FE3268" w:rsidRPr="000E4DD7" w14:paraId="48DF2D54" w14:textId="77777777" w:rsidTr="009453DC">
        <w:trPr>
          <w:trHeight w:val="227"/>
        </w:trPr>
        <w:tc>
          <w:tcPr>
            <w:tcW w:w="1386" w:type="pct"/>
            <w:shd w:val="clear" w:color="auto" w:fill="auto"/>
            <w:vAlign w:val="center"/>
            <w:hideMark/>
          </w:tcPr>
          <w:p w14:paraId="5B6D7B79" w14:textId="0B2CCE9F" w:rsidR="00FE3268" w:rsidRPr="000E4DD7" w:rsidRDefault="005067BE" w:rsidP="006A3A97">
            <w:pPr>
              <w:widowControl/>
              <w:autoSpaceDE/>
              <w:autoSpaceDN/>
              <w:spacing w:before="40" w:after="20"/>
              <w:rPr>
                <w:rFonts w:ascii="Arial Narrow" w:eastAsia="Times New Roman" w:hAnsi="Arial Narrow" w:cs="Arial"/>
                <w:sz w:val="16"/>
                <w:szCs w:val="16"/>
                <w:lang w:eastAsia="it-IT"/>
              </w:rPr>
            </w:pPr>
            <w:proofErr w:type="spellStart"/>
            <w:r w:rsidRPr="005067BE">
              <w:rPr>
                <w:rFonts w:ascii="Arial Narrow" w:eastAsia="Times New Roman" w:hAnsi="Arial Narrow" w:cs="Arial"/>
                <w:sz w:val="16"/>
                <w:szCs w:val="16"/>
                <w:lang w:eastAsia="it-IT"/>
              </w:rPr>
              <w:t>Fertilizers</w:t>
            </w:r>
            <w:proofErr w:type="spellEnd"/>
          </w:p>
        </w:tc>
        <w:tc>
          <w:tcPr>
            <w:tcW w:w="411" w:type="pct"/>
            <w:shd w:val="clear" w:color="auto" w:fill="D9D9D9" w:themeFill="background1" w:themeFillShade="D9"/>
            <w:vAlign w:val="center"/>
            <w:hideMark/>
          </w:tcPr>
          <w:p w14:paraId="1226B97D"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1.609 </w:t>
            </w:r>
          </w:p>
        </w:tc>
        <w:tc>
          <w:tcPr>
            <w:tcW w:w="455" w:type="pct"/>
            <w:shd w:val="clear" w:color="auto" w:fill="auto"/>
            <w:vAlign w:val="center"/>
            <w:hideMark/>
          </w:tcPr>
          <w:p w14:paraId="72A6A36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+7,5</w:t>
            </w:r>
          </w:p>
        </w:tc>
        <w:tc>
          <w:tcPr>
            <w:tcW w:w="455" w:type="pct"/>
            <w:shd w:val="clear" w:color="auto" w:fill="D9D9D9" w:themeFill="background1" w:themeFillShade="D9"/>
            <w:vAlign w:val="center"/>
            <w:hideMark/>
          </w:tcPr>
          <w:p w14:paraId="7DD8CDE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-2,2</w:t>
            </w:r>
          </w:p>
        </w:tc>
        <w:tc>
          <w:tcPr>
            <w:tcW w:w="455" w:type="pct"/>
            <w:shd w:val="clear" w:color="auto" w:fill="auto"/>
            <w:vAlign w:val="center"/>
            <w:hideMark/>
          </w:tcPr>
          <w:p w14:paraId="016055C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+5,1</w:t>
            </w:r>
          </w:p>
        </w:tc>
        <w:tc>
          <w:tcPr>
            <w:tcW w:w="79" w:type="pct"/>
            <w:tcBorders>
              <w:top w:val="nil"/>
              <w:bottom w:val="nil"/>
            </w:tcBorders>
            <w:shd w:val="clear" w:color="auto" w:fill="auto"/>
            <w:noWrap/>
            <w:vAlign w:val="center"/>
            <w:hideMark/>
          </w:tcPr>
          <w:p w14:paraId="67C6E5E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546E43A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1.967 </w:t>
            </w:r>
          </w:p>
        </w:tc>
        <w:tc>
          <w:tcPr>
            <w:tcW w:w="455" w:type="pct"/>
            <w:shd w:val="clear" w:color="auto" w:fill="auto"/>
            <w:vAlign w:val="center"/>
            <w:hideMark/>
          </w:tcPr>
          <w:p w14:paraId="2527461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+0,9</w:t>
            </w:r>
          </w:p>
        </w:tc>
        <w:tc>
          <w:tcPr>
            <w:tcW w:w="455" w:type="pct"/>
            <w:shd w:val="clear" w:color="auto" w:fill="auto"/>
            <w:vAlign w:val="center"/>
            <w:hideMark/>
          </w:tcPr>
          <w:p w14:paraId="6EB814E6"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+21,2</w:t>
            </w:r>
          </w:p>
        </w:tc>
        <w:tc>
          <w:tcPr>
            <w:tcW w:w="453" w:type="pct"/>
            <w:shd w:val="clear" w:color="auto" w:fill="D9D9D9" w:themeFill="background1" w:themeFillShade="D9"/>
            <w:vAlign w:val="center"/>
            <w:hideMark/>
          </w:tcPr>
          <w:p w14:paraId="2706BF2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+22,3</w:t>
            </w:r>
          </w:p>
        </w:tc>
      </w:tr>
      <w:tr w:rsidR="00FE3268" w:rsidRPr="000E4DD7" w14:paraId="6B61B9A5" w14:textId="77777777" w:rsidTr="009453DC">
        <w:trPr>
          <w:trHeight w:val="227"/>
        </w:trPr>
        <w:tc>
          <w:tcPr>
            <w:tcW w:w="1386" w:type="pct"/>
            <w:shd w:val="clear" w:color="auto" w:fill="auto"/>
            <w:vAlign w:val="center"/>
            <w:hideMark/>
          </w:tcPr>
          <w:p w14:paraId="34DACF46" w14:textId="0511A8F2" w:rsidR="00FE3268" w:rsidRPr="000E4DD7" w:rsidRDefault="007A20B2" w:rsidP="006A3A97">
            <w:pPr>
              <w:widowControl/>
              <w:autoSpaceDE/>
              <w:autoSpaceDN/>
              <w:spacing w:before="40" w:after="20"/>
              <w:rPr>
                <w:rFonts w:ascii="Arial Narrow" w:eastAsia="Times New Roman" w:hAnsi="Arial Narrow" w:cs="Arial"/>
                <w:sz w:val="16"/>
                <w:szCs w:val="16"/>
                <w:lang w:eastAsia="it-IT"/>
              </w:rPr>
            </w:pPr>
            <w:proofErr w:type="spellStart"/>
            <w:r w:rsidRPr="007A20B2">
              <w:rPr>
                <w:rFonts w:ascii="Arial Narrow" w:eastAsia="Times New Roman" w:hAnsi="Arial Narrow" w:cs="Arial"/>
                <w:sz w:val="16"/>
                <w:szCs w:val="16"/>
                <w:lang w:eastAsia="it-IT"/>
              </w:rPr>
              <w:t>Phytosanitary</w:t>
            </w:r>
            <w:proofErr w:type="spellEnd"/>
          </w:p>
        </w:tc>
        <w:tc>
          <w:tcPr>
            <w:tcW w:w="411" w:type="pct"/>
            <w:shd w:val="clear" w:color="auto" w:fill="D9D9D9" w:themeFill="background1" w:themeFillShade="D9"/>
            <w:vAlign w:val="center"/>
            <w:hideMark/>
          </w:tcPr>
          <w:p w14:paraId="494E8F8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1.070 </w:t>
            </w:r>
          </w:p>
        </w:tc>
        <w:tc>
          <w:tcPr>
            <w:tcW w:w="455" w:type="pct"/>
            <w:shd w:val="clear" w:color="auto" w:fill="auto"/>
            <w:vAlign w:val="center"/>
            <w:hideMark/>
          </w:tcPr>
          <w:p w14:paraId="65E481A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+6,5</w:t>
            </w:r>
          </w:p>
        </w:tc>
        <w:tc>
          <w:tcPr>
            <w:tcW w:w="455" w:type="pct"/>
            <w:shd w:val="clear" w:color="auto" w:fill="D9D9D9" w:themeFill="background1" w:themeFillShade="D9"/>
            <w:vAlign w:val="center"/>
            <w:hideMark/>
          </w:tcPr>
          <w:p w14:paraId="0A500266"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+0,2</w:t>
            </w:r>
          </w:p>
        </w:tc>
        <w:tc>
          <w:tcPr>
            <w:tcW w:w="455" w:type="pct"/>
            <w:shd w:val="clear" w:color="auto" w:fill="auto"/>
            <w:vAlign w:val="center"/>
            <w:hideMark/>
          </w:tcPr>
          <w:p w14:paraId="3A78C52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+6,7</w:t>
            </w:r>
          </w:p>
        </w:tc>
        <w:tc>
          <w:tcPr>
            <w:tcW w:w="79" w:type="pct"/>
            <w:tcBorders>
              <w:top w:val="nil"/>
              <w:bottom w:val="nil"/>
            </w:tcBorders>
            <w:shd w:val="clear" w:color="auto" w:fill="auto"/>
            <w:noWrap/>
            <w:vAlign w:val="center"/>
            <w:hideMark/>
          </w:tcPr>
          <w:p w14:paraId="462FD7DC"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3478EE56"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1.108 </w:t>
            </w:r>
          </w:p>
        </w:tc>
        <w:tc>
          <w:tcPr>
            <w:tcW w:w="455" w:type="pct"/>
            <w:shd w:val="clear" w:color="auto" w:fill="auto"/>
            <w:vAlign w:val="center"/>
            <w:hideMark/>
          </w:tcPr>
          <w:p w14:paraId="1E5C23CC"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+1,8</w:t>
            </w:r>
          </w:p>
        </w:tc>
        <w:tc>
          <w:tcPr>
            <w:tcW w:w="455" w:type="pct"/>
            <w:shd w:val="clear" w:color="auto" w:fill="auto"/>
            <w:vAlign w:val="center"/>
            <w:hideMark/>
          </w:tcPr>
          <w:p w14:paraId="4FD618A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+1,7</w:t>
            </w:r>
          </w:p>
        </w:tc>
        <w:tc>
          <w:tcPr>
            <w:tcW w:w="453" w:type="pct"/>
            <w:shd w:val="clear" w:color="auto" w:fill="D9D9D9" w:themeFill="background1" w:themeFillShade="D9"/>
            <w:vAlign w:val="center"/>
            <w:hideMark/>
          </w:tcPr>
          <w:p w14:paraId="637DC7A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+3,5</w:t>
            </w:r>
          </w:p>
        </w:tc>
      </w:tr>
      <w:tr w:rsidR="00FE3268" w:rsidRPr="000E4DD7" w14:paraId="7E224278" w14:textId="77777777" w:rsidTr="009453DC">
        <w:trPr>
          <w:trHeight w:val="227"/>
        </w:trPr>
        <w:tc>
          <w:tcPr>
            <w:tcW w:w="1386" w:type="pct"/>
            <w:shd w:val="clear" w:color="auto" w:fill="auto"/>
            <w:vAlign w:val="center"/>
            <w:hideMark/>
          </w:tcPr>
          <w:p w14:paraId="1F1BD692" w14:textId="3340D920" w:rsidR="00FE3268" w:rsidRPr="000E4DD7" w:rsidRDefault="007A20B2" w:rsidP="006A3A97">
            <w:pPr>
              <w:widowControl/>
              <w:autoSpaceDE/>
              <w:autoSpaceDN/>
              <w:spacing w:before="40" w:after="20"/>
              <w:rPr>
                <w:rFonts w:ascii="Arial Narrow" w:eastAsia="Times New Roman" w:hAnsi="Arial Narrow" w:cs="Arial"/>
                <w:sz w:val="16"/>
                <w:szCs w:val="16"/>
                <w:lang w:eastAsia="it-IT"/>
              </w:rPr>
            </w:pPr>
            <w:proofErr w:type="spellStart"/>
            <w:r w:rsidRPr="007A20B2">
              <w:rPr>
                <w:rFonts w:ascii="Arial Narrow" w:eastAsia="Times New Roman" w:hAnsi="Arial Narrow" w:cs="Arial"/>
                <w:sz w:val="16"/>
                <w:szCs w:val="16"/>
                <w:lang w:eastAsia="it-IT"/>
              </w:rPr>
              <w:t>Seed</w:t>
            </w:r>
            <w:proofErr w:type="spellEnd"/>
          </w:p>
        </w:tc>
        <w:tc>
          <w:tcPr>
            <w:tcW w:w="411" w:type="pct"/>
            <w:shd w:val="clear" w:color="auto" w:fill="D9D9D9" w:themeFill="background1" w:themeFillShade="D9"/>
            <w:vAlign w:val="center"/>
            <w:hideMark/>
          </w:tcPr>
          <w:p w14:paraId="0A035A9C"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1.580 </w:t>
            </w:r>
          </w:p>
        </w:tc>
        <w:tc>
          <w:tcPr>
            <w:tcW w:w="455" w:type="pct"/>
            <w:shd w:val="clear" w:color="auto" w:fill="auto"/>
            <w:vAlign w:val="center"/>
            <w:hideMark/>
          </w:tcPr>
          <w:p w14:paraId="3DB7D5A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+0,7</w:t>
            </w:r>
          </w:p>
        </w:tc>
        <w:tc>
          <w:tcPr>
            <w:tcW w:w="455" w:type="pct"/>
            <w:shd w:val="clear" w:color="auto" w:fill="D9D9D9" w:themeFill="background1" w:themeFillShade="D9"/>
            <w:vAlign w:val="center"/>
            <w:hideMark/>
          </w:tcPr>
          <w:p w14:paraId="508C76B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+4,3</w:t>
            </w:r>
          </w:p>
        </w:tc>
        <w:tc>
          <w:tcPr>
            <w:tcW w:w="455" w:type="pct"/>
            <w:shd w:val="clear" w:color="auto" w:fill="auto"/>
            <w:vAlign w:val="center"/>
            <w:hideMark/>
          </w:tcPr>
          <w:p w14:paraId="37B2CE1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+5,0</w:t>
            </w:r>
          </w:p>
        </w:tc>
        <w:tc>
          <w:tcPr>
            <w:tcW w:w="79" w:type="pct"/>
            <w:tcBorders>
              <w:top w:val="nil"/>
              <w:bottom w:val="nil"/>
            </w:tcBorders>
            <w:shd w:val="clear" w:color="auto" w:fill="auto"/>
            <w:noWrap/>
            <w:vAlign w:val="center"/>
            <w:hideMark/>
          </w:tcPr>
          <w:p w14:paraId="6198A450"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37E4831B"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1.676 </w:t>
            </w:r>
          </w:p>
        </w:tc>
        <w:tc>
          <w:tcPr>
            <w:tcW w:w="455" w:type="pct"/>
            <w:shd w:val="clear" w:color="auto" w:fill="auto"/>
            <w:vAlign w:val="center"/>
            <w:hideMark/>
          </w:tcPr>
          <w:p w14:paraId="548667D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+1,7</w:t>
            </w:r>
          </w:p>
        </w:tc>
        <w:tc>
          <w:tcPr>
            <w:tcW w:w="455" w:type="pct"/>
            <w:shd w:val="clear" w:color="auto" w:fill="auto"/>
            <w:vAlign w:val="center"/>
            <w:hideMark/>
          </w:tcPr>
          <w:p w14:paraId="4349A1E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+4,3</w:t>
            </w:r>
          </w:p>
        </w:tc>
        <w:tc>
          <w:tcPr>
            <w:tcW w:w="453" w:type="pct"/>
            <w:shd w:val="clear" w:color="auto" w:fill="D9D9D9" w:themeFill="background1" w:themeFillShade="D9"/>
            <w:vAlign w:val="center"/>
            <w:hideMark/>
          </w:tcPr>
          <w:p w14:paraId="7AD5FB9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+6,1</w:t>
            </w:r>
          </w:p>
        </w:tc>
      </w:tr>
      <w:tr w:rsidR="00FE3268" w:rsidRPr="000E4DD7" w14:paraId="7BBDF068" w14:textId="77777777" w:rsidTr="009453DC">
        <w:trPr>
          <w:trHeight w:val="227"/>
        </w:trPr>
        <w:tc>
          <w:tcPr>
            <w:tcW w:w="1386" w:type="pct"/>
            <w:shd w:val="clear" w:color="auto" w:fill="auto"/>
            <w:vAlign w:val="center"/>
            <w:hideMark/>
          </w:tcPr>
          <w:p w14:paraId="035CFBCB" w14:textId="63E816BC" w:rsidR="00FE3268" w:rsidRPr="000E4DD7" w:rsidRDefault="007A20B2" w:rsidP="006A3A97">
            <w:pPr>
              <w:widowControl/>
              <w:autoSpaceDE/>
              <w:autoSpaceDN/>
              <w:spacing w:before="40" w:after="20"/>
              <w:rPr>
                <w:rFonts w:ascii="Arial Narrow" w:eastAsia="Times New Roman" w:hAnsi="Arial Narrow" w:cs="Arial"/>
                <w:sz w:val="16"/>
                <w:szCs w:val="16"/>
                <w:lang w:eastAsia="it-IT"/>
              </w:rPr>
            </w:pPr>
            <w:r w:rsidRPr="007A20B2">
              <w:rPr>
                <w:rFonts w:ascii="Arial Narrow" w:eastAsia="Times New Roman" w:hAnsi="Arial Narrow" w:cs="Arial"/>
                <w:sz w:val="16"/>
                <w:szCs w:val="16"/>
                <w:lang w:eastAsia="it-IT"/>
              </w:rPr>
              <w:t>Feed</w:t>
            </w:r>
          </w:p>
        </w:tc>
        <w:tc>
          <w:tcPr>
            <w:tcW w:w="411" w:type="pct"/>
            <w:shd w:val="clear" w:color="auto" w:fill="D9D9D9" w:themeFill="background1" w:themeFillShade="D9"/>
            <w:vAlign w:val="center"/>
            <w:hideMark/>
          </w:tcPr>
          <w:p w14:paraId="21345A8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6.388 </w:t>
            </w:r>
          </w:p>
        </w:tc>
        <w:tc>
          <w:tcPr>
            <w:tcW w:w="455" w:type="pct"/>
            <w:shd w:val="clear" w:color="auto" w:fill="auto"/>
            <w:vAlign w:val="center"/>
            <w:hideMark/>
          </w:tcPr>
          <w:p w14:paraId="70811D2B"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+2,7</w:t>
            </w:r>
          </w:p>
        </w:tc>
        <w:tc>
          <w:tcPr>
            <w:tcW w:w="455" w:type="pct"/>
            <w:shd w:val="clear" w:color="auto" w:fill="D9D9D9" w:themeFill="background1" w:themeFillShade="D9"/>
            <w:vAlign w:val="center"/>
            <w:hideMark/>
          </w:tcPr>
          <w:p w14:paraId="2448E2B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+1,1</w:t>
            </w:r>
          </w:p>
        </w:tc>
        <w:tc>
          <w:tcPr>
            <w:tcW w:w="455" w:type="pct"/>
            <w:shd w:val="clear" w:color="auto" w:fill="auto"/>
            <w:vAlign w:val="center"/>
            <w:hideMark/>
          </w:tcPr>
          <w:p w14:paraId="1B2DAC0B"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+3,8</w:t>
            </w:r>
          </w:p>
        </w:tc>
        <w:tc>
          <w:tcPr>
            <w:tcW w:w="79" w:type="pct"/>
            <w:tcBorders>
              <w:top w:val="nil"/>
              <w:bottom w:val="nil"/>
            </w:tcBorders>
            <w:shd w:val="clear" w:color="auto" w:fill="auto"/>
            <w:noWrap/>
            <w:vAlign w:val="center"/>
            <w:hideMark/>
          </w:tcPr>
          <w:p w14:paraId="422DF29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77C1825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7.375 </w:t>
            </w:r>
          </w:p>
        </w:tc>
        <w:tc>
          <w:tcPr>
            <w:tcW w:w="455" w:type="pct"/>
            <w:shd w:val="clear" w:color="auto" w:fill="auto"/>
            <w:vAlign w:val="center"/>
            <w:hideMark/>
          </w:tcPr>
          <w:p w14:paraId="55B1655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-0,1</w:t>
            </w:r>
          </w:p>
        </w:tc>
        <w:tc>
          <w:tcPr>
            <w:tcW w:w="455" w:type="pct"/>
            <w:shd w:val="clear" w:color="auto" w:fill="auto"/>
            <w:vAlign w:val="center"/>
            <w:hideMark/>
          </w:tcPr>
          <w:p w14:paraId="1189CDF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+15,5</w:t>
            </w:r>
          </w:p>
        </w:tc>
        <w:tc>
          <w:tcPr>
            <w:tcW w:w="453" w:type="pct"/>
            <w:shd w:val="clear" w:color="auto" w:fill="D9D9D9" w:themeFill="background1" w:themeFillShade="D9"/>
            <w:vAlign w:val="center"/>
            <w:hideMark/>
          </w:tcPr>
          <w:p w14:paraId="6EB047C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+15,5</w:t>
            </w:r>
          </w:p>
        </w:tc>
      </w:tr>
      <w:tr w:rsidR="00FE3268" w:rsidRPr="000E4DD7" w14:paraId="1490CDAB" w14:textId="77777777" w:rsidTr="009453DC">
        <w:trPr>
          <w:trHeight w:val="227"/>
        </w:trPr>
        <w:tc>
          <w:tcPr>
            <w:tcW w:w="1386" w:type="pct"/>
            <w:shd w:val="clear" w:color="auto" w:fill="auto"/>
            <w:vAlign w:val="center"/>
            <w:hideMark/>
          </w:tcPr>
          <w:p w14:paraId="40BCCDA0" w14:textId="1D272C17" w:rsidR="00FE3268" w:rsidRPr="000E4DD7" w:rsidRDefault="007A20B2" w:rsidP="006A3A97">
            <w:pPr>
              <w:widowControl/>
              <w:autoSpaceDE/>
              <w:autoSpaceDN/>
              <w:spacing w:before="40" w:after="20"/>
              <w:rPr>
                <w:rFonts w:ascii="Arial Narrow" w:eastAsia="Times New Roman" w:hAnsi="Arial Narrow" w:cs="Arial"/>
                <w:sz w:val="16"/>
                <w:szCs w:val="16"/>
                <w:lang w:eastAsia="it-IT"/>
              </w:rPr>
            </w:pPr>
            <w:proofErr w:type="spellStart"/>
            <w:r w:rsidRPr="007A20B2">
              <w:rPr>
                <w:rFonts w:ascii="Arial Narrow" w:eastAsia="Times New Roman" w:hAnsi="Arial Narrow" w:cs="Arial"/>
                <w:sz w:val="16"/>
                <w:szCs w:val="16"/>
                <w:lang w:eastAsia="it-IT"/>
              </w:rPr>
              <w:t>Stable</w:t>
            </w:r>
            <w:proofErr w:type="spellEnd"/>
            <w:r w:rsidRPr="007A20B2">
              <w:rPr>
                <w:rFonts w:ascii="Arial Narrow" w:eastAsia="Times New Roman" w:hAnsi="Arial Narrow" w:cs="Arial"/>
                <w:sz w:val="16"/>
                <w:szCs w:val="16"/>
                <w:lang w:eastAsia="it-IT"/>
              </w:rPr>
              <w:t xml:space="preserve"> costs</w:t>
            </w:r>
          </w:p>
        </w:tc>
        <w:tc>
          <w:tcPr>
            <w:tcW w:w="411" w:type="pct"/>
            <w:shd w:val="clear" w:color="auto" w:fill="D9D9D9" w:themeFill="background1" w:themeFillShade="D9"/>
            <w:vAlign w:val="center"/>
            <w:hideMark/>
          </w:tcPr>
          <w:p w14:paraId="2629591B"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786 </w:t>
            </w:r>
          </w:p>
        </w:tc>
        <w:tc>
          <w:tcPr>
            <w:tcW w:w="455" w:type="pct"/>
            <w:shd w:val="clear" w:color="auto" w:fill="auto"/>
            <w:vAlign w:val="center"/>
            <w:hideMark/>
          </w:tcPr>
          <w:p w14:paraId="1B4C1C7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-0,5</w:t>
            </w:r>
          </w:p>
        </w:tc>
        <w:tc>
          <w:tcPr>
            <w:tcW w:w="455" w:type="pct"/>
            <w:shd w:val="clear" w:color="auto" w:fill="D9D9D9" w:themeFill="background1" w:themeFillShade="D9"/>
            <w:vAlign w:val="center"/>
            <w:hideMark/>
          </w:tcPr>
          <w:p w14:paraId="51EC581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+1,5</w:t>
            </w:r>
          </w:p>
        </w:tc>
        <w:tc>
          <w:tcPr>
            <w:tcW w:w="455" w:type="pct"/>
            <w:shd w:val="clear" w:color="auto" w:fill="auto"/>
            <w:vAlign w:val="center"/>
            <w:hideMark/>
          </w:tcPr>
          <w:p w14:paraId="72FC754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+1,0</w:t>
            </w:r>
          </w:p>
        </w:tc>
        <w:tc>
          <w:tcPr>
            <w:tcW w:w="79" w:type="pct"/>
            <w:tcBorders>
              <w:top w:val="nil"/>
              <w:bottom w:val="nil"/>
            </w:tcBorders>
            <w:shd w:val="clear" w:color="auto" w:fill="auto"/>
            <w:noWrap/>
            <w:vAlign w:val="center"/>
            <w:hideMark/>
          </w:tcPr>
          <w:p w14:paraId="5A2BCF20"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5DB5F097"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820 </w:t>
            </w:r>
          </w:p>
        </w:tc>
        <w:tc>
          <w:tcPr>
            <w:tcW w:w="455" w:type="pct"/>
            <w:shd w:val="clear" w:color="auto" w:fill="auto"/>
            <w:vAlign w:val="center"/>
            <w:hideMark/>
          </w:tcPr>
          <w:p w14:paraId="27DBB54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+2,0</w:t>
            </w:r>
          </w:p>
        </w:tc>
        <w:tc>
          <w:tcPr>
            <w:tcW w:w="455" w:type="pct"/>
            <w:shd w:val="clear" w:color="auto" w:fill="auto"/>
            <w:vAlign w:val="center"/>
            <w:hideMark/>
          </w:tcPr>
          <w:p w14:paraId="32C58E1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+2,3</w:t>
            </w:r>
          </w:p>
        </w:tc>
        <w:tc>
          <w:tcPr>
            <w:tcW w:w="453" w:type="pct"/>
            <w:shd w:val="clear" w:color="auto" w:fill="D9D9D9" w:themeFill="background1" w:themeFillShade="D9"/>
            <w:vAlign w:val="center"/>
            <w:hideMark/>
          </w:tcPr>
          <w:p w14:paraId="5FE94F37"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+4,3</w:t>
            </w:r>
          </w:p>
        </w:tc>
      </w:tr>
      <w:tr w:rsidR="00FE3268" w:rsidRPr="000E4DD7" w14:paraId="25B02BC3" w14:textId="77777777" w:rsidTr="009453DC">
        <w:trPr>
          <w:trHeight w:val="227"/>
        </w:trPr>
        <w:tc>
          <w:tcPr>
            <w:tcW w:w="1386" w:type="pct"/>
            <w:shd w:val="clear" w:color="auto" w:fill="auto"/>
            <w:vAlign w:val="center"/>
            <w:hideMark/>
          </w:tcPr>
          <w:p w14:paraId="122EE70D" w14:textId="7A8625DF" w:rsidR="00FE3268" w:rsidRPr="000E4DD7" w:rsidRDefault="007A20B2" w:rsidP="006A3A97">
            <w:pPr>
              <w:widowControl/>
              <w:autoSpaceDE/>
              <w:autoSpaceDN/>
              <w:spacing w:before="40" w:after="20"/>
              <w:rPr>
                <w:rFonts w:ascii="Arial Narrow" w:eastAsia="Times New Roman" w:hAnsi="Arial Narrow" w:cs="Arial"/>
                <w:sz w:val="16"/>
                <w:szCs w:val="16"/>
                <w:lang w:eastAsia="it-IT"/>
              </w:rPr>
            </w:pPr>
            <w:r>
              <w:rPr>
                <w:rFonts w:ascii="Arial Narrow" w:eastAsia="Times New Roman" w:hAnsi="Arial Narrow" w:cs="Arial"/>
                <w:sz w:val="16"/>
                <w:szCs w:val="16"/>
                <w:lang w:eastAsia="it-IT"/>
              </w:rPr>
              <w:t>Energy</w:t>
            </w:r>
          </w:p>
        </w:tc>
        <w:tc>
          <w:tcPr>
            <w:tcW w:w="411" w:type="pct"/>
            <w:shd w:val="clear" w:color="auto" w:fill="D9D9D9" w:themeFill="background1" w:themeFillShade="D9"/>
            <w:vAlign w:val="center"/>
            <w:hideMark/>
          </w:tcPr>
          <w:p w14:paraId="2C628D9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3.413 </w:t>
            </w:r>
          </w:p>
        </w:tc>
        <w:tc>
          <w:tcPr>
            <w:tcW w:w="455" w:type="pct"/>
            <w:shd w:val="clear" w:color="auto" w:fill="auto"/>
            <w:vAlign w:val="center"/>
            <w:hideMark/>
          </w:tcPr>
          <w:p w14:paraId="5BDF296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+2,5</w:t>
            </w:r>
          </w:p>
        </w:tc>
        <w:tc>
          <w:tcPr>
            <w:tcW w:w="455" w:type="pct"/>
            <w:shd w:val="clear" w:color="auto" w:fill="D9D9D9" w:themeFill="background1" w:themeFillShade="D9"/>
            <w:vAlign w:val="center"/>
            <w:hideMark/>
          </w:tcPr>
          <w:p w14:paraId="1B445A2B"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-9,5</w:t>
            </w:r>
          </w:p>
        </w:tc>
        <w:tc>
          <w:tcPr>
            <w:tcW w:w="455" w:type="pct"/>
            <w:shd w:val="clear" w:color="auto" w:fill="auto"/>
            <w:vAlign w:val="center"/>
            <w:hideMark/>
          </w:tcPr>
          <w:p w14:paraId="2843DFDD"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-7,2</w:t>
            </w:r>
          </w:p>
        </w:tc>
        <w:tc>
          <w:tcPr>
            <w:tcW w:w="79" w:type="pct"/>
            <w:tcBorders>
              <w:top w:val="nil"/>
              <w:bottom w:val="nil"/>
            </w:tcBorders>
            <w:shd w:val="clear" w:color="auto" w:fill="auto"/>
            <w:noWrap/>
            <w:vAlign w:val="center"/>
            <w:hideMark/>
          </w:tcPr>
          <w:p w14:paraId="4EEFFC9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67BB49B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3.897 </w:t>
            </w:r>
          </w:p>
        </w:tc>
        <w:tc>
          <w:tcPr>
            <w:tcW w:w="455" w:type="pct"/>
            <w:shd w:val="clear" w:color="auto" w:fill="auto"/>
            <w:vAlign w:val="center"/>
            <w:hideMark/>
          </w:tcPr>
          <w:p w14:paraId="17079ED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+0,6</w:t>
            </w:r>
          </w:p>
        </w:tc>
        <w:tc>
          <w:tcPr>
            <w:tcW w:w="455" w:type="pct"/>
            <w:shd w:val="clear" w:color="auto" w:fill="auto"/>
            <w:vAlign w:val="center"/>
            <w:hideMark/>
          </w:tcPr>
          <w:p w14:paraId="1A64674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+13,5</w:t>
            </w:r>
          </w:p>
        </w:tc>
        <w:tc>
          <w:tcPr>
            <w:tcW w:w="453" w:type="pct"/>
            <w:shd w:val="clear" w:color="auto" w:fill="D9D9D9" w:themeFill="background1" w:themeFillShade="D9"/>
            <w:vAlign w:val="center"/>
            <w:hideMark/>
          </w:tcPr>
          <w:p w14:paraId="18DB073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+14,2</w:t>
            </w:r>
          </w:p>
        </w:tc>
      </w:tr>
      <w:tr w:rsidR="00FE3268" w:rsidRPr="000E4DD7" w14:paraId="45B7987B" w14:textId="77777777" w:rsidTr="009453DC">
        <w:trPr>
          <w:trHeight w:val="227"/>
        </w:trPr>
        <w:tc>
          <w:tcPr>
            <w:tcW w:w="1386" w:type="pct"/>
            <w:shd w:val="clear" w:color="auto" w:fill="auto"/>
            <w:vAlign w:val="center"/>
            <w:hideMark/>
          </w:tcPr>
          <w:p w14:paraId="728B9175" w14:textId="26C6AF7A" w:rsidR="00FE3268" w:rsidRPr="000E4DD7" w:rsidRDefault="007A20B2" w:rsidP="006A3A97">
            <w:pPr>
              <w:widowControl/>
              <w:autoSpaceDE/>
              <w:autoSpaceDN/>
              <w:spacing w:before="40" w:after="20"/>
              <w:rPr>
                <w:rFonts w:ascii="Arial Narrow" w:eastAsia="Times New Roman" w:hAnsi="Arial Narrow" w:cs="Arial"/>
                <w:sz w:val="16"/>
                <w:szCs w:val="16"/>
                <w:lang w:eastAsia="it-IT"/>
              </w:rPr>
            </w:pPr>
            <w:proofErr w:type="spellStart"/>
            <w:r w:rsidRPr="007A20B2">
              <w:rPr>
                <w:rFonts w:ascii="Arial Narrow" w:eastAsia="Times New Roman" w:hAnsi="Arial Narrow" w:cs="Arial"/>
                <w:sz w:val="16"/>
                <w:szCs w:val="16"/>
                <w:lang w:eastAsia="it-IT"/>
              </w:rPr>
              <w:t>Irrigated</w:t>
            </w:r>
            <w:proofErr w:type="spellEnd"/>
            <w:r w:rsidRPr="007A20B2">
              <w:rPr>
                <w:rFonts w:ascii="Arial Narrow" w:eastAsia="Times New Roman" w:hAnsi="Arial Narrow" w:cs="Arial"/>
                <w:sz w:val="16"/>
                <w:szCs w:val="16"/>
                <w:lang w:eastAsia="it-IT"/>
              </w:rPr>
              <w:t xml:space="preserve"> </w:t>
            </w:r>
            <w:proofErr w:type="spellStart"/>
            <w:r w:rsidRPr="007A20B2">
              <w:rPr>
                <w:rFonts w:ascii="Arial Narrow" w:eastAsia="Times New Roman" w:hAnsi="Arial Narrow" w:cs="Arial"/>
                <w:sz w:val="16"/>
                <w:szCs w:val="16"/>
                <w:lang w:eastAsia="it-IT"/>
              </w:rPr>
              <w:t>waters</w:t>
            </w:r>
            <w:proofErr w:type="spellEnd"/>
          </w:p>
        </w:tc>
        <w:tc>
          <w:tcPr>
            <w:tcW w:w="411" w:type="pct"/>
            <w:shd w:val="clear" w:color="auto" w:fill="D9D9D9" w:themeFill="background1" w:themeFillShade="D9"/>
            <w:vAlign w:val="center"/>
            <w:hideMark/>
          </w:tcPr>
          <w:p w14:paraId="6F58297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414 </w:t>
            </w:r>
          </w:p>
        </w:tc>
        <w:tc>
          <w:tcPr>
            <w:tcW w:w="455" w:type="pct"/>
            <w:shd w:val="clear" w:color="auto" w:fill="auto"/>
            <w:vAlign w:val="center"/>
            <w:hideMark/>
          </w:tcPr>
          <w:p w14:paraId="243CA782"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+0,8</w:t>
            </w:r>
          </w:p>
        </w:tc>
        <w:tc>
          <w:tcPr>
            <w:tcW w:w="455" w:type="pct"/>
            <w:shd w:val="clear" w:color="auto" w:fill="D9D9D9" w:themeFill="background1" w:themeFillShade="D9"/>
            <w:vAlign w:val="center"/>
            <w:hideMark/>
          </w:tcPr>
          <w:p w14:paraId="45F2ECE2"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+2,5</w:t>
            </w:r>
          </w:p>
        </w:tc>
        <w:tc>
          <w:tcPr>
            <w:tcW w:w="455" w:type="pct"/>
            <w:shd w:val="clear" w:color="auto" w:fill="auto"/>
            <w:vAlign w:val="center"/>
            <w:hideMark/>
          </w:tcPr>
          <w:p w14:paraId="13767EF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+3,3</w:t>
            </w:r>
          </w:p>
        </w:tc>
        <w:tc>
          <w:tcPr>
            <w:tcW w:w="79" w:type="pct"/>
            <w:tcBorders>
              <w:top w:val="nil"/>
              <w:bottom w:val="nil"/>
            </w:tcBorders>
            <w:shd w:val="clear" w:color="auto" w:fill="auto"/>
            <w:noWrap/>
            <w:vAlign w:val="center"/>
            <w:hideMark/>
          </w:tcPr>
          <w:p w14:paraId="43F14336"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19AC5007"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412 </w:t>
            </w:r>
          </w:p>
        </w:tc>
        <w:tc>
          <w:tcPr>
            <w:tcW w:w="455" w:type="pct"/>
            <w:shd w:val="clear" w:color="auto" w:fill="auto"/>
            <w:vAlign w:val="center"/>
            <w:hideMark/>
          </w:tcPr>
          <w:p w14:paraId="0286D51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-1,7</w:t>
            </w:r>
          </w:p>
        </w:tc>
        <w:tc>
          <w:tcPr>
            <w:tcW w:w="455" w:type="pct"/>
            <w:shd w:val="clear" w:color="auto" w:fill="auto"/>
            <w:vAlign w:val="center"/>
            <w:hideMark/>
          </w:tcPr>
          <w:p w14:paraId="09AA98B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+1,1</w:t>
            </w:r>
          </w:p>
        </w:tc>
        <w:tc>
          <w:tcPr>
            <w:tcW w:w="453" w:type="pct"/>
            <w:shd w:val="clear" w:color="auto" w:fill="D9D9D9" w:themeFill="background1" w:themeFillShade="D9"/>
            <w:vAlign w:val="center"/>
            <w:hideMark/>
          </w:tcPr>
          <w:p w14:paraId="70B0B25D"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-0,6</w:t>
            </w:r>
          </w:p>
        </w:tc>
      </w:tr>
      <w:tr w:rsidR="00FE3268" w:rsidRPr="000E4DD7" w14:paraId="75511708" w14:textId="77777777" w:rsidTr="009453DC">
        <w:trPr>
          <w:trHeight w:val="227"/>
        </w:trPr>
        <w:tc>
          <w:tcPr>
            <w:tcW w:w="1386" w:type="pct"/>
            <w:shd w:val="clear" w:color="auto" w:fill="auto"/>
            <w:vAlign w:val="center"/>
            <w:hideMark/>
          </w:tcPr>
          <w:p w14:paraId="2F61773C" w14:textId="158B0CD0" w:rsidR="00FE3268" w:rsidRPr="000E4DD7" w:rsidRDefault="007A20B2" w:rsidP="006A3A97">
            <w:pPr>
              <w:widowControl/>
              <w:autoSpaceDE/>
              <w:autoSpaceDN/>
              <w:spacing w:before="40" w:after="20"/>
              <w:rPr>
                <w:rFonts w:ascii="Arial Narrow" w:eastAsia="Times New Roman" w:hAnsi="Arial Narrow" w:cs="Arial"/>
                <w:sz w:val="16"/>
                <w:szCs w:val="16"/>
                <w:lang w:eastAsia="it-IT"/>
              </w:rPr>
            </w:pPr>
            <w:proofErr w:type="spellStart"/>
            <w:r>
              <w:rPr>
                <w:rFonts w:ascii="Arial Narrow" w:eastAsia="Times New Roman" w:hAnsi="Arial Narrow" w:cs="Arial"/>
                <w:sz w:val="16"/>
                <w:szCs w:val="16"/>
                <w:lang w:eastAsia="it-IT"/>
              </w:rPr>
              <w:t>Transport</w:t>
            </w:r>
            <w:proofErr w:type="spellEnd"/>
          </w:p>
        </w:tc>
        <w:tc>
          <w:tcPr>
            <w:tcW w:w="411" w:type="pct"/>
            <w:shd w:val="clear" w:color="auto" w:fill="D9D9D9" w:themeFill="background1" w:themeFillShade="D9"/>
            <w:vAlign w:val="center"/>
            <w:hideMark/>
          </w:tcPr>
          <w:p w14:paraId="4927F66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237 </w:t>
            </w:r>
          </w:p>
        </w:tc>
        <w:tc>
          <w:tcPr>
            <w:tcW w:w="455" w:type="pct"/>
            <w:shd w:val="clear" w:color="auto" w:fill="auto"/>
            <w:vAlign w:val="center"/>
            <w:hideMark/>
          </w:tcPr>
          <w:p w14:paraId="1D2419A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-3,0</w:t>
            </w:r>
          </w:p>
        </w:tc>
        <w:tc>
          <w:tcPr>
            <w:tcW w:w="455" w:type="pct"/>
            <w:shd w:val="clear" w:color="auto" w:fill="D9D9D9" w:themeFill="background1" w:themeFillShade="D9"/>
            <w:vAlign w:val="center"/>
            <w:hideMark/>
          </w:tcPr>
          <w:p w14:paraId="0CF8951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+2,3</w:t>
            </w:r>
          </w:p>
        </w:tc>
        <w:tc>
          <w:tcPr>
            <w:tcW w:w="455" w:type="pct"/>
            <w:shd w:val="clear" w:color="auto" w:fill="auto"/>
            <w:vAlign w:val="center"/>
            <w:hideMark/>
          </w:tcPr>
          <w:p w14:paraId="377BD457"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-0,8</w:t>
            </w:r>
          </w:p>
        </w:tc>
        <w:tc>
          <w:tcPr>
            <w:tcW w:w="79" w:type="pct"/>
            <w:tcBorders>
              <w:top w:val="nil"/>
              <w:bottom w:val="nil"/>
            </w:tcBorders>
            <w:shd w:val="clear" w:color="auto" w:fill="auto"/>
            <w:noWrap/>
            <w:vAlign w:val="center"/>
            <w:hideMark/>
          </w:tcPr>
          <w:p w14:paraId="248DF0A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7456622D"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235 </w:t>
            </w:r>
          </w:p>
        </w:tc>
        <w:tc>
          <w:tcPr>
            <w:tcW w:w="455" w:type="pct"/>
            <w:shd w:val="clear" w:color="auto" w:fill="auto"/>
            <w:vAlign w:val="center"/>
            <w:hideMark/>
          </w:tcPr>
          <w:p w14:paraId="31014FE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-3,0</w:t>
            </w:r>
          </w:p>
        </w:tc>
        <w:tc>
          <w:tcPr>
            <w:tcW w:w="455" w:type="pct"/>
            <w:shd w:val="clear" w:color="auto" w:fill="auto"/>
            <w:vAlign w:val="center"/>
            <w:hideMark/>
          </w:tcPr>
          <w:p w14:paraId="1A6459C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+2,3</w:t>
            </w:r>
          </w:p>
        </w:tc>
        <w:tc>
          <w:tcPr>
            <w:tcW w:w="453" w:type="pct"/>
            <w:shd w:val="clear" w:color="auto" w:fill="D9D9D9" w:themeFill="background1" w:themeFillShade="D9"/>
            <w:vAlign w:val="center"/>
            <w:hideMark/>
          </w:tcPr>
          <w:p w14:paraId="16D49B2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-0,8</w:t>
            </w:r>
          </w:p>
        </w:tc>
      </w:tr>
      <w:tr w:rsidR="00FE3268" w:rsidRPr="000E4DD7" w14:paraId="7B524BCE" w14:textId="77777777" w:rsidTr="009453DC">
        <w:trPr>
          <w:trHeight w:val="227"/>
        </w:trPr>
        <w:tc>
          <w:tcPr>
            <w:tcW w:w="1386" w:type="pct"/>
            <w:shd w:val="clear" w:color="auto" w:fill="auto"/>
            <w:vAlign w:val="center"/>
            <w:hideMark/>
          </w:tcPr>
          <w:p w14:paraId="42ED9560" w14:textId="03472F3D" w:rsidR="00FE3268" w:rsidRPr="000E4DD7" w:rsidRDefault="007A20B2" w:rsidP="006A3A97">
            <w:pPr>
              <w:widowControl/>
              <w:autoSpaceDE/>
              <w:autoSpaceDN/>
              <w:spacing w:before="40" w:after="20"/>
              <w:rPr>
                <w:rFonts w:ascii="Arial Narrow" w:eastAsia="Times New Roman" w:hAnsi="Arial Narrow" w:cs="Arial"/>
                <w:sz w:val="16"/>
                <w:szCs w:val="16"/>
                <w:lang w:eastAsia="it-IT"/>
              </w:rPr>
            </w:pPr>
            <w:proofErr w:type="spellStart"/>
            <w:r>
              <w:rPr>
                <w:rFonts w:ascii="Arial Narrow" w:eastAsia="Times New Roman" w:hAnsi="Arial Narrow" w:cs="Arial"/>
                <w:sz w:val="16"/>
                <w:szCs w:val="16"/>
                <w:lang w:eastAsia="it-IT"/>
              </w:rPr>
              <w:t>Other</w:t>
            </w:r>
            <w:proofErr w:type="spellEnd"/>
          </w:p>
        </w:tc>
        <w:tc>
          <w:tcPr>
            <w:tcW w:w="411" w:type="pct"/>
            <w:shd w:val="clear" w:color="auto" w:fill="D9D9D9" w:themeFill="background1" w:themeFillShade="D9"/>
            <w:vAlign w:val="center"/>
            <w:hideMark/>
          </w:tcPr>
          <w:p w14:paraId="2F886D4D"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7.821 </w:t>
            </w:r>
          </w:p>
        </w:tc>
        <w:tc>
          <w:tcPr>
            <w:tcW w:w="455" w:type="pct"/>
            <w:shd w:val="clear" w:color="auto" w:fill="auto"/>
            <w:vAlign w:val="center"/>
            <w:hideMark/>
          </w:tcPr>
          <w:p w14:paraId="1FD5EC41"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+2,4</w:t>
            </w:r>
          </w:p>
        </w:tc>
        <w:tc>
          <w:tcPr>
            <w:tcW w:w="455" w:type="pct"/>
            <w:shd w:val="clear" w:color="auto" w:fill="D9D9D9" w:themeFill="background1" w:themeFillShade="D9"/>
            <w:vAlign w:val="center"/>
            <w:hideMark/>
          </w:tcPr>
          <w:p w14:paraId="6CD545D0"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+1,4</w:t>
            </w:r>
          </w:p>
        </w:tc>
        <w:tc>
          <w:tcPr>
            <w:tcW w:w="455" w:type="pct"/>
            <w:shd w:val="clear" w:color="auto" w:fill="auto"/>
            <w:vAlign w:val="center"/>
            <w:hideMark/>
          </w:tcPr>
          <w:p w14:paraId="4CE4325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+3,9</w:t>
            </w:r>
          </w:p>
        </w:tc>
        <w:tc>
          <w:tcPr>
            <w:tcW w:w="79" w:type="pct"/>
            <w:tcBorders>
              <w:top w:val="nil"/>
              <w:bottom w:val="nil"/>
            </w:tcBorders>
            <w:shd w:val="clear" w:color="auto" w:fill="auto"/>
            <w:noWrap/>
            <w:vAlign w:val="center"/>
            <w:hideMark/>
          </w:tcPr>
          <w:p w14:paraId="696C6ED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7FE577F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7.866 </w:t>
            </w:r>
          </w:p>
        </w:tc>
        <w:tc>
          <w:tcPr>
            <w:tcW w:w="455" w:type="pct"/>
            <w:shd w:val="clear" w:color="auto" w:fill="auto"/>
            <w:vAlign w:val="center"/>
            <w:hideMark/>
          </w:tcPr>
          <w:p w14:paraId="2137FF3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+0,7</w:t>
            </w:r>
          </w:p>
        </w:tc>
        <w:tc>
          <w:tcPr>
            <w:tcW w:w="455" w:type="pct"/>
            <w:shd w:val="clear" w:color="auto" w:fill="auto"/>
            <w:vAlign w:val="center"/>
            <w:hideMark/>
          </w:tcPr>
          <w:p w14:paraId="7C47D67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-0,1</w:t>
            </w:r>
          </w:p>
        </w:tc>
        <w:tc>
          <w:tcPr>
            <w:tcW w:w="453" w:type="pct"/>
            <w:shd w:val="clear" w:color="auto" w:fill="D9D9D9" w:themeFill="background1" w:themeFillShade="D9"/>
            <w:vAlign w:val="center"/>
            <w:hideMark/>
          </w:tcPr>
          <w:p w14:paraId="6AFCB25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+0,6</w:t>
            </w:r>
          </w:p>
        </w:tc>
      </w:tr>
      <w:tr w:rsidR="00FE3268" w:rsidRPr="000E4DD7" w14:paraId="14377E62" w14:textId="77777777" w:rsidTr="009453DC">
        <w:trPr>
          <w:trHeight w:val="227"/>
        </w:trPr>
        <w:tc>
          <w:tcPr>
            <w:tcW w:w="1386" w:type="pct"/>
            <w:shd w:val="clear" w:color="auto" w:fill="auto"/>
            <w:vAlign w:val="center"/>
            <w:hideMark/>
          </w:tcPr>
          <w:p w14:paraId="1F331174" w14:textId="1C367160" w:rsidR="00FE3268" w:rsidRPr="000E4DD7" w:rsidRDefault="007A20B2" w:rsidP="006A3A97">
            <w:pPr>
              <w:widowControl/>
              <w:autoSpaceDE/>
              <w:autoSpaceDN/>
              <w:spacing w:before="40" w:after="20"/>
              <w:rPr>
                <w:rFonts w:ascii="Arial Narrow" w:eastAsia="Times New Roman" w:hAnsi="Arial Narrow" w:cs="Arial"/>
                <w:sz w:val="16"/>
                <w:szCs w:val="16"/>
                <w:lang w:eastAsia="it-IT"/>
              </w:rPr>
            </w:pPr>
            <w:r w:rsidRPr="007A20B2">
              <w:rPr>
                <w:rFonts w:ascii="Arial Narrow" w:eastAsia="Times New Roman" w:hAnsi="Arial Narrow" w:cs="Arial"/>
                <w:sz w:val="16"/>
                <w:szCs w:val="16"/>
                <w:lang w:eastAsia="it-IT"/>
              </w:rPr>
              <w:t xml:space="preserve">Re </w:t>
            </w:r>
            <w:proofErr w:type="spellStart"/>
            <w:r w:rsidRPr="007A20B2">
              <w:rPr>
                <w:rFonts w:ascii="Arial Narrow" w:eastAsia="Times New Roman" w:hAnsi="Arial Narrow" w:cs="Arial"/>
                <w:sz w:val="16"/>
                <w:szCs w:val="16"/>
                <w:lang w:eastAsia="it-IT"/>
              </w:rPr>
              <w:t>uses</w:t>
            </w:r>
            <w:proofErr w:type="spellEnd"/>
          </w:p>
        </w:tc>
        <w:tc>
          <w:tcPr>
            <w:tcW w:w="411" w:type="pct"/>
            <w:shd w:val="clear" w:color="auto" w:fill="D9D9D9" w:themeFill="background1" w:themeFillShade="D9"/>
            <w:vAlign w:val="center"/>
            <w:hideMark/>
          </w:tcPr>
          <w:p w14:paraId="05314D1C"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2.099 </w:t>
            </w:r>
          </w:p>
        </w:tc>
        <w:tc>
          <w:tcPr>
            <w:tcW w:w="455" w:type="pct"/>
            <w:shd w:val="clear" w:color="auto" w:fill="auto"/>
            <w:vAlign w:val="center"/>
            <w:hideMark/>
          </w:tcPr>
          <w:p w14:paraId="4F67E6F7"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-0,9</w:t>
            </w:r>
          </w:p>
        </w:tc>
        <w:tc>
          <w:tcPr>
            <w:tcW w:w="455" w:type="pct"/>
            <w:shd w:val="clear" w:color="auto" w:fill="D9D9D9" w:themeFill="background1" w:themeFillShade="D9"/>
            <w:vAlign w:val="center"/>
            <w:hideMark/>
          </w:tcPr>
          <w:p w14:paraId="6014699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-3,9</w:t>
            </w:r>
          </w:p>
        </w:tc>
        <w:tc>
          <w:tcPr>
            <w:tcW w:w="455" w:type="pct"/>
            <w:shd w:val="clear" w:color="auto" w:fill="auto"/>
            <w:vAlign w:val="center"/>
            <w:hideMark/>
          </w:tcPr>
          <w:p w14:paraId="0A24D51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-4,8</w:t>
            </w:r>
          </w:p>
        </w:tc>
        <w:tc>
          <w:tcPr>
            <w:tcW w:w="79" w:type="pct"/>
            <w:tcBorders>
              <w:top w:val="nil"/>
              <w:bottom w:val="nil"/>
            </w:tcBorders>
            <w:shd w:val="clear" w:color="auto" w:fill="auto"/>
            <w:noWrap/>
            <w:vAlign w:val="center"/>
            <w:hideMark/>
          </w:tcPr>
          <w:p w14:paraId="420F0B59"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5633402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2.468 </w:t>
            </w:r>
          </w:p>
        </w:tc>
        <w:tc>
          <w:tcPr>
            <w:tcW w:w="455" w:type="pct"/>
            <w:shd w:val="clear" w:color="auto" w:fill="auto"/>
            <w:vAlign w:val="center"/>
            <w:hideMark/>
          </w:tcPr>
          <w:p w14:paraId="0731FF4E"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-0,2</w:t>
            </w:r>
          </w:p>
        </w:tc>
        <w:tc>
          <w:tcPr>
            <w:tcW w:w="455" w:type="pct"/>
            <w:shd w:val="clear" w:color="auto" w:fill="auto"/>
            <w:vAlign w:val="center"/>
            <w:hideMark/>
          </w:tcPr>
          <w:p w14:paraId="241BF79A"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+17,8</w:t>
            </w:r>
          </w:p>
        </w:tc>
        <w:tc>
          <w:tcPr>
            <w:tcW w:w="453" w:type="pct"/>
            <w:shd w:val="clear" w:color="auto" w:fill="D9D9D9" w:themeFill="background1" w:themeFillShade="D9"/>
            <w:vAlign w:val="center"/>
            <w:hideMark/>
          </w:tcPr>
          <w:p w14:paraId="5FF6A57C"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+17,6</w:t>
            </w:r>
          </w:p>
        </w:tc>
      </w:tr>
      <w:tr w:rsidR="00FE3268" w:rsidRPr="000E4DD7" w14:paraId="53B64028" w14:textId="77777777" w:rsidTr="00346AFB">
        <w:trPr>
          <w:trHeight w:val="45"/>
        </w:trPr>
        <w:tc>
          <w:tcPr>
            <w:tcW w:w="1386" w:type="pct"/>
            <w:shd w:val="clear" w:color="auto" w:fill="auto"/>
            <w:vAlign w:val="center"/>
            <w:hideMark/>
          </w:tcPr>
          <w:p w14:paraId="2FF84481" w14:textId="778DC897" w:rsidR="00FE3268" w:rsidRPr="000E4DD7" w:rsidRDefault="007A20B2" w:rsidP="006A3A97">
            <w:pPr>
              <w:widowControl/>
              <w:autoSpaceDE/>
              <w:autoSpaceDN/>
              <w:spacing w:before="40" w:after="20"/>
              <w:rPr>
                <w:rFonts w:ascii="Arial Narrow" w:eastAsia="Times New Roman" w:hAnsi="Arial Narrow" w:cs="Arial"/>
                <w:sz w:val="16"/>
                <w:szCs w:val="16"/>
                <w:lang w:eastAsia="it-IT"/>
              </w:rPr>
            </w:pPr>
            <w:r w:rsidRPr="007A20B2">
              <w:rPr>
                <w:rFonts w:ascii="Arial Narrow" w:eastAsia="Times New Roman" w:hAnsi="Arial Narrow" w:cs="Arial"/>
                <w:sz w:val="16"/>
                <w:szCs w:val="16"/>
                <w:lang w:eastAsia="it-IT"/>
              </w:rPr>
              <w:t>Credit and insurance</w:t>
            </w:r>
          </w:p>
        </w:tc>
        <w:tc>
          <w:tcPr>
            <w:tcW w:w="411" w:type="pct"/>
            <w:shd w:val="clear" w:color="auto" w:fill="D9D9D9" w:themeFill="background1" w:themeFillShade="D9"/>
            <w:vAlign w:val="center"/>
            <w:hideMark/>
          </w:tcPr>
          <w:p w14:paraId="6268C69A" w14:textId="163B6B9B" w:rsidR="00FE3268" w:rsidRPr="00841E5C"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          </w:t>
            </w:r>
            <w:r w:rsidR="005F50D2">
              <w:rPr>
                <w:rFonts w:ascii="Arial Narrow" w:eastAsia="Times New Roman" w:hAnsi="Arial Narrow" w:cs="Arial"/>
                <w:sz w:val="16"/>
                <w:szCs w:val="16"/>
                <w:lang w:eastAsia="it-IT"/>
              </w:rPr>
              <w:t xml:space="preserve"> </w:t>
            </w:r>
            <w:r w:rsidRPr="00841E5C">
              <w:rPr>
                <w:rFonts w:ascii="Arial Narrow" w:eastAsia="Times New Roman" w:hAnsi="Arial Narrow" w:cs="Arial"/>
                <w:iCs/>
                <w:sz w:val="16"/>
                <w:szCs w:val="16"/>
                <w:lang w:eastAsia="it-IT"/>
              </w:rPr>
              <w:t xml:space="preserve">408 </w:t>
            </w:r>
          </w:p>
        </w:tc>
        <w:tc>
          <w:tcPr>
            <w:tcW w:w="455" w:type="pct"/>
            <w:shd w:val="clear" w:color="auto" w:fill="auto"/>
            <w:vAlign w:val="center"/>
            <w:hideMark/>
          </w:tcPr>
          <w:p w14:paraId="6897F58F"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+1,0</w:t>
            </w:r>
          </w:p>
        </w:tc>
        <w:tc>
          <w:tcPr>
            <w:tcW w:w="455" w:type="pct"/>
            <w:shd w:val="clear" w:color="auto" w:fill="D9D9D9" w:themeFill="background1" w:themeFillShade="D9"/>
            <w:vAlign w:val="center"/>
            <w:hideMark/>
          </w:tcPr>
          <w:p w14:paraId="28B4533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+2,2</w:t>
            </w:r>
          </w:p>
        </w:tc>
        <w:tc>
          <w:tcPr>
            <w:tcW w:w="455" w:type="pct"/>
            <w:shd w:val="clear" w:color="auto" w:fill="auto"/>
            <w:vAlign w:val="center"/>
            <w:hideMark/>
          </w:tcPr>
          <w:p w14:paraId="28E8CD15"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+3,2</w:t>
            </w:r>
          </w:p>
        </w:tc>
        <w:tc>
          <w:tcPr>
            <w:tcW w:w="79" w:type="pct"/>
            <w:tcBorders>
              <w:top w:val="nil"/>
              <w:bottom w:val="nil"/>
            </w:tcBorders>
            <w:shd w:val="clear" w:color="auto" w:fill="auto"/>
            <w:noWrap/>
            <w:vAlign w:val="center"/>
            <w:hideMark/>
          </w:tcPr>
          <w:p w14:paraId="06105448"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p>
        </w:tc>
        <w:tc>
          <w:tcPr>
            <w:tcW w:w="397" w:type="pct"/>
            <w:shd w:val="clear" w:color="auto" w:fill="D9D9D9" w:themeFill="background1" w:themeFillShade="D9"/>
            <w:vAlign w:val="center"/>
            <w:hideMark/>
          </w:tcPr>
          <w:p w14:paraId="3B7E03BB"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 xml:space="preserve">418 </w:t>
            </w:r>
          </w:p>
        </w:tc>
        <w:tc>
          <w:tcPr>
            <w:tcW w:w="455" w:type="pct"/>
            <w:shd w:val="clear" w:color="auto" w:fill="auto"/>
            <w:vAlign w:val="center"/>
            <w:hideMark/>
          </w:tcPr>
          <w:p w14:paraId="6C61F1E6"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-1,2</w:t>
            </w:r>
          </w:p>
        </w:tc>
        <w:tc>
          <w:tcPr>
            <w:tcW w:w="455" w:type="pct"/>
            <w:shd w:val="clear" w:color="auto" w:fill="auto"/>
            <w:vAlign w:val="center"/>
            <w:hideMark/>
          </w:tcPr>
          <w:p w14:paraId="048A0403"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+3,7</w:t>
            </w:r>
          </w:p>
        </w:tc>
        <w:tc>
          <w:tcPr>
            <w:tcW w:w="453" w:type="pct"/>
            <w:shd w:val="clear" w:color="auto" w:fill="D9D9D9" w:themeFill="background1" w:themeFillShade="D9"/>
            <w:vAlign w:val="center"/>
            <w:hideMark/>
          </w:tcPr>
          <w:p w14:paraId="3DC89984" w14:textId="77777777" w:rsidR="00FE3268" w:rsidRPr="000E4DD7" w:rsidRDefault="00FE3268" w:rsidP="006A3A97">
            <w:pPr>
              <w:widowControl/>
              <w:autoSpaceDE/>
              <w:autoSpaceDN/>
              <w:spacing w:before="40" w:after="20"/>
              <w:jc w:val="right"/>
              <w:rPr>
                <w:rFonts w:ascii="Arial Narrow" w:eastAsia="Times New Roman" w:hAnsi="Arial Narrow" w:cs="Arial"/>
                <w:sz w:val="16"/>
                <w:szCs w:val="16"/>
                <w:lang w:eastAsia="it-IT"/>
              </w:rPr>
            </w:pPr>
            <w:r w:rsidRPr="000E4DD7">
              <w:rPr>
                <w:rFonts w:ascii="Arial Narrow" w:eastAsia="Times New Roman" w:hAnsi="Arial Narrow" w:cs="Arial"/>
                <w:sz w:val="16"/>
                <w:szCs w:val="16"/>
                <w:lang w:eastAsia="it-IT"/>
              </w:rPr>
              <w:t>+2,5</w:t>
            </w:r>
          </w:p>
        </w:tc>
      </w:tr>
      <w:tr w:rsidR="00FE3268" w:rsidRPr="000E4DD7" w14:paraId="123D8CA6" w14:textId="77777777" w:rsidTr="009453DC">
        <w:trPr>
          <w:trHeight w:val="227"/>
        </w:trPr>
        <w:tc>
          <w:tcPr>
            <w:tcW w:w="1386" w:type="pct"/>
            <w:shd w:val="clear" w:color="auto" w:fill="auto"/>
            <w:vAlign w:val="center"/>
            <w:hideMark/>
          </w:tcPr>
          <w:p w14:paraId="11C82B41" w14:textId="1A6F49EA" w:rsidR="00FE3268" w:rsidRPr="000E4DD7" w:rsidRDefault="007A20B2" w:rsidP="006A3A97">
            <w:pPr>
              <w:widowControl/>
              <w:autoSpaceDE/>
              <w:autoSpaceDN/>
              <w:spacing w:before="40" w:after="20"/>
              <w:rPr>
                <w:rFonts w:ascii="Arial Narrow" w:eastAsia="Times New Roman" w:hAnsi="Arial Narrow" w:cs="Arial"/>
                <w:i/>
                <w:iCs/>
                <w:sz w:val="16"/>
                <w:szCs w:val="16"/>
                <w:lang w:eastAsia="it-IT"/>
              </w:rPr>
            </w:pPr>
            <w:r w:rsidRPr="007A20B2">
              <w:rPr>
                <w:rFonts w:ascii="Arial Narrow" w:eastAsia="Times New Roman" w:hAnsi="Arial Narrow" w:cs="Arial"/>
                <w:i/>
                <w:iCs/>
                <w:sz w:val="16"/>
                <w:szCs w:val="16"/>
                <w:lang w:eastAsia="it-IT"/>
              </w:rPr>
              <w:t xml:space="preserve">Financial </w:t>
            </w:r>
            <w:proofErr w:type="spellStart"/>
            <w:r w:rsidRPr="007A20B2">
              <w:rPr>
                <w:rFonts w:ascii="Arial Narrow" w:eastAsia="Times New Roman" w:hAnsi="Arial Narrow" w:cs="Arial"/>
                <w:i/>
                <w:iCs/>
                <w:sz w:val="16"/>
                <w:szCs w:val="16"/>
                <w:lang w:eastAsia="it-IT"/>
              </w:rPr>
              <w:t>intermediation</w:t>
            </w:r>
            <w:proofErr w:type="spellEnd"/>
            <w:r w:rsidRPr="007A20B2">
              <w:rPr>
                <w:rFonts w:ascii="Arial Narrow" w:eastAsia="Times New Roman" w:hAnsi="Arial Narrow" w:cs="Arial"/>
                <w:i/>
                <w:iCs/>
                <w:sz w:val="16"/>
                <w:szCs w:val="16"/>
                <w:lang w:eastAsia="it-IT"/>
              </w:rPr>
              <w:t xml:space="preserve"> services</w:t>
            </w:r>
          </w:p>
        </w:tc>
        <w:tc>
          <w:tcPr>
            <w:tcW w:w="411" w:type="pct"/>
            <w:shd w:val="clear" w:color="auto" w:fill="D9D9D9" w:themeFill="background1" w:themeFillShade="D9"/>
            <w:vAlign w:val="center"/>
            <w:hideMark/>
          </w:tcPr>
          <w:p w14:paraId="47302598"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332 </w:t>
            </w:r>
          </w:p>
        </w:tc>
        <w:tc>
          <w:tcPr>
            <w:tcW w:w="455" w:type="pct"/>
            <w:shd w:val="clear" w:color="auto" w:fill="auto"/>
            <w:vAlign w:val="center"/>
            <w:hideMark/>
          </w:tcPr>
          <w:p w14:paraId="1D1F0EEA"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+19,7</w:t>
            </w:r>
          </w:p>
        </w:tc>
        <w:tc>
          <w:tcPr>
            <w:tcW w:w="455" w:type="pct"/>
            <w:shd w:val="clear" w:color="auto" w:fill="D9D9D9" w:themeFill="background1" w:themeFillShade="D9"/>
            <w:vAlign w:val="center"/>
            <w:hideMark/>
          </w:tcPr>
          <w:p w14:paraId="4B8BE08D"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-3,7</w:t>
            </w:r>
          </w:p>
        </w:tc>
        <w:tc>
          <w:tcPr>
            <w:tcW w:w="455" w:type="pct"/>
            <w:shd w:val="clear" w:color="auto" w:fill="auto"/>
            <w:vAlign w:val="center"/>
            <w:hideMark/>
          </w:tcPr>
          <w:p w14:paraId="50326E3E"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+15,2</w:t>
            </w:r>
          </w:p>
        </w:tc>
        <w:tc>
          <w:tcPr>
            <w:tcW w:w="79" w:type="pct"/>
            <w:tcBorders>
              <w:top w:val="nil"/>
              <w:bottom w:val="nil"/>
            </w:tcBorders>
            <w:shd w:val="clear" w:color="auto" w:fill="auto"/>
            <w:noWrap/>
            <w:vAlign w:val="center"/>
            <w:hideMark/>
          </w:tcPr>
          <w:p w14:paraId="39BC2561"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p>
        </w:tc>
        <w:tc>
          <w:tcPr>
            <w:tcW w:w="397" w:type="pct"/>
            <w:shd w:val="clear" w:color="auto" w:fill="D9D9D9" w:themeFill="background1" w:themeFillShade="D9"/>
            <w:vAlign w:val="center"/>
            <w:hideMark/>
          </w:tcPr>
          <w:p w14:paraId="01F2C073"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 xml:space="preserve">288 </w:t>
            </w:r>
          </w:p>
        </w:tc>
        <w:tc>
          <w:tcPr>
            <w:tcW w:w="455" w:type="pct"/>
            <w:shd w:val="clear" w:color="auto" w:fill="auto"/>
            <w:vAlign w:val="center"/>
            <w:hideMark/>
          </w:tcPr>
          <w:p w14:paraId="58CDB6D2"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-8,8</w:t>
            </w:r>
          </w:p>
        </w:tc>
        <w:tc>
          <w:tcPr>
            <w:tcW w:w="455" w:type="pct"/>
            <w:shd w:val="clear" w:color="auto" w:fill="auto"/>
            <w:vAlign w:val="center"/>
            <w:hideMark/>
          </w:tcPr>
          <w:p w14:paraId="66EB7539"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-5,0</w:t>
            </w:r>
          </w:p>
        </w:tc>
        <w:tc>
          <w:tcPr>
            <w:tcW w:w="453" w:type="pct"/>
            <w:shd w:val="clear" w:color="auto" w:fill="D9D9D9" w:themeFill="background1" w:themeFillShade="D9"/>
            <w:vAlign w:val="center"/>
            <w:hideMark/>
          </w:tcPr>
          <w:p w14:paraId="71FD01DE" w14:textId="77777777" w:rsidR="00FE3268" w:rsidRPr="000E4DD7" w:rsidRDefault="00FE3268" w:rsidP="006A3A97">
            <w:pPr>
              <w:widowControl/>
              <w:autoSpaceDE/>
              <w:autoSpaceDN/>
              <w:spacing w:before="40" w:after="20"/>
              <w:jc w:val="right"/>
              <w:rPr>
                <w:rFonts w:ascii="Arial Narrow" w:eastAsia="Times New Roman" w:hAnsi="Arial Narrow" w:cs="Arial"/>
                <w:i/>
                <w:iCs/>
                <w:sz w:val="16"/>
                <w:szCs w:val="16"/>
                <w:lang w:eastAsia="it-IT"/>
              </w:rPr>
            </w:pPr>
            <w:r w:rsidRPr="000E4DD7">
              <w:rPr>
                <w:rFonts w:ascii="Arial Narrow" w:eastAsia="Times New Roman" w:hAnsi="Arial Narrow" w:cs="Arial"/>
                <w:i/>
                <w:iCs/>
                <w:sz w:val="16"/>
                <w:szCs w:val="16"/>
                <w:lang w:eastAsia="it-IT"/>
              </w:rPr>
              <w:t>-13,4</w:t>
            </w:r>
          </w:p>
        </w:tc>
      </w:tr>
      <w:tr w:rsidR="00FE3268" w:rsidRPr="000E4DD7" w14:paraId="17ED2139" w14:textId="77777777" w:rsidTr="0003038B">
        <w:trPr>
          <w:trHeight w:val="227"/>
        </w:trPr>
        <w:tc>
          <w:tcPr>
            <w:tcW w:w="1386" w:type="pct"/>
            <w:shd w:val="clear" w:color="auto" w:fill="17365D"/>
            <w:vAlign w:val="center"/>
            <w:hideMark/>
          </w:tcPr>
          <w:p w14:paraId="5E497E77" w14:textId="2979048A" w:rsidR="00FE3268" w:rsidRPr="007E4797" w:rsidRDefault="007E4797" w:rsidP="006A3A97">
            <w:pPr>
              <w:widowControl/>
              <w:autoSpaceDE/>
              <w:autoSpaceDN/>
              <w:spacing w:before="40" w:after="20"/>
              <w:rPr>
                <w:rFonts w:ascii="Arial Narrow" w:eastAsia="Times New Roman" w:hAnsi="Arial Narrow" w:cs="Arial"/>
                <w:b/>
                <w:bCs/>
                <w:color w:val="FFFFFF" w:themeColor="background1"/>
                <w:sz w:val="16"/>
                <w:szCs w:val="16"/>
                <w:lang w:val="en-US" w:eastAsia="it-IT"/>
              </w:rPr>
            </w:pPr>
            <w:r w:rsidRPr="007E4797">
              <w:rPr>
                <w:rFonts w:ascii="Arial Narrow" w:eastAsia="Times New Roman" w:hAnsi="Arial Narrow" w:cs="Arial"/>
                <w:b/>
                <w:bCs/>
                <w:color w:val="FFFFFF" w:themeColor="background1"/>
                <w:sz w:val="16"/>
                <w:szCs w:val="16"/>
                <w:lang w:val="en-US" w:eastAsia="it-IT"/>
              </w:rPr>
              <w:t>GROSS VALUE ADDED TO THE BASIC PRICES</w:t>
            </w:r>
          </w:p>
        </w:tc>
        <w:tc>
          <w:tcPr>
            <w:tcW w:w="411" w:type="pct"/>
            <w:shd w:val="clear" w:color="auto" w:fill="17365D"/>
            <w:vAlign w:val="center"/>
            <w:hideMark/>
          </w:tcPr>
          <w:p w14:paraId="448583FB"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 xml:space="preserve">30.522 </w:t>
            </w:r>
          </w:p>
        </w:tc>
        <w:tc>
          <w:tcPr>
            <w:tcW w:w="455" w:type="pct"/>
            <w:shd w:val="clear" w:color="auto" w:fill="17365D"/>
            <w:vAlign w:val="center"/>
            <w:hideMark/>
          </w:tcPr>
          <w:p w14:paraId="51250B79"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-4,6</w:t>
            </w:r>
          </w:p>
        </w:tc>
        <w:tc>
          <w:tcPr>
            <w:tcW w:w="455" w:type="pct"/>
            <w:shd w:val="clear" w:color="auto" w:fill="17365D"/>
            <w:vAlign w:val="center"/>
            <w:hideMark/>
          </w:tcPr>
          <w:p w14:paraId="15361240"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+1,8</w:t>
            </w:r>
          </w:p>
        </w:tc>
        <w:tc>
          <w:tcPr>
            <w:tcW w:w="455" w:type="pct"/>
            <w:shd w:val="clear" w:color="auto" w:fill="17365D"/>
            <w:vAlign w:val="center"/>
            <w:hideMark/>
          </w:tcPr>
          <w:p w14:paraId="5666ED4D"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-2,9</w:t>
            </w:r>
          </w:p>
        </w:tc>
        <w:tc>
          <w:tcPr>
            <w:tcW w:w="79" w:type="pct"/>
            <w:tcBorders>
              <w:top w:val="nil"/>
              <w:bottom w:val="nil"/>
            </w:tcBorders>
            <w:shd w:val="clear" w:color="auto" w:fill="17365D"/>
            <w:noWrap/>
            <w:vAlign w:val="center"/>
            <w:hideMark/>
          </w:tcPr>
          <w:p w14:paraId="45AA8AD3"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p>
        </w:tc>
        <w:tc>
          <w:tcPr>
            <w:tcW w:w="397" w:type="pct"/>
            <w:shd w:val="clear" w:color="auto" w:fill="17365D"/>
            <w:vAlign w:val="center"/>
            <w:hideMark/>
          </w:tcPr>
          <w:p w14:paraId="3A9C910D"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 xml:space="preserve">31.825 </w:t>
            </w:r>
          </w:p>
        </w:tc>
        <w:tc>
          <w:tcPr>
            <w:tcW w:w="455" w:type="pct"/>
            <w:shd w:val="clear" w:color="auto" w:fill="17365D"/>
            <w:vAlign w:val="center"/>
            <w:hideMark/>
          </w:tcPr>
          <w:p w14:paraId="237575BE"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-0,6</w:t>
            </w:r>
          </w:p>
        </w:tc>
        <w:tc>
          <w:tcPr>
            <w:tcW w:w="455" w:type="pct"/>
            <w:shd w:val="clear" w:color="auto" w:fill="17365D"/>
            <w:vAlign w:val="center"/>
            <w:hideMark/>
          </w:tcPr>
          <w:p w14:paraId="6C32C194"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+4,9</w:t>
            </w:r>
          </w:p>
        </w:tc>
        <w:tc>
          <w:tcPr>
            <w:tcW w:w="453" w:type="pct"/>
            <w:shd w:val="clear" w:color="auto" w:fill="17365D"/>
            <w:vAlign w:val="center"/>
            <w:hideMark/>
          </w:tcPr>
          <w:p w14:paraId="72393683" w14:textId="77777777" w:rsidR="00FE3268" w:rsidRPr="000E4DD7" w:rsidRDefault="00FE3268" w:rsidP="006A3A97">
            <w:pPr>
              <w:widowControl/>
              <w:autoSpaceDE/>
              <w:autoSpaceDN/>
              <w:spacing w:before="40" w:after="20"/>
              <w:jc w:val="right"/>
              <w:rPr>
                <w:rFonts w:ascii="Arial Narrow" w:eastAsia="Times New Roman" w:hAnsi="Arial Narrow" w:cs="Arial"/>
                <w:b/>
                <w:bCs/>
                <w:color w:val="FFFFFF" w:themeColor="background1"/>
                <w:sz w:val="16"/>
                <w:szCs w:val="16"/>
                <w:lang w:eastAsia="it-IT"/>
              </w:rPr>
            </w:pPr>
            <w:r w:rsidRPr="000E4DD7">
              <w:rPr>
                <w:rFonts w:ascii="Arial Narrow" w:eastAsia="Times New Roman" w:hAnsi="Arial Narrow" w:cs="Arial"/>
                <w:b/>
                <w:bCs/>
                <w:color w:val="FFFFFF" w:themeColor="background1"/>
                <w:sz w:val="16"/>
                <w:szCs w:val="16"/>
                <w:lang w:eastAsia="it-IT"/>
              </w:rPr>
              <w:t>+4,3</w:t>
            </w:r>
          </w:p>
        </w:tc>
      </w:tr>
    </w:tbl>
    <w:p w14:paraId="7F205541" w14:textId="77777777" w:rsidR="00FE3268" w:rsidRPr="009E7529" w:rsidRDefault="00FE3268" w:rsidP="00FE3268">
      <w:pPr>
        <w:jc w:val="both"/>
        <w:rPr>
          <w:rFonts w:ascii="Arial Narrow" w:hAnsi="Arial Narrow" w:cs="Arial"/>
          <w:b/>
          <w:iCs/>
          <w:noProof/>
          <w:sz w:val="12"/>
          <w:szCs w:val="12"/>
        </w:rPr>
      </w:pPr>
    </w:p>
    <w:p w14:paraId="16739EBE" w14:textId="35A642F1" w:rsidR="00FE3268" w:rsidRPr="007E4797" w:rsidRDefault="007E4797" w:rsidP="007E4797">
      <w:pPr>
        <w:tabs>
          <w:tab w:val="left" w:pos="284"/>
        </w:tabs>
        <w:jc w:val="both"/>
        <w:rPr>
          <w:rFonts w:ascii="Arial" w:hAnsi="Arial" w:cs="Arial"/>
          <w:iCs/>
          <w:noProof/>
          <w:sz w:val="15"/>
          <w:szCs w:val="15"/>
          <w:lang w:val="en-US"/>
        </w:rPr>
      </w:pPr>
      <w:r w:rsidRPr="007E4797">
        <w:rPr>
          <w:rFonts w:ascii="Arial" w:hAnsi="Arial" w:cs="Arial"/>
          <w:iCs/>
          <w:noProof/>
          <w:sz w:val="15"/>
          <w:szCs w:val="15"/>
          <w:lang w:val="en-US"/>
        </w:rPr>
        <w:t>(1)</w:t>
      </w:r>
      <w:r w:rsidRPr="007E4797">
        <w:rPr>
          <w:rFonts w:ascii="Arial" w:hAnsi="Arial" w:cs="Arial"/>
          <w:iCs/>
          <w:noProof/>
          <w:sz w:val="15"/>
          <w:szCs w:val="15"/>
          <w:lang w:val="en-US"/>
        </w:rPr>
        <w:tab/>
        <w:t>Non-agricultural secondary activities carried out in the agricultural sector are mainly: agritourism, processing of milk, fruit and meat, production of renewable energy (highlighted with a (+) sign). Agricultural secondary activities carried out by non-agricultural sectors, mainly related to crops and livestock, are carried out, for example, by commercial enterprises (highlighted with a (-) sign).</w:t>
      </w:r>
    </w:p>
    <w:p w14:paraId="3B12EB82" w14:textId="77777777" w:rsidR="00F75E5D" w:rsidRPr="007E4797" w:rsidRDefault="00F75E5D" w:rsidP="00E24368">
      <w:pPr>
        <w:widowControl/>
        <w:suppressAutoHyphens/>
        <w:autoSpaceDE/>
        <w:spacing w:after="120"/>
        <w:ind w:right="-34"/>
        <w:jc w:val="both"/>
        <w:textAlignment w:val="baseline"/>
        <w:rPr>
          <w:rStyle w:val="fontstyle01"/>
          <w:rFonts w:ascii="Trebuchet MS" w:hAnsi="Trebuchet MS"/>
          <w:iCs/>
          <w:color w:val="595959" w:themeColor="text1" w:themeTint="A6"/>
          <w:lang w:val="en-US"/>
        </w:rPr>
      </w:pPr>
    </w:p>
    <w:p w14:paraId="63CFDD54" w14:textId="77777777" w:rsidR="00951B03" w:rsidRPr="00375203" w:rsidRDefault="00951B03" w:rsidP="00E24368">
      <w:pPr>
        <w:widowControl/>
        <w:suppressAutoHyphens/>
        <w:autoSpaceDE/>
        <w:spacing w:after="120"/>
        <w:ind w:right="-34"/>
        <w:jc w:val="both"/>
        <w:textAlignment w:val="baseline"/>
        <w:rPr>
          <w:rStyle w:val="fontstyle01"/>
          <w:rFonts w:ascii="Trebuchet MS" w:hAnsi="Trebuchet MS"/>
          <w:iCs/>
          <w:color w:val="595959" w:themeColor="text1" w:themeTint="A6"/>
          <w:lang w:val="en-US"/>
        </w:rPr>
      </w:pPr>
    </w:p>
    <w:p w14:paraId="5BDB0A29" w14:textId="325C73F7" w:rsidR="00C76145" w:rsidRPr="00890B91" w:rsidRDefault="00890B91" w:rsidP="00E24368">
      <w:pPr>
        <w:widowControl/>
        <w:suppressAutoHyphens/>
        <w:autoSpaceDE/>
        <w:spacing w:after="120"/>
        <w:ind w:right="-34"/>
        <w:jc w:val="both"/>
        <w:textAlignment w:val="baseline"/>
        <w:rPr>
          <w:rStyle w:val="fontstyle01"/>
          <w:rFonts w:ascii="Trebuchet MS" w:hAnsi="Trebuchet MS"/>
          <w:iCs/>
          <w:color w:val="595959" w:themeColor="text1" w:themeTint="A6"/>
          <w:lang w:val="en-US"/>
        </w:rPr>
      </w:pPr>
      <w:r w:rsidRPr="00890B91">
        <w:rPr>
          <w:rStyle w:val="fontstyle01"/>
          <w:rFonts w:ascii="Trebuchet MS" w:hAnsi="Trebuchet MS"/>
          <w:iCs/>
          <w:color w:val="595959" w:themeColor="text1" w:themeTint="A6"/>
          <w:lang w:val="en-US"/>
        </w:rPr>
        <w:t>The imbalance between producer prices and intermediate consumption has a significant weight</w:t>
      </w:r>
    </w:p>
    <w:p w14:paraId="5D36A18A" w14:textId="62D02D79" w:rsidR="00F36834" w:rsidRPr="00F14AC6" w:rsidRDefault="00890B91"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890B91">
        <w:rPr>
          <w:rFonts w:ascii="Trebuchet MS" w:eastAsia="Times New Roman" w:hAnsi="Trebuchet MS" w:cs="Arial"/>
          <w:color w:val="595959" w:themeColor="text1" w:themeTint="A6"/>
          <w:sz w:val="20"/>
          <w:szCs w:val="20"/>
          <w:lang w:val="en-US" w:eastAsia="it-IT"/>
        </w:rPr>
        <w:t>While it is certainly true that the agricultural sector has characteristics that make it resilient in terms of trends in value added, the effects of the economic crises on agriculture are nevertheless significant.</w:t>
      </w:r>
      <w:r w:rsidR="00F36834" w:rsidRPr="00890B91">
        <w:rPr>
          <w:rFonts w:ascii="Trebuchet MS" w:eastAsia="Times New Roman" w:hAnsi="Trebuchet MS" w:cs="Arial"/>
          <w:color w:val="595959" w:themeColor="text1" w:themeTint="A6"/>
          <w:sz w:val="20"/>
          <w:szCs w:val="20"/>
          <w:lang w:val="en-US" w:eastAsia="it-IT"/>
        </w:rPr>
        <w:t xml:space="preserve"> </w:t>
      </w:r>
      <w:r w:rsidR="00F14AC6" w:rsidRPr="00F14AC6">
        <w:rPr>
          <w:rFonts w:ascii="Trebuchet MS" w:eastAsia="Times New Roman" w:hAnsi="Trebuchet MS" w:cs="Arial"/>
          <w:color w:val="595959" w:themeColor="text1" w:themeTint="A6"/>
          <w:sz w:val="20"/>
          <w:szCs w:val="20"/>
          <w:lang w:val="en-US" w:eastAsia="it-IT"/>
        </w:rPr>
        <w:t>In fact, the price dynamics associated with the recession phases can reinforce the asymmetries present along the agri-food chain, which reflect the different bargaining power of those who work there, resulting in a worsening of the terms of trade of farmers and, therefore, of the profitability of their business activity.</w:t>
      </w:r>
    </w:p>
    <w:p w14:paraId="13E00127" w14:textId="63897F7D" w:rsidR="00F36834" w:rsidRPr="004C532A" w:rsidRDefault="004C532A"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4C532A">
        <w:rPr>
          <w:rFonts w:ascii="Trebuchet MS" w:eastAsia="Times New Roman" w:hAnsi="Trebuchet MS" w:cs="Arial"/>
          <w:color w:val="595959" w:themeColor="text1" w:themeTint="A6"/>
          <w:sz w:val="20"/>
          <w:szCs w:val="20"/>
          <w:lang w:val="en-US" w:eastAsia="it-IT"/>
        </w:rPr>
        <w:t>The imbalance between the prices of agricultural production and the prices of intermediate consumption places serious constraints on the development and stabilization of the already low agricultural incomes.</w:t>
      </w:r>
      <w:r w:rsidR="00F36834" w:rsidRPr="004C532A">
        <w:rPr>
          <w:rFonts w:ascii="Trebuchet MS" w:eastAsia="Times New Roman" w:hAnsi="Trebuchet MS" w:cs="Arial"/>
          <w:color w:val="595959" w:themeColor="text1" w:themeTint="A6"/>
          <w:sz w:val="20"/>
          <w:szCs w:val="20"/>
          <w:lang w:val="en-US" w:eastAsia="it-IT"/>
        </w:rPr>
        <w:t xml:space="preserve"> </w:t>
      </w:r>
      <w:r w:rsidRPr="004C532A">
        <w:rPr>
          <w:rFonts w:ascii="Trebuchet MS" w:eastAsia="Times New Roman" w:hAnsi="Trebuchet MS" w:cs="Arial"/>
          <w:color w:val="595959" w:themeColor="text1" w:themeTint="A6"/>
          <w:sz w:val="20"/>
          <w:szCs w:val="20"/>
          <w:lang w:val="en-US" w:eastAsia="it-IT"/>
        </w:rPr>
        <w:t>The rebalancing of the prices of agricultural products with respect to those of production inputs therefore appears as one of the sectoral priorities, highlighting the weakness of the agricultural component within the agro-food chain.</w:t>
      </w:r>
      <w:r w:rsidR="00F36834" w:rsidRPr="004C532A">
        <w:rPr>
          <w:rFonts w:ascii="Trebuchet MS" w:eastAsia="Times New Roman" w:hAnsi="Trebuchet MS" w:cs="Arial"/>
          <w:color w:val="595959" w:themeColor="text1" w:themeTint="A6"/>
          <w:sz w:val="20"/>
          <w:szCs w:val="20"/>
          <w:lang w:val="en-US" w:eastAsia="it-IT"/>
        </w:rPr>
        <w:t xml:space="preserve"> </w:t>
      </w:r>
      <w:r w:rsidRPr="004C532A">
        <w:rPr>
          <w:rFonts w:ascii="Trebuchet MS" w:eastAsia="Times New Roman" w:hAnsi="Trebuchet MS" w:cs="Arial"/>
          <w:color w:val="595959" w:themeColor="text1" w:themeTint="A6"/>
          <w:sz w:val="20"/>
          <w:szCs w:val="20"/>
          <w:lang w:val="en-US" w:eastAsia="it-IT"/>
        </w:rPr>
        <w:t>The value added, in fact, is not distributed evenly within the sector, thus compressing the prices of agricultural goods paid to producers in a worrying way.</w:t>
      </w:r>
      <w:r w:rsidR="00F36834" w:rsidRPr="004C532A">
        <w:rPr>
          <w:rFonts w:ascii="Trebuchet MS" w:eastAsia="Times New Roman" w:hAnsi="Trebuchet MS" w:cs="Arial"/>
          <w:color w:val="595959" w:themeColor="text1" w:themeTint="A6"/>
          <w:sz w:val="20"/>
          <w:szCs w:val="20"/>
          <w:lang w:val="en-US" w:eastAsia="it-IT"/>
        </w:rPr>
        <w:t xml:space="preserve"> </w:t>
      </w:r>
    </w:p>
    <w:p w14:paraId="1398FCBA" w14:textId="4A61470A" w:rsidR="00F36834" w:rsidRPr="004C532A" w:rsidRDefault="004C532A"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4C532A">
        <w:rPr>
          <w:rFonts w:ascii="Trebuchet MS" w:eastAsia="Times New Roman" w:hAnsi="Trebuchet MS" w:cs="Arial"/>
          <w:color w:val="595959" w:themeColor="text1" w:themeTint="A6"/>
          <w:sz w:val="20"/>
          <w:szCs w:val="20"/>
          <w:lang w:val="en-US" w:eastAsia="it-IT"/>
        </w:rPr>
        <w:t xml:space="preserve">The trend in the terms of </w:t>
      </w:r>
      <w:r>
        <w:rPr>
          <w:rFonts w:ascii="Trebuchet MS" w:eastAsia="Times New Roman" w:hAnsi="Trebuchet MS" w:cs="Arial"/>
          <w:color w:val="595959" w:themeColor="text1" w:themeTint="A6"/>
          <w:sz w:val="20"/>
          <w:szCs w:val="20"/>
          <w:lang w:val="en-US" w:eastAsia="it-IT"/>
        </w:rPr>
        <w:t>market ratio</w:t>
      </w:r>
      <w:r w:rsidRPr="004C532A">
        <w:rPr>
          <w:rFonts w:ascii="Trebuchet MS" w:eastAsia="Times New Roman" w:hAnsi="Trebuchet MS" w:cs="Arial"/>
          <w:color w:val="595959" w:themeColor="text1" w:themeTint="A6"/>
          <w:sz w:val="20"/>
          <w:szCs w:val="20"/>
          <w:lang w:val="en-US" w:eastAsia="it-IT"/>
        </w:rPr>
        <w:t xml:space="preserve"> of agriculture, measured by the ratio between the producer price index of agricultural products (output) and that of intermediate consumption prices (input) for domestic producers, is decidedly u</w:t>
      </w:r>
      <w:r w:rsidR="004F1766">
        <w:rPr>
          <w:rFonts w:ascii="Trebuchet MS" w:eastAsia="Times New Roman" w:hAnsi="Trebuchet MS" w:cs="Arial"/>
          <w:color w:val="595959" w:themeColor="text1" w:themeTint="A6"/>
          <w:sz w:val="20"/>
          <w:szCs w:val="20"/>
          <w:lang w:val="en-US" w:eastAsia="it-IT"/>
        </w:rPr>
        <w:t xml:space="preserve">nfavorable for Italian farmers </w:t>
      </w:r>
      <w:r w:rsidRPr="004C532A">
        <w:rPr>
          <w:rFonts w:ascii="Trebuchet MS" w:eastAsia="Times New Roman" w:hAnsi="Trebuchet MS" w:cs="Arial"/>
          <w:color w:val="595959" w:themeColor="text1" w:themeTint="A6"/>
          <w:sz w:val="20"/>
          <w:szCs w:val="20"/>
          <w:lang w:val="en-US" w:eastAsia="it-IT"/>
        </w:rPr>
        <w:t>starting from the early 2000s, as the gap between the prices of goods and services necessary for their production process and the prices at which they sell their products on the market has gradually widened, except for some marginal downturns (Figure 11).</w:t>
      </w:r>
    </w:p>
    <w:p w14:paraId="191BC992" w14:textId="77777777" w:rsidR="00FE3268" w:rsidRPr="004C532A" w:rsidRDefault="00FE3268" w:rsidP="005C27D6">
      <w:pPr>
        <w:spacing w:after="80"/>
        <w:jc w:val="both"/>
        <w:rPr>
          <w:rFonts w:ascii="Arial Narrow" w:hAnsi="Arial Narrow" w:cs="Arial"/>
          <w:b/>
          <w:iCs/>
          <w:noProof/>
          <w:color w:val="595959" w:themeColor="text1" w:themeTint="A6"/>
          <w:lang w:val="en-US"/>
        </w:rPr>
      </w:pPr>
    </w:p>
    <w:p w14:paraId="0A09FBF9" w14:textId="6A3C10EA" w:rsidR="00C76145" w:rsidRPr="002E06AC" w:rsidRDefault="004F1766" w:rsidP="00961896">
      <w:pPr>
        <w:spacing w:after="120"/>
        <w:jc w:val="both"/>
        <w:rPr>
          <w:rFonts w:ascii="Arial Narrow" w:hAnsi="Arial Narrow" w:cs="Arial"/>
          <w:iCs/>
          <w:noProof/>
          <w:color w:val="595959" w:themeColor="text1" w:themeTint="A6"/>
          <w:lang w:val="en-US"/>
        </w:rPr>
      </w:pPr>
      <w:r w:rsidRPr="002E06AC">
        <w:rPr>
          <w:rFonts w:ascii="Arial Narrow" w:hAnsi="Arial Narrow" w:cs="Arial"/>
          <w:b/>
          <w:iCs/>
          <w:noProof/>
          <w:color w:val="595959" w:themeColor="text1" w:themeTint="A6"/>
          <w:lang w:val="en-US"/>
        </w:rPr>
        <w:t>FIGURE</w:t>
      </w:r>
      <w:r w:rsidR="00C76145" w:rsidRPr="002E06AC">
        <w:rPr>
          <w:rFonts w:ascii="Arial Narrow" w:hAnsi="Arial Narrow" w:cs="Arial"/>
          <w:b/>
          <w:iCs/>
          <w:noProof/>
          <w:color w:val="595959" w:themeColor="text1" w:themeTint="A6"/>
          <w:lang w:val="en-US"/>
        </w:rPr>
        <w:t xml:space="preserve"> 1</w:t>
      </w:r>
      <w:r w:rsidR="001D1EE1" w:rsidRPr="002E06AC">
        <w:rPr>
          <w:rFonts w:ascii="Arial Narrow" w:hAnsi="Arial Narrow" w:cs="Arial"/>
          <w:b/>
          <w:iCs/>
          <w:noProof/>
          <w:color w:val="595959" w:themeColor="text1" w:themeTint="A6"/>
          <w:lang w:val="en-US"/>
        </w:rPr>
        <w:t>1</w:t>
      </w:r>
      <w:r w:rsidR="00C76145" w:rsidRPr="002E06AC">
        <w:rPr>
          <w:rFonts w:ascii="Arial Narrow" w:hAnsi="Arial Narrow" w:cs="Arial"/>
          <w:b/>
          <w:iCs/>
          <w:noProof/>
          <w:color w:val="595959" w:themeColor="text1" w:themeTint="A6"/>
          <w:lang w:val="en-US"/>
        </w:rPr>
        <w:t xml:space="preserve">. </w:t>
      </w:r>
      <w:r w:rsidR="002E06AC" w:rsidRPr="002E06AC">
        <w:rPr>
          <w:rFonts w:ascii="Arial Narrow" w:hAnsi="Arial Narrow" w:cs="Arial"/>
          <w:b/>
          <w:iCs/>
          <w:noProof/>
          <w:color w:val="595959" w:themeColor="text1" w:themeTint="A6"/>
          <w:lang w:val="en-US"/>
        </w:rPr>
        <w:t xml:space="preserve">TREND OF </w:t>
      </w:r>
      <w:r w:rsidR="002E06AC">
        <w:rPr>
          <w:rFonts w:ascii="Arial Narrow" w:hAnsi="Arial Narrow" w:cs="Arial"/>
          <w:b/>
          <w:iCs/>
          <w:noProof/>
          <w:color w:val="595959" w:themeColor="text1" w:themeTint="A6"/>
          <w:lang w:val="en-US"/>
        </w:rPr>
        <w:t>MARKET RATIO</w:t>
      </w:r>
      <w:r w:rsidR="002E06AC" w:rsidRPr="002E06AC">
        <w:rPr>
          <w:rFonts w:ascii="Arial Narrow" w:hAnsi="Arial Narrow" w:cs="Arial"/>
          <w:b/>
          <w:iCs/>
          <w:noProof/>
          <w:color w:val="595959" w:themeColor="text1" w:themeTint="A6"/>
          <w:lang w:val="en-US"/>
        </w:rPr>
        <w:t xml:space="preserve"> IN AGRICULTURE</w:t>
      </w:r>
      <w:r w:rsidR="008F19C7" w:rsidRPr="002E06AC">
        <w:rPr>
          <w:b/>
          <w:color w:val="595959" w:themeColor="text1" w:themeTint="A6"/>
          <w:spacing w:val="14"/>
          <w:w w:val="80"/>
          <w:lang w:val="en-US"/>
        </w:rPr>
        <w:t xml:space="preserve">. </w:t>
      </w:r>
      <w:r w:rsidR="002E06AC" w:rsidRPr="002E06AC">
        <w:rPr>
          <w:rFonts w:ascii="Arial Narrow" w:hAnsi="Arial Narrow" w:cs="Arial"/>
          <w:iCs/>
          <w:noProof/>
          <w:color w:val="595959" w:themeColor="text1" w:themeTint="A6"/>
          <w:lang w:val="en-US"/>
        </w:rPr>
        <w:t>Years 1995-2021, base index numbers 1995 = 10</w:t>
      </w:r>
    </w:p>
    <w:p w14:paraId="49A006AE" w14:textId="3FBA1290" w:rsidR="00961896" w:rsidRPr="00051702" w:rsidRDefault="006E2AF5" w:rsidP="00961896">
      <w:pPr>
        <w:spacing w:after="120"/>
        <w:jc w:val="both"/>
        <w:rPr>
          <w:rFonts w:ascii="Arial Narrow" w:hAnsi="Arial Narrow" w:cs="Arial"/>
          <w:iCs/>
          <w:noProof/>
          <w:color w:val="1F497D" w:themeColor="text2"/>
        </w:rPr>
      </w:pPr>
      <w:r>
        <w:rPr>
          <w:noProof/>
        </w:rPr>
        <w:drawing>
          <wp:inline distT="0" distB="0" distL="0" distR="0" wp14:anchorId="6066E26C" wp14:editId="2FD634AB">
            <wp:extent cx="6122670" cy="2160000"/>
            <wp:effectExtent l="0" t="0" r="11430" b="12065"/>
            <wp:docPr id="20" name="Grafico 20">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9BE751" w14:textId="77777777" w:rsidR="00F36834" w:rsidRDefault="00F36834" w:rsidP="00F36834">
      <w:pPr>
        <w:widowControl/>
        <w:suppressAutoHyphens/>
        <w:autoSpaceDE/>
        <w:spacing w:after="120"/>
        <w:jc w:val="both"/>
        <w:textAlignment w:val="baseline"/>
        <w:rPr>
          <w:rFonts w:ascii="Trebuchet MS" w:eastAsia="Times New Roman" w:hAnsi="Trebuchet MS" w:cs="Arial"/>
          <w:color w:val="595959" w:themeColor="text1" w:themeTint="A6"/>
          <w:sz w:val="20"/>
          <w:szCs w:val="20"/>
          <w:lang w:eastAsia="it-IT"/>
        </w:rPr>
      </w:pPr>
    </w:p>
    <w:p w14:paraId="09864A09" w14:textId="57558343" w:rsidR="00F36834" w:rsidRPr="00534315" w:rsidRDefault="00534315"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534315">
        <w:rPr>
          <w:rFonts w:ascii="Trebuchet MS" w:eastAsia="Times New Roman" w:hAnsi="Trebuchet MS" w:cs="Arial"/>
          <w:color w:val="595959" w:themeColor="text1" w:themeTint="A6"/>
          <w:sz w:val="20"/>
          <w:szCs w:val="20"/>
          <w:lang w:val="en-US" w:eastAsia="it-IT"/>
        </w:rPr>
        <w:t xml:space="preserve">Relatively stable since 1995, from 2004 the </w:t>
      </w:r>
      <w:r>
        <w:rPr>
          <w:rFonts w:ascii="Trebuchet MS" w:eastAsia="Times New Roman" w:hAnsi="Trebuchet MS" w:cs="Arial"/>
          <w:color w:val="595959" w:themeColor="text1" w:themeTint="A6"/>
          <w:sz w:val="20"/>
          <w:szCs w:val="20"/>
          <w:lang w:val="en-US" w:eastAsia="it-IT"/>
        </w:rPr>
        <w:t>market ratio</w:t>
      </w:r>
      <w:r w:rsidRPr="00534315">
        <w:rPr>
          <w:rFonts w:ascii="Trebuchet MS" w:eastAsia="Times New Roman" w:hAnsi="Trebuchet MS" w:cs="Arial"/>
          <w:color w:val="595959" w:themeColor="text1" w:themeTint="A6"/>
          <w:sz w:val="20"/>
          <w:szCs w:val="20"/>
          <w:lang w:val="en-US" w:eastAsia="it-IT"/>
        </w:rPr>
        <w:t xml:space="preserve"> suffered a vertical collapse, losing more than 20 points until 2008.</w:t>
      </w:r>
      <w:r w:rsidR="00F36834" w:rsidRPr="00534315">
        <w:rPr>
          <w:rFonts w:ascii="Trebuchet MS" w:eastAsia="Times New Roman" w:hAnsi="Trebuchet MS" w:cs="Arial"/>
          <w:color w:val="595959" w:themeColor="text1" w:themeTint="A6"/>
          <w:sz w:val="20"/>
          <w:szCs w:val="20"/>
          <w:lang w:val="en-US" w:eastAsia="it-IT"/>
        </w:rPr>
        <w:t xml:space="preserve"> </w:t>
      </w:r>
      <w:r w:rsidRPr="00534315">
        <w:rPr>
          <w:rFonts w:ascii="Trebuchet MS" w:eastAsia="Times New Roman" w:hAnsi="Trebuchet MS" w:cs="Arial"/>
          <w:color w:val="595959" w:themeColor="text1" w:themeTint="A6"/>
          <w:sz w:val="20"/>
          <w:szCs w:val="20"/>
          <w:lang w:val="en-US" w:eastAsia="it-IT"/>
        </w:rPr>
        <w:t>The fall is essentially determined by the surge in the prices of intermediate goods, which accelerated sharply in 2007 and 2008 due to the dynamics of the oil price and the sharp rises (also due to speculative movements) in the value of raw materials and agricultural commodities (in particularly cereals).</w:t>
      </w:r>
      <w:r w:rsidR="00F36834" w:rsidRPr="00534315">
        <w:rPr>
          <w:rFonts w:ascii="Trebuchet MS" w:eastAsia="Times New Roman" w:hAnsi="Trebuchet MS" w:cs="Arial"/>
          <w:color w:val="595959" w:themeColor="text1" w:themeTint="A6"/>
          <w:sz w:val="20"/>
          <w:szCs w:val="20"/>
          <w:lang w:val="en-US" w:eastAsia="it-IT"/>
        </w:rPr>
        <w:t xml:space="preserve"> </w:t>
      </w:r>
    </w:p>
    <w:p w14:paraId="7FD2EC92" w14:textId="15A499B9" w:rsidR="00F36834" w:rsidRPr="00534315" w:rsidRDefault="00534315"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534315">
        <w:rPr>
          <w:rFonts w:ascii="Trebuchet MS" w:eastAsia="Times New Roman" w:hAnsi="Trebuchet MS" w:cs="Arial"/>
          <w:color w:val="595959" w:themeColor="text1" w:themeTint="A6"/>
          <w:sz w:val="20"/>
          <w:szCs w:val="20"/>
          <w:lang w:val="en-US" w:eastAsia="it-IT"/>
        </w:rPr>
        <w:t xml:space="preserve">In the following years, the prices of intermediate consumption continued to grow but at a slower rate, in any case higher than that of output prices: the deterioration of the </w:t>
      </w:r>
      <w:r>
        <w:rPr>
          <w:rFonts w:ascii="Trebuchet MS" w:eastAsia="Times New Roman" w:hAnsi="Trebuchet MS" w:cs="Arial"/>
          <w:color w:val="595959" w:themeColor="text1" w:themeTint="A6"/>
          <w:sz w:val="20"/>
          <w:szCs w:val="20"/>
          <w:lang w:val="en-US" w:eastAsia="it-IT"/>
        </w:rPr>
        <w:t>market ratio</w:t>
      </w:r>
      <w:r w:rsidRPr="00534315">
        <w:rPr>
          <w:rFonts w:ascii="Trebuchet MS" w:eastAsia="Times New Roman" w:hAnsi="Trebuchet MS" w:cs="Arial"/>
          <w:color w:val="595959" w:themeColor="text1" w:themeTint="A6"/>
          <w:sz w:val="20"/>
          <w:szCs w:val="20"/>
          <w:lang w:val="en-US" w:eastAsia="it-IT"/>
        </w:rPr>
        <w:t xml:space="preserve"> therefore continued, albeit at a slower pace, to the point of touching the peak in 2011.</w:t>
      </w:r>
    </w:p>
    <w:p w14:paraId="59CA8ACF" w14:textId="6A57BCAE" w:rsidR="006E2AF5" w:rsidRDefault="00534315"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sidRPr="00534315">
        <w:rPr>
          <w:rFonts w:ascii="Trebuchet MS" w:eastAsia="Times New Roman" w:hAnsi="Trebuchet MS" w:cs="Arial"/>
          <w:color w:val="595959" w:themeColor="text1" w:themeTint="A6"/>
          <w:sz w:val="20"/>
          <w:szCs w:val="20"/>
          <w:lang w:val="en-US" w:eastAsia="it-IT"/>
        </w:rPr>
        <w:t xml:space="preserve">In the last decade, the </w:t>
      </w:r>
      <w:r>
        <w:rPr>
          <w:rFonts w:ascii="Trebuchet MS" w:eastAsia="Times New Roman" w:hAnsi="Trebuchet MS" w:cs="Arial"/>
          <w:color w:val="595959" w:themeColor="text1" w:themeTint="A6"/>
          <w:sz w:val="20"/>
          <w:szCs w:val="20"/>
          <w:lang w:val="en-US" w:eastAsia="it-IT"/>
        </w:rPr>
        <w:t>market ratio</w:t>
      </w:r>
      <w:r w:rsidRPr="00534315">
        <w:rPr>
          <w:rFonts w:ascii="Trebuchet MS" w:eastAsia="Times New Roman" w:hAnsi="Trebuchet MS" w:cs="Arial"/>
          <w:color w:val="595959" w:themeColor="text1" w:themeTint="A6"/>
          <w:sz w:val="20"/>
          <w:szCs w:val="20"/>
          <w:lang w:val="en-US" w:eastAsia="it-IT"/>
        </w:rPr>
        <w:t xml:space="preserve"> has stabilized, indeed showing a slow recovery trend, albeit with some fluctuations: in 2021 it stood at 2.7 percentage points more than in </w:t>
      </w:r>
      <w:r w:rsidR="006E2AF5" w:rsidRPr="00534315">
        <w:rPr>
          <w:rFonts w:ascii="Trebuchet MS" w:eastAsia="Times New Roman" w:hAnsi="Trebuchet MS" w:cs="Arial"/>
          <w:color w:val="595959" w:themeColor="text1" w:themeTint="A6"/>
          <w:sz w:val="20"/>
          <w:szCs w:val="20"/>
          <w:lang w:val="en-US" w:eastAsia="it-IT"/>
        </w:rPr>
        <w:t>2011 but</w:t>
      </w:r>
      <w:r w:rsidRPr="00534315">
        <w:rPr>
          <w:rFonts w:ascii="Trebuchet MS" w:eastAsia="Times New Roman" w:hAnsi="Trebuchet MS" w:cs="Arial"/>
          <w:color w:val="595959" w:themeColor="text1" w:themeTint="A6"/>
          <w:sz w:val="20"/>
          <w:szCs w:val="20"/>
          <w:lang w:val="en-US" w:eastAsia="it-IT"/>
        </w:rPr>
        <w:t xml:space="preserve"> remaining enormously distant from the level of the 2003 (almost 20 points less).</w:t>
      </w:r>
      <w:r w:rsidR="006E2AF5">
        <w:rPr>
          <w:rFonts w:ascii="Trebuchet MS" w:eastAsia="Times New Roman" w:hAnsi="Trebuchet MS" w:cs="Arial"/>
          <w:color w:val="595959" w:themeColor="text1" w:themeTint="A6"/>
          <w:sz w:val="20"/>
          <w:szCs w:val="20"/>
          <w:lang w:val="en-US" w:eastAsia="it-IT"/>
        </w:rPr>
        <w:br w:type="page"/>
      </w:r>
    </w:p>
    <w:p w14:paraId="42EE5081" w14:textId="77777777" w:rsidR="00F36834" w:rsidRPr="00534315" w:rsidRDefault="00F36834"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p>
    <w:p w14:paraId="033FA2E3" w14:textId="77777777" w:rsidR="00C76145" w:rsidRPr="00534315" w:rsidRDefault="00C76145" w:rsidP="00253432">
      <w:pPr>
        <w:widowControl/>
        <w:suppressAutoHyphens/>
        <w:autoSpaceDE/>
        <w:spacing w:after="120"/>
        <w:jc w:val="both"/>
        <w:textAlignment w:val="baseline"/>
        <w:rPr>
          <w:rFonts w:ascii="Trebuchet MS" w:eastAsia="Times New Roman" w:hAnsi="Trebuchet MS" w:cs="Arial"/>
          <w:color w:val="595959" w:themeColor="text1" w:themeTint="A6"/>
          <w:sz w:val="12"/>
          <w:szCs w:val="20"/>
          <w:lang w:val="en-US" w:eastAsia="it-IT"/>
        </w:rPr>
      </w:pPr>
    </w:p>
    <w:p w14:paraId="3B5882BB" w14:textId="5A89D35A" w:rsidR="00C76145" w:rsidRPr="00534315" w:rsidRDefault="00534315" w:rsidP="007B79FB">
      <w:pPr>
        <w:jc w:val="both"/>
        <w:rPr>
          <w:rFonts w:ascii="Arial Narrow" w:hAnsi="Arial Narrow" w:cs="Arial"/>
          <w:iCs/>
          <w:noProof/>
          <w:color w:val="595959" w:themeColor="text1" w:themeTint="A6"/>
          <w:lang w:val="en-US"/>
        </w:rPr>
      </w:pPr>
      <w:r w:rsidRPr="00534315">
        <w:rPr>
          <w:rFonts w:ascii="Arial Narrow" w:hAnsi="Arial Narrow" w:cs="Arial"/>
          <w:b/>
          <w:iCs/>
          <w:noProof/>
          <w:color w:val="595959" w:themeColor="text1" w:themeTint="A6"/>
          <w:lang w:val="en-US"/>
        </w:rPr>
        <w:t>FIGURE</w:t>
      </w:r>
      <w:r w:rsidR="00C76145" w:rsidRPr="00534315">
        <w:rPr>
          <w:rFonts w:ascii="Arial Narrow" w:hAnsi="Arial Narrow" w:cs="Arial"/>
          <w:b/>
          <w:iCs/>
          <w:noProof/>
          <w:color w:val="595959" w:themeColor="text1" w:themeTint="A6"/>
          <w:lang w:val="en-US"/>
        </w:rPr>
        <w:t xml:space="preserve"> 1</w:t>
      </w:r>
      <w:r w:rsidR="0072299E" w:rsidRPr="00534315">
        <w:rPr>
          <w:rFonts w:ascii="Arial Narrow" w:hAnsi="Arial Narrow" w:cs="Arial"/>
          <w:b/>
          <w:iCs/>
          <w:noProof/>
          <w:color w:val="595959" w:themeColor="text1" w:themeTint="A6"/>
          <w:lang w:val="en-US"/>
        </w:rPr>
        <w:t>2</w:t>
      </w:r>
      <w:r w:rsidR="00C76145" w:rsidRPr="00534315">
        <w:rPr>
          <w:rFonts w:ascii="Arial Narrow" w:hAnsi="Arial Narrow" w:cs="Arial"/>
          <w:b/>
          <w:iCs/>
          <w:noProof/>
          <w:color w:val="595959" w:themeColor="text1" w:themeTint="A6"/>
          <w:lang w:val="en-US"/>
        </w:rPr>
        <w:t xml:space="preserve">. </w:t>
      </w:r>
      <w:r w:rsidRPr="00534315">
        <w:rPr>
          <w:rFonts w:ascii="Arial Narrow" w:hAnsi="Arial Narrow" w:cs="Arial"/>
          <w:b/>
          <w:iCs/>
          <w:noProof/>
          <w:color w:val="595959" w:themeColor="text1" w:themeTint="A6"/>
          <w:lang w:val="en-US"/>
        </w:rPr>
        <w:t xml:space="preserve">TREND OF </w:t>
      </w:r>
      <w:r>
        <w:rPr>
          <w:rFonts w:ascii="Arial Narrow" w:hAnsi="Arial Narrow" w:cs="Arial"/>
          <w:b/>
          <w:iCs/>
          <w:noProof/>
          <w:color w:val="595959" w:themeColor="text1" w:themeTint="A6"/>
          <w:lang w:val="en-US"/>
        </w:rPr>
        <w:t>MARKET</w:t>
      </w:r>
      <w:r w:rsidRPr="00534315">
        <w:rPr>
          <w:rFonts w:ascii="Arial Narrow" w:hAnsi="Arial Narrow" w:cs="Arial"/>
          <w:b/>
          <w:iCs/>
          <w:noProof/>
          <w:color w:val="595959" w:themeColor="text1" w:themeTint="A6"/>
          <w:lang w:val="en-US"/>
        </w:rPr>
        <w:t xml:space="preserve"> </w:t>
      </w:r>
      <w:r>
        <w:rPr>
          <w:rFonts w:ascii="Arial Narrow" w:hAnsi="Arial Narrow" w:cs="Arial"/>
          <w:b/>
          <w:iCs/>
          <w:noProof/>
          <w:color w:val="595959" w:themeColor="text1" w:themeTint="A6"/>
          <w:lang w:val="en-US"/>
        </w:rPr>
        <w:t>RATIO</w:t>
      </w:r>
      <w:r w:rsidRPr="00534315">
        <w:rPr>
          <w:rFonts w:ascii="Arial Narrow" w:hAnsi="Arial Narrow" w:cs="Arial"/>
          <w:b/>
          <w:iCs/>
          <w:noProof/>
          <w:color w:val="595959" w:themeColor="text1" w:themeTint="A6"/>
          <w:lang w:val="en-US"/>
        </w:rPr>
        <w:t xml:space="preserve"> AND VALUE ADDED IN AGRICULTURE</w:t>
      </w:r>
      <w:r w:rsidR="00961896" w:rsidRPr="00534315">
        <w:rPr>
          <w:b/>
          <w:color w:val="595959" w:themeColor="text1" w:themeTint="A6"/>
          <w:spacing w:val="14"/>
          <w:w w:val="80"/>
          <w:lang w:val="en-US"/>
        </w:rPr>
        <w:t xml:space="preserve">. </w:t>
      </w:r>
      <w:r w:rsidRPr="00534315">
        <w:rPr>
          <w:rFonts w:ascii="Arial Narrow" w:hAnsi="Arial Narrow" w:cs="Arial"/>
          <w:iCs/>
          <w:noProof/>
          <w:color w:val="595959" w:themeColor="text1" w:themeTint="A6"/>
          <w:lang w:val="en-US"/>
        </w:rPr>
        <w:t>Years 1995-2021, base index numbers 1995 = 100</w:t>
      </w:r>
    </w:p>
    <w:p w14:paraId="4D9C167A" w14:textId="2A1EE100" w:rsidR="00C76145" w:rsidRPr="00051702" w:rsidRDefault="006E2AF5" w:rsidP="007B79FB">
      <w:pPr>
        <w:pStyle w:val="Titolo1"/>
        <w:spacing w:before="94"/>
        <w:ind w:left="0"/>
        <w:rPr>
          <w:rFonts w:ascii="Arial MT" w:eastAsia="Arial MT" w:hAnsi="Arial MT" w:cs="Arial MT"/>
          <w:b w:val="0"/>
          <w:bCs w:val="0"/>
          <w:spacing w:val="14"/>
          <w:w w:val="80"/>
          <w:sz w:val="21"/>
          <w:szCs w:val="21"/>
        </w:rPr>
      </w:pPr>
      <w:r>
        <w:rPr>
          <w:noProof/>
        </w:rPr>
        <w:drawing>
          <wp:inline distT="0" distB="0" distL="0" distR="0" wp14:anchorId="7DAA94AA" wp14:editId="3409ABD5">
            <wp:extent cx="6122670" cy="2159635"/>
            <wp:effectExtent l="0" t="0" r="11430" b="12065"/>
            <wp:docPr id="19" name="Grafico 19">
              <a:extLst xmlns:a="http://schemas.openxmlformats.org/drawingml/2006/main">
                <a:ext uri="{FF2B5EF4-FFF2-40B4-BE49-F238E27FC236}">
                  <a16:creationId xmlns:a16="http://schemas.microsoft.com/office/drawing/2014/main" id="{00000000-0008-0000-1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EAE99C" w14:textId="77777777" w:rsidR="00C76145" w:rsidRPr="00253432" w:rsidRDefault="00C76145" w:rsidP="00253432">
      <w:pPr>
        <w:widowControl/>
        <w:suppressAutoHyphens/>
        <w:autoSpaceDE/>
        <w:spacing w:after="120"/>
        <w:jc w:val="both"/>
        <w:textAlignment w:val="baseline"/>
        <w:rPr>
          <w:rFonts w:ascii="Trebuchet MS" w:eastAsia="Times New Roman" w:hAnsi="Trebuchet MS" w:cs="Arial"/>
          <w:color w:val="595959" w:themeColor="text1" w:themeTint="A6"/>
          <w:sz w:val="20"/>
          <w:szCs w:val="20"/>
          <w:lang w:eastAsia="it-IT"/>
        </w:rPr>
      </w:pPr>
    </w:p>
    <w:p w14:paraId="38FD4193" w14:textId="77777777" w:rsidR="00951B03" w:rsidRPr="00360729" w:rsidRDefault="00951B03" w:rsidP="005C27D6">
      <w:pPr>
        <w:widowControl/>
        <w:suppressAutoHyphens/>
        <w:autoSpaceDE/>
        <w:spacing w:after="80"/>
        <w:jc w:val="both"/>
        <w:textAlignment w:val="baseline"/>
        <w:rPr>
          <w:rFonts w:ascii="Trebuchet MS" w:eastAsia="Times New Roman" w:hAnsi="Trebuchet MS" w:cs="Arial"/>
          <w:color w:val="595959" w:themeColor="text1" w:themeTint="A6"/>
          <w:sz w:val="4"/>
          <w:szCs w:val="20"/>
          <w:lang w:eastAsia="it-IT"/>
        </w:rPr>
      </w:pPr>
    </w:p>
    <w:p w14:paraId="2F7FFBD2" w14:textId="49241A3B" w:rsidR="00F36834" w:rsidRPr="005439DC" w:rsidRDefault="005439DC" w:rsidP="00CC5A9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5439DC">
        <w:rPr>
          <w:rFonts w:ascii="Trebuchet MS" w:eastAsia="Times New Roman" w:hAnsi="Trebuchet MS" w:cs="Arial"/>
          <w:color w:val="595959" w:themeColor="text1" w:themeTint="A6"/>
          <w:sz w:val="20"/>
          <w:szCs w:val="20"/>
          <w:lang w:val="en-US" w:eastAsia="it-IT"/>
        </w:rPr>
        <w:t xml:space="preserve">Despite the unfavorable trend in relative prices, agricultural operators have often managed to make appropriate use of the instrument of diversification and reconversion of activities, orienting them in such a way as to optimize, as far as possible, the relationship between inputs and outputs, on the one hand widening the basket of products, also thanks to a greater offer of higher quality and certified ones, and on the other the connected and additional services, as demonstrated by the progressive growth of support and secondary activities, thus managing to safeguard the level of their </w:t>
      </w:r>
      <w:r w:rsidR="000D6E2A">
        <w:rPr>
          <w:rFonts w:ascii="Trebuchet MS" w:eastAsia="Times New Roman" w:hAnsi="Trebuchet MS" w:cs="Arial"/>
          <w:color w:val="595959" w:themeColor="text1" w:themeTint="A6"/>
          <w:sz w:val="20"/>
          <w:szCs w:val="20"/>
          <w:lang w:val="en-US" w:eastAsia="it-IT"/>
        </w:rPr>
        <w:t>value added</w:t>
      </w:r>
      <w:r w:rsidRPr="005439DC">
        <w:rPr>
          <w:rFonts w:ascii="Trebuchet MS" w:eastAsia="Times New Roman" w:hAnsi="Trebuchet MS" w:cs="Arial"/>
          <w:color w:val="595959" w:themeColor="text1" w:themeTint="A6"/>
          <w:sz w:val="20"/>
          <w:szCs w:val="20"/>
          <w:lang w:val="en-US" w:eastAsia="it-IT"/>
        </w:rPr>
        <w:t xml:space="preserve"> even in particularly negative periods in terms of price trends.</w:t>
      </w:r>
    </w:p>
    <w:p w14:paraId="5A0E8BF4" w14:textId="77777777" w:rsidR="008B7A85" w:rsidRPr="005439DC" w:rsidRDefault="008B7A85" w:rsidP="00CC5A95">
      <w:pPr>
        <w:widowControl/>
        <w:suppressAutoHyphens/>
        <w:autoSpaceDE/>
        <w:spacing w:after="120"/>
        <w:jc w:val="both"/>
        <w:textAlignment w:val="baseline"/>
        <w:rPr>
          <w:rFonts w:ascii="Trebuchet MS" w:eastAsia="Times New Roman" w:hAnsi="Trebuchet MS" w:cs="Arial"/>
          <w:i/>
          <w:color w:val="595959" w:themeColor="text1" w:themeTint="A6"/>
          <w:sz w:val="20"/>
          <w:szCs w:val="20"/>
          <w:lang w:val="en-US" w:eastAsia="it-IT"/>
        </w:rPr>
      </w:pPr>
    </w:p>
    <w:p w14:paraId="076E7071" w14:textId="3DB0B1C7" w:rsidR="00C76145" w:rsidRPr="00DD1D82" w:rsidRDefault="00DD1D82" w:rsidP="00CC5A95">
      <w:pPr>
        <w:widowControl/>
        <w:suppressAutoHyphens/>
        <w:autoSpaceDE/>
        <w:spacing w:after="120"/>
        <w:ind w:right="-34"/>
        <w:jc w:val="both"/>
        <w:textAlignment w:val="baseline"/>
        <w:rPr>
          <w:color w:val="595959" w:themeColor="text1" w:themeTint="A6"/>
          <w:sz w:val="26"/>
          <w:szCs w:val="26"/>
          <w:lang w:val="en-US"/>
        </w:rPr>
      </w:pPr>
      <w:r w:rsidRPr="00DD1D82">
        <w:rPr>
          <w:rStyle w:val="fontstyle01"/>
          <w:rFonts w:ascii="Trebuchet MS" w:hAnsi="Trebuchet MS"/>
          <w:iCs/>
          <w:color w:val="595959" w:themeColor="text1" w:themeTint="A6"/>
          <w:lang w:val="en-US"/>
        </w:rPr>
        <w:t>The European context: recovery after the pandemic crisis</w:t>
      </w:r>
    </w:p>
    <w:p w14:paraId="68A93051" w14:textId="034CEC36" w:rsidR="00F36834" w:rsidRPr="00C256D2" w:rsidRDefault="00DD1D82" w:rsidP="00CC5A9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DD1D82">
        <w:rPr>
          <w:rFonts w:ascii="Trebuchet MS" w:eastAsia="Times New Roman" w:hAnsi="Trebuchet MS" w:cs="Arial"/>
          <w:color w:val="595959" w:themeColor="text1" w:themeTint="A6"/>
          <w:sz w:val="20"/>
          <w:szCs w:val="20"/>
          <w:lang w:val="en-US" w:eastAsia="it-IT"/>
        </w:rPr>
        <w:t>In 2020, the European agricultural economy showed, overall, a remarkable resilience capacity in the face of the difficulties related to the health crisis and the repercussions were limited.</w:t>
      </w:r>
      <w:r w:rsidR="00F36834" w:rsidRPr="00DD1D82">
        <w:rPr>
          <w:rFonts w:ascii="Trebuchet MS" w:eastAsia="Times New Roman" w:hAnsi="Trebuchet MS" w:cs="Arial"/>
          <w:color w:val="595959" w:themeColor="text1" w:themeTint="A6"/>
          <w:sz w:val="20"/>
          <w:szCs w:val="20"/>
          <w:lang w:val="en-US" w:eastAsia="it-IT"/>
        </w:rPr>
        <w:t xml:space="preserve"> </w:t>
      </w:r>
      <w:r w:rsidRPr="00C256D2">
        <w:rPr>
          <w:rFonts w:ascii="Trebuchet MS" w:eastAsia="Times New Roman" w:hAnsi="Trebuchet MS" w:cs="Arial"/>
          <w:color w:val="595959" w:themeColor="text1" w:themeTint="A6"/>
          <w:sz w:val="20"/>
          <w:szCs w:val="20"/>
          <w:lang w:val="en-US" w:eastAsia="it-IT"/>
        </w:rPr>
        <w:t>In 2021, based on initial estimates, the value of production in the agricultural sector, represented in the satellite account of agriculture (which also includes agricultural cooperatives producing wine and oil)</w:t>
      </w:r>
      <w:r w:rsidR="00F36834" w:rsidRPr="00282FBC">
        <w:rPr>
          <w:rFonts w:ascii="Trebuchet MS" w:eastAsia="Times New Roman" w:hAnsi="Trebuchet MS" w:cs="Arial"/>
          <w:color w:val="595959" w:themeColor="text1" w:themeTint="A6"/>
          <w:sz w:val="20"/>
          <w:szCs w:val="20"/>
          <w:vertAlign w:val="superscript"/>
          <w:lang w:eastAsia="it-IT"/>
        </w:rPr>
        <w:footnoteReference w:id="2"/>
      </w:r>
      <w:r w:rsidR="00F36834" w:rsidRPr="00C256D2">
        <w:rPr>
          <w:rFonts w:ascii="Trebuchet MS" w:eastAsia="Times New Roman" w:hAnsi="Trebuchet MS" w:cs="Arial"/>
          <w:color w:val="595959" w:themeColor="text1" w:themeTint="A6"/>
          <w:sz w:val="20"/>
          <w:szCs w:val="20"/>
          <w:lang w:val="en-US" w:eastAsia="it-IT"/>
        </w:rPr>
        <w:t xml:space="preserve"> </w:t>
      </w:r>
      <w:r w:rsidRPr="00C256D2">
        <w:rPr>
          <w:rFonts w:ascii="Trebuchet MS" w:eastAsia="Times New Roman" w:hAnsi="Trebuchet MS" w:cs="Arial"/>
          <w:color w:val="595959" w:themeColor="text1" w:themeTint="A6"/>
          <w:sz w:val="20"/>
          <w:szCs w:val="20"/>
          <w:lang w:val="en-US" w:eastAsia="it-IT"/>
        </w:rPr>
        <w:t>showed signs of recovery for all the EU27 countries compared to the previous year.</w:t>
      </w:r>
      <w:r w:rsidR="00C256D2" w:rsidRPr="00C256D2">
        <w:rPr>
          <w:lang w:val="en-US"/>
        </w:rPr>
        <w:t xml:space="preserve"> </w:t>
      </w:r>
      <w:r w:rsidR="00C256D2" w:rsidRPr="00C256D2">
        <w:rPr>
          <w:rFonts w:ascii="Trebuchet MS" w:eastAsia="Times New Roman" w:hAnsi="Trebuchet MS" w:cs="Arial"/>
          <w:color w:val="595959" w:themeColor="text1" w:themeTint="A6"/>
          <w:sz w:val="20"/>
          <w:szCs w:val="20"/>
          <w:lang w:val="en-US" w:eastAsia="it-IT"/>
        </w:rPr>
        <w:t xml:space="preserve">Faced with a reduction in production volumes of 0.2%, slightly greater than that experienced in 2020 (-0.1%), there has in fact been a consistent recovery: the value of agricultural production has reached, for the EU27, 444 billion euros at basic prices, </w:t>
      </w:r>
      <w:proofErr w:type="spellStart"/>
      <w:proofErr w:type="gramStart"/>
      <w:r w:rsidR="00C256D2" w:rsidRPr="00C256D2">
        <w:rPr>
          <w:rFonts w:ascii="Trebuchet MS" w:eastAsia="Times New Roman" w:hAnsi="Trebuchet MS" w:cs="Arial"/>
          <w:color w:val="595959" w:themeColor="text1" w:themeTint="A6"/>
          <w:sz w:val="20"/>
          <w:szCs w:val="20"/>
          <w:lang w:val="en-US" w:eastAsia="it-IT"/>
        </w:rPr>
        <w:t>ie</w:t>
      </w:r>
      <w:proofErr w:type="spellEnd"/>
      <w:proofErr w:type="gramEnd"/>
      <w:r w:rsidR="00C256D2" w:rsidRPr="00C256D2">
        <w:rPr>
          <w:rFonts w:ascii="Trebuchet MS" w:eastAsia="Times New Roman" w:hAnsi="Trebuchet MS" w:cs="Arial"/>
          <w:color w:val="595959" w:themeColor="text1" w:themeTint="A6"/>
          <w:sz w:val="20"/>
          <w:szCs w:val="20"/>
          <w:lang w:val="en-US" w:eastAsia="it-IT"/>
        </w:rPr>
        <w:t xml:space="preserve"> 7.1% more than the previous year (Table 6).</w:t>
      </w:r>
      <w:r w:rsidR="00F36834" w:rsidRPr="00C256D2">
        <w:rPr>
          <w:rFonts w:ascii="Trebuchet MS" w:eastAsia="Times New Roman" w:hAnsi="Trebuchet MS" w:cs="Arial"/>
          <w:color w:val="595959" w:themeColor="text1" w:themeTint="A6"/>
          <w:sz w:val="20"/>
          <w:szCs w:val="20"/>
          <w:lang w:val="en-US" w:eastAsia="it-IT"/>
        </w:rPr>
        <w:t xml:space="preserve"> </w:t>
      </w:r>
    </w:p>
    <w:p w14:paraId="329BB646" w14:textId="17A816BB" w:rsidR="00D75B01" w:rsidRPr="001E161C" w:rsidRDefault="001E161C" w:rsidP="00CC5A9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1E161C">
        <w:rPr>
          <w:rFonts w:ascii="Trebuchet MS" w:eastAsia="Times New Roman" w:hAnsi="Trebuchet MS" w:cs="Arial"/>
          <w:color w:val="595959" w:themeColor="text1" w:themeTint="A6"/>
          <w:sz w:val="20"/>
          <w:szCs w:val="20"/>
          <w:lang w:val="en-US" w:eastAsia="it-IT"/>
        </w:rPr>
        <w:t>In terms of quantity, the sectors with the greatest suffering were the wine (-13.4%) and fruit (-4.9%) sectors, while the production of olive oil (+ 13.3%) industrial crops (+ 5.8%) and cereals (+ 5.6%)</w:t>
      </w:r>
      <w:r>
        <w:rPr>
          <w:rFonts w:ascii="Trebuchet MS" w:eastAsia="Times New Roman" w:hAnsi="Trebuchet MS" w:cs="Arial"/>
          <w:color w:val="595959" w:themeColor="text1" w:themeTint="A6"/>
          <w:sz w:val="20"/>
          <w:szCs w:val="20"/>
          <w:lang w:val="en-US" w:eastAsia="it-IT"/>
        </w:rPr>
        <w:t xml:space="preserve"> </w:t>
      </w:r>
      <w:r w:rsidRPr="001E161C">
        <w:rPr>
          <w:rFonts w:ascii="Trebuchet MS" w:eastAsia="Times New Roman" w:hAnsi="Trebuchet MS" w:cs="Arial"/>
          <w:color w:val="595959" w:themeColor="text1" w:themeTint="A6"/>
          <w:sz w:val="20"/>
          <w:szCs w:val="20"/>
          <w:lang w:val="en-US" w:eastAsia="it-IT"/>
        </w:rPr>
        <w:t>m</w:t>
      </w:r>
      <w:r>
        <w:rPr>
          <w:rFonts w:ascii="Trebuchet MS" w:eastAsia="Times New Roman" w:hAnsi="Trebuchet MS" w:cs="Arial"/>
          <w:color w:val="595959" w:themeColor="text1" w:themeTint="A6"/>
          <w:sz w:val="20"/>
          <w:szCs w:val="20"/>
          <w:lang w:val="en-US" w:eastAsia="it-IT"/>
        </w:rPr>
        <w:t>arked a significant recovery</w:t>
      </w:r>
      <w:r w:rsidRPr="001E161C">
        <w:rPr>
          <w:rFonts w:ascii="Trebuchet MS" w:eastAsia="Times New Roman" w:hAnsi="Trebuchet MS" w:cs="Arial"/>
          <w:color w:val="595959" w:themeColor="text1" w:themeTint="A6"/>
          <w:sz w:val="20"/>
          <w:szCs w:val="20"/>
          <w:lang w:val="en-US" w:eastAsia="it-IT"/>
        </w:rPr>
        <w:t>.</w:t>
      </w:r>
      <w:r w:rsidR="00F36834" w:rsidRPr="001E161C">
        <w:rPr>
          <w:rFonts w:ascii="Trebuchet MS" w:eastAsia="Times New Roman" w:hAnsi="Trebuchet MS" w:cs="Arial"/>
          <w:color w:val="595959" w:themeColor="text1" w:themeTint="A6"/>
          <w:sz w:val="20"/>
          <w:szCs w:val="20"/>
          <w:lang w:val="en-US" w:eastAsia="it-IT"/>
        </w:rPr>
        <w:t xml:space="preserve"> </w:t>
      </w:r>
    </w:p>
    <w:p w14:paraId="3DAF8E4F" w14:textId="12536E1E" w:rsidR="00F36834" w:rsidRPr="001E161C" w:rsidRDefault="001E161C" w:rsidP="00CC5A9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1E161C">
        <w:rPr>
          <w:rFonts w:ascii="Trebuchet MS" w:eastAsia="Times New Roman" w:hAnsi="Trebuchet MS" w:cs="Arial"/>
          <w:color w:val="595959" w:themeColor="text1" w:themeTint="A6"/>
          <w:sz w:val="20"/>
          <w:szCs w:val="20"/>
          <w:lang w:val="en-US" w:eastAsia="it-IT"/>
        </w:rPr>
        <w:t>In terms of value, olive oil, cereals and industrial plants were the most profitable crops (respectively + 43.1%, + 34.5% and + 30.4%).</w:t>
      </w:r>
      <w:r w:rsidR="00F36834" w:rsidRPr="001E161C">
        <w:rPr>
          <w:rFonts w:ascii="Trebuchet MS" w:eastAsia="Times New Roman" w:hAnsi="Trebuchet MS" w:cs="Arial"/>
          <w:color w:val="595959" w:themeColor="text1" w:themeTint="A6"/>
          <w:sz w:val="20"/>
          <w:szCs w:val="20"/>
          <w:lang w:val="en-US" w:eastAsia="it-IT"/>
        </w:rPr>
        <w:t xml:space="preserve"> </w:t>
      </w:r>
      <w:r w:rsidRPr="001E161C">
        <w:rPr>
          <w:rFonts w:ascii="Trebuchet MS" w:eastAsia="Times New Roman" w:hAnsi="Trebuchet MS" w:cs="Arial"/>
          <w:color w:val="595959" w:themeColor="text1" w:themeTint="A6"/>
          <w:sz w:val="20"/>
          <w:szCs w:val="20"/>
          <w:lang w:val="en-US" w:eastAsia="it-IT"/>
        </w:rPr>
        <w:t>The decisive role in 2021 was the role played by the trend in producer prices which, driven essentially by the robust increase in the costs of intermediate inputs, resulted in a significant increase in general for all types of production, wi</w:t>
      </w:r>
      <w:r>
        <w:rPr>
          <w:rFonts w:ascii="Trebuchet MS" w:eastAsia="Times New Roman" w:hAnsi="Trebuchet MS" w:cs="Arial"/>
          <w:color w:val="595959" w:themeColor="text1" w:themeTint="A6"/>
          <w:sz w:val="20"/>
          <w:szCs w:val="20"/>
          <w:lang w:val="en-US" w:eastAsia="it-IT"/>
        </w:rPr>
        <w:t>th a peak reached by olive oil</w:t>
      </w:r>
      <w:r w:rsidRPr="001E161C">
        <w:rPr>
          <w:rFonts w:ascii="Trebuchet MS" w:eastAsia="Times New Roman" w:hAnsi="Trebuchet MS" w:cs="Arial"/>
          <w:color w:val="595959" w:themeColor="text1" w:themeTint="A6"/>
          <w:sz w:val="20"/>
          <w:szCs w:val="20"/>
          <w:lang w:val="en-US" w:eastAsia="it-IT"/>
        </w:rPr>
        <w:t xml:space="preserve">, </w:t>
      </w:r>
      <w:proofErr w:type="gramStart"/>
      <w:r w:rsidRPr="001E161C">
        <w:rPr>
          <w:rFonts w:ascii="Trebuchet MS" w:eastAsia="Times New Roman" w:hAnsi="Trebuchet MS" w:cs="Arial"/>
          <w:color w:val="595959" w:themeColor="text1" w:themeTint="A6"/>
          <w:sz w:val="20"/>
          <w:szCs w:val="20"/>
          <w:lang w:val="en-US" w:eastAsia="it-IT"/>
        </w:rPr>
        <w:t>cereals</w:t>
      </w:r>
      <w:proofErr w:type="gramEnd"/>
      <w:r w:rsidRPr="001E161C">
        <w:rPr>
          <w:rFonts w:ascii="Trebuchet MS" w:eastAsia="Times New Roman" w:hAnsi="Trebuchet MS" w:cs="Arial"/>
          <w:color w:val="595959" w:themeColor="text1" w:themeTint="A6"/>
          <w:sz w:val="20"/>
          <w:szCs w:val="20"/>
          <w:lang w:val="en-US" w:eastAsia="it-IT"/>
        </w:rPr>
        <w:t xml:space="preserve"> and industrial plants.</w:t>
      </w:r>
      <w:r w:rsidR="00F36834" w:rsidRPr="001E161C">
        <w:rPr>
          <w:rFonts w:ascii="Trebuchet MS" w:eastAsia="Times New Roman" w:hAnsi="Trebuchet MS" w:cs="Arial"/>
          <w:color w:val="595959" w:themeColor="text1" w:themeTint="A6"/>
          <w:sz w:val="20"/>
          <w:szCs w:val="20"/>
          <w:lang w:val="en-US" w:eastAsia="it-IT"/>
        </w:rPr>
        <w:t xml:space="preserve"> </w:t>
      </w:r>
      <w:r w:rsidRPr="001E161C">
        <w:rPr>
          <w:rFonts w:ascii="Trebuchet MS" w:eastAsia="Times New Roman" w:hAnsi="Trebuchet MS" w:cs="Arial"/>
          <w:color w:val="595959" w:themeColor="text1" w:themeTint="A6"/>
          <w:sz w:val="20"/>
          <w:szCs w:val="20"/>
          <w:lang w:val="en-US" w:eastAsia="it-IT"/>
        </w:rPr>
        <w:t xml:space="preserve">The livestock sector also recorded significant increases in production prices, </w:t>
      </w:r>
      <w:proofErr w:type="gramStart"/>
      <w:r w:rsidRPr="001E161C">
        <w:rPr>
          <w:rFonts w:ascii="Trebuchet MS" w:eastAsia="Times New Roman" w:hAnsi="Trebuchet MS" w:cs="Arial"/>
          <w:color w:val="595959" w:themeColor="text1" w:themeTint="A6"/>
          <w:sz w:val="20"/>
          <w:szCs w:val="20"/>
          <w:lang w:val="en-US" w:eastAsia="it-IT"/>
        </w:rPr>
        <w:t>with the exception of</w:t>
      </w:r>
      <w:proofErr w:type="gramEnd"/>
      <w:r w:rsidRPr="001E161C">
        <w:rPr>
          <w:rFonts w:ascii="Trebuchet MS" w:eastAsia="Times New Roman" w:hAnsi="Trebuchet MS" w:cs="Arial"/>
          <w:color w:val="595959" w:themeColor="text1" w:themeTint="A6"/>
          <w:sz w:val="20"/>
          <w:szCs w:val="20"/>
          <w:lang w:val="en-US" w:eastAsia="it-IT"/>
        </w:rPr>
        <w:t xml:space="preserve"> those for </w:t>
      </w:r>
      <w:r w:rsidR="00E30C15">
        <w:rPr>
          <w:rFonts w:ascii="Trebuchet MS" w:eastAsia="Times New Roman" w:hAnsi="Trebuchet MS" w:cs="Arial"/>
          <w:color w:val="595959" w:themeColor="text1" w:themeTint="A6"/>
          <w:sz w:val="20"/>
          <w:szCs w:val="20"/>
          <w:lang w:val="en-US" w:eastAsia="it-IT"/>
        </w:rPr>
        <w:t>pigs</w:t>
      </w:r>
      <w:r w:rsidRPr="001E161C">
        <w:rPr>
          <w:rFonts w:ascii="Trebuchet MS" w:eastAsia="Times New Roman" w:hAnsi="Trebuchet MS" w:cs="Arial"/>
          <w:color w:val="595959" w:themeColor="text1" w:themeTint="A6"/>
          <w:sz w:val="20"/>
          <w:szCs w:val="20"/>
          <w:lang w:val="en-US" w:eastAsia="it-IT"/>
        </w:rPr>
        <w:t>.</w:t>
      </w:r>
      <w:r w:rsidR="00F36834" w:rsidRPr="001E161C">
        <w:rPr>
          <w:rFonts w:ascii="Trebuchet MS" w:eastAsia="Times New Roman" w:hAnsi="Trebuchet MS" w:cs="Arial"/>
          <w:color w:val="595959" w:themeColor="text1" w:themeTint="A6"/>
          <w:sz w:val="20"/>
          <w:szCs w:val="20"/>
          <w:lang w:val="en-US" w:eastAsia="it-IT"/>
        </w:rPr>
        <w:t xml:space="preserve"> </w:t>
      </w:r>
    </w:p>
    <w:p w14:paraId="1CA2FEF6" w14:textId="77777777" w:rsidR="00CC5A95" w:rsidRPr="00E30C15" w:rsidRDefault="00CC5A95" w:rsidP="00CC5A9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E30C15">
        <w:rPr>
          <w:rFonts w:ascii="Trebuchet MS" w:eastAsia="Times New Roman" w:hAnsi="Trebuchet MS" w:cs="Arial"/>
          <w:color w:val="595959" w:themeColor="text1" w:themeTint="A6"/>
          <w:sz w:val="20"/>
          <w:szCs w:val="20"/>
          <w:lang w:val="en-US" w:eastAsia="it-IT"/>
        </w:rPr>
        <w:t>With 81.6 billion euros (about 18.4% of the EU27 total) in 2021 France consolidated its leadership in agricultural production among the member states, followed by Italy (60 billion euros and 13.5% of the total), Germany (59.4 billion euros and 13.4% of the total) and Spain (56.4 billion euros, 12.7%); then the Netherlands (€ 30.3 billion, 6.8%) and Poland (€ 27.5 billion and 6.2%) (Table 7).</w:t>
      </w:r>
    </w:p>
    <w:p w14:paraId="51CCA0A3" w14:textId="2A89B417" w:rsidR="00CC5A95" w:rsidRDefault="00CC5A95"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r>
        <w:rPr>
          <w:rFonts w:ascii="Trebuchet MS" w:eastAsia="Times New Roman" w:hAnsi="Trebuchet MS" w:cs="Arial"/>
          <w:color w:val="595959" w:themeColor="text1" w:themeTint="A6"/>
          <w:sz w:val="20"/>
          <w:szCs w:val="20"/>
          <w:lang w:val="en-US" w:eastAsia="it-IT"/>
        </w:rPr>
        <w:br w:type="page"/>
      </w:r>
    </w:p>
    <w:p w14:paraId="7FCEAD7E" w14:textId="77777777" w:rsidR="00F75E5D" w:rsidRPr="001E161C" w:rsidRDefault="00F75E5D" w:rsidP="005C27D6">
      <w:pPr>
        <w:widowControl/>
        <w:suppressAutoHyphens/>
        <w:autoSpaceDE/>
        <w:spacing w:after="80"/>
        <w:jc w:val="both"/>
        <w:textAlignment w:val="baseline"/>
        <w:rPr>
          <w:rFonts w:ascii="Trebuchet MS" w:eastAsia="Times New Roman" w:hAnsi="Trebuchet MS" w:cs="Arial"/>
          <w:color w:val="595959" w:themeColor="text1" w:themeTint="A6"/>
          <w:sz w:val="20"/>
          <w:szCs w:val="20"/>
          <w:lang w:val="en-US" w:eastAsia="it-IT"/>
        </w:rPr>
      </w:pPr>
    </w:p>
    <w:p w14:paraId="7A8CAE16" w14:textId="77777777" w:rsidR="001F1BF6" w:rsidRPr="001E161C" w:rsidRDefault="001F1BF6" w:rsidP="00253432">
      <w:pPr>
        <w:widowControl/>
        <w:suppressAutoHyphens/>
        <w:autoSpaceDE/>
        <w:spacing w:after="120"/>
        <w:jc w:val="both"/>
        <w:textAlignment w:val="baseline"/>
        <w:rPr>
          <w:rFonts w:ascii="Trebuchet MS" w:eastAsia="Times New Roman" w:hAnsi="Trebuchet MS" w:cs="Arial"/>
          <w:color w:val="595959" w:themeColor="text1" w:themeTint="A6"/>
          <w:sz w:val="4"/>
          <w:szCs w:val="20"/>
          <w:lang w:val="en-US" w:eastAsia="it-IT"/>
        </w:rPr>
      </w:pPr>
    </w:p>
    <w:p w14:paraId="11048E94" w14:textId="704DF70E" w:rsidR="001F1BF6" w:rsidRPr="001E161C" w:rsidRDefault="001E161C" w:rsidP="00FF69E6">
      <w:pPr>
        <w:spacing w:after="120"/>
        <w:jc w:val="both"/>
        <w:outlineLvl w:val="1"/>
        <w:rPr>
          <w:rFonts w:ascii="Arial Narrow" w:hAnsi="Arial Narrow" w:cs="Arial"/>
          <w:iCs/>
          <w:noProof/>
          <w:color w:val="595959" w:themeColor="text1" w:themeTint="A6"/>
          <w:lang w:val="en-US"/>
        </w:rPr>
      </w:pPr>
      <w:r w:rsidRPr="001E161C">
        <w:rPr>
          <w:rFonts w:ascii="Arial Narrow" w:hAnsi="Arial Narrow" w:cs="Arial"/>
          <w:b/>
          <w:iCs/>
          <w:noProof/>
          <w:color w:val="595959" w:themeColor="text1" w:themeTint="A6"/>
          <w:lang w:val="en-US"/>
        </w:rPr>
        <w:t>TABLE</w:t>
      </w:r>
      <w:r w:rsidR="00F63715" w:rsidRPr="001E161C">
        <w:rPr>
          <w:rFonts w:ascii="Arial Narrow" w:hAnsi="Arial Narrow" w:cs="Arial"/>
          <w:b/>
          <w:iCs/>
          <w:noProof/>
          <w:color w:val="595959" w:themeColor="text1" w:themeTint="A6"/>
          <w:lang w:val="en-US"/>
        </w:rPr>
        <w:t xml:space="preserve"> </w:t>
      </w:r>
      <w:r w:rsidR="009E7529" w:rsidRPr="001E161C">
        <w:rPr>
          <w:rFonts w:ascii="Arial Narrow" w:hAnsi="Arial Narrow" w:cs="Arial"/>
          <w:b/>
          <w:iCs/>
          <w:noProof/>
          <w:color w:val="595959" w:themeColor="text1" w:themeTint="A6"/>
          <w:lang w:val="en-US"/>
        </w:rPr>
        <w:t>6</w:t>
      </w:r>
      <w:r w:rsidR="000A4737" w:rsidRPr="001E161C">
        <w:rPr>
          <w:rFonts w:ascii="Arial Narrow" w:hAnsi="Arial Narrow" w:cs="Arial"/>
          <w:b/>
          <w:iCs/>
          <w:noProof/>
          <w:color w:val="595959" w:themeColor="text1" w:themeTint="A6"/>
          <w:lang w:val="en-US"/>
        </w:rPr>
        <w:t xml:space="preserve">. </w:t>
      </w:r>
      <w:r w:rsidRPr="001E161C">
        <w:rPr>
          <w:rFonts w:ascii="Arial Narrow" w:hAnsi="Arial Narrow" w:cs="Arial"/>
          <w:b/>
          <w:iCs/>
          <w:noProof/>
          <w:color w:val="595959" w:themeColor="text1" w:themeTint="A6"/>
          <w:lang w:val="en-US"/>
        </w:rPr>
        <w:t xml:space="preserve">AGRICULTURAL PRODUCTION IN THE EU27 FOR MAIN PRODUCTS AND TYPES </w:t>
      </w:r>
      <w:r>
        <w:rPr>
          <w:rFonts w:ascii="Arial Narrow" w:hAnsi="Arial Narrow" w:cs="Arial"/>
          <w:b/>
          <w:iCs/>
          <w:noProof/>
          <w:color w:val="595959" w:themeColor="text1" w:themeTint="A6"/>
          <w:lang w:val="en-US"/>
        </w:rPr>
        <w:t xml:space="preserve">OF </w:t>
      </w:r>
      <w:r w:rsidRPr="001E161C">
        <w:rPr>
          <w:rFonts w:ascii="Arial Narrow" w:hAnsi="Arial Narrow" w:cs="Arial"/>
          <w:b/>
          <w:iCs/>
          <w:noProof/>
          <w:color w:val="595959" w:themeColor="text1" w:themeTint="A6"/>
          <w:lang w:val="en-US"/>
        </w:rPr>
        <w:t>PRODUCT</w:t>
      </w:r>
      <w:r w:rsidR="000A4737" w:rsidRPr="001E161C">
        <w:rPr>
          <w:rFonts w:ascii="Arial Narrow" w:hAnsi="Arial Narrow" w:cs="Arial"/>
          <w:b/>
          <w:iCs/>
          <w:noProof/>
          <w:color w:val="595959" w:themeColor="text1" w:themeTint="A6"/>
          <w:lang w:val="en-US"/>
        </w:rPr>
        <w:t>.</w:t>
      </w:r>
      <w:r w:rsidR="00ED7509" w:rsidRPr="001E161C">
        <w:rPr>
          <w:rFonts w:ascii="Arial Narrow" w:hAnsi="Arial Narrow" w:cs="Arial"/>
          <w:b/>
          <w:iCs/>
          <w:noProof/>
          <w:color w:val="595959" w:themeColor="text1" w:themeTint="A6"/>
          <w:lang w:val="en-US"/>
        </w:rPr>
        <w:t xml:space="preserve"> </w:t>
      </w:r>
      <w:r w:rsidRPr="001E161C">
        <w:rPr>
          <w:rFonts w:ascii="Arial Narrow" w:hAnsi="Arial Narrow" w:cs="Arial"/>
          <w:iCs/>
          <w:noProof/>
          <w:color w:val="595959" w:themeColor="text1" w:themeTint="A6"/>
          <w:lang w:val="en-US"/>
        </w:rPr>
        <w:t>Years 2020 and 2021, current values in millions of euros and percentage changes</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443"/>
        <w:gridCol w:w="758"/>
        <w:gridCol w:w="891"/>
        <w:gridCol w:w="872"/>
        <w:gridCol w:w="906"/>
        <w:gridCol w:w="214"/>
        <w:gridCol w:w="758"/>
        <w:gridCol w:w="939"/>
        <w:gridCol w:w="939"/>
        <w:gridCol w:w="922"/>
      </w:tblGrid>
      <w:tr w:rsidR="00CC5A95" w:rsidRPr="00CA0EC7" w14:paraId="54444712" w14:textId="77777777" w:rsidTr="000A4737">
        <w:trPr>
          <w:trHeight w:val="238"/>
        </w:trPr>
        <w:tc>
          <w:tcPr>
            <w:tcW w:w="1267" w:type="pct"/>
            <w:vMerge w:val="restart"/>
            <w:shd w:val="clear" w:color="auto" w:fill="auto"/>
            <w:noWrap/>
            <w:vAlign w:val="center"/>
            <w:hideMark/>
          </w:tcPr>
          <w:p w14:paraId="4C18D6E4" w14:textId="77777777" w:rsidR="00CC5A95" w:rsidRPr="001E161C" w:rsidRDefault="00CC5A95" w:rsidP="00CC5A95">
            <w:pPr>
              <w:widowControl/>
              <w:autoSpaceDE/>
              <w:autoSpaceDN/>
              <w:spacing w:before="40" w:after="20"/>
              <w:rPr>
                <w:rFonts w:ascii="Arial Narrow" w:eastAsia="Times New Roman" w:hAnsi="Arial Narrow" w:cs="Times New Roman"/>
                <w:b/>
                <w:bCs/>
                <w:sz w:val="16"/>
                <w:szCs w:val="16"/>
                <w:lang w:val="en-US" w:eastAsia="it-IT"/>
              </w:rPr>
            </w:pPr>
            <w:r w:rsidRPr="001E161C">
              <w:rPr>
                <w:rFonts w:ascii="Arial Narrow" w:eastAsia="Times New Roman" w:hAnsi="Arial Narrow" w:cs="Times New Roman"/>
                <w:b/>
                <w:bCs/>
                <w:sz w:val="16"/>
                <w:szCs w:val="16"/>
                <w:lang w:val="en-US" w:eastAsia="it-IT"/>
              </w:rPr>
              <w:t> </w:t>
            </w:r>
          </w:p>
          <w:p w14:paraId="686B7C3B" w14:textId="6FF8D758" w:rsidR="00CC5A95" w:rsidRPr="001E161C" w:rsidRDefault="00CC5A95" w:rsidP="00CC5A95">
            <w:pPr>
              <w:widowControl/>
              <w:autoSpaceDE/>
              <w:autoSpaceDN/>
              <w:spacing w:before="40" w:after="20"/>
              <w:rPr>
                <w:rFonts w:ascii="Arial Narrow" w:eastAsia="Times New Roman" w:hAnsi="Arial Narrow" w:cs="Times New Roman"/>
                <w:b/>
                <w:bCs/>
                <w:sz w:val="16"/>
                <w:szCs w:val="16"/>
                <w:lang w:val="en-US" w:eastAsia="it-IT"/>
              </w:rPr>
            </w:pPr>
            <w:r w:rsidRPr="00CD45FA">
              <w:rPr>
                <w:rFonts w:ascii="Arial Narrow" w:eastAsia="Times New Roman" w:hAnsi="Arial Narrow" w:cs="Times New Roman"/>
                <w:b/>
                <w:bCs/>
                <w:sz w:val="16"/>
                <w:szCs w:val="16"/>
                <w:lang w:eastAsia="it-IT"/>
              </w:rPr>
              <w:t>PRODUCT</w:t>
            </w:r>
          </w:p>
        </w:tc>
        <w:tc>
          <w:tcPr>
            <w:tcW w:w="1777" w:type="pct"/>
            <w:gridSpan w:val="4"/>
            <w:shd w:val="clear" w:color="auto" w:fill="D9D9D9" w:themeFill="background1" w:themeFillShade="D9"/>
            <w:noWrap/>
            <w:vAlign w:val="center"/>
            <w:hideMark/>
          </w:tcPr>
          <w:p w14:paraId="7E89CC8E" w14:textId="77777777" w:rsidR="00CC5A95" w:rsidRPr="00CA0EC7" w:rsidRDefault="00CC5A95" w:rsidP="00CC5A95">
            <w:pPr>
              <w:widowControl/>
              <w:autoSpaceDE/>
              <w:autoSpaceDN/>
              <w:spacing w:before="40" w:after="20"/>
              <w:jc w:val="center"/>
              <w:rPr>
                <w:rFonts w:ascii="Arial Narrow" w:eastAsia="Times New Roman" w:hAnsi="Arial Narrow" w:cs="Times New Roman"/>
                <w:b/>
                <w:bCs/>
                <w:sz w:val="16"/>
                <w:szCs w:val="16"/>
                <w:lang w:eastAsia="it-IT"/>
              </w:rPr>
            </w:pPr>
            <w:r w:rsidRPr="00CA0EC7">
              <w:rPr>
                <w:rFonts w:ascii="Arial Narrow" w:eastAsia="Times New Roman" w:hAnsi="Arial Narrow" w:cs="Times New Roman"/>
                <w:b/>
                <w:bCs/>
                <w:sz w:val="16"/>
                <w:szCs w:val="16"/>
                <w:lang w:eastAsia="it-IT"/>
              </w:rPr>
              <w:t>2020</w:t>
            </w:r>
          </w:p>
        </w:tc>
        <w:tc>
          <w:tcPr>
            <w:tcW w:w="111" w:type="pct"/>
            <w:tcBorders>
              <w:top w:val="nil"/>
              <w:bottom w:val="nil"/>
            </w:tcBorders>
            <w:shd w:val="clear" w:color="auto" w:fill="FFFFFF" w:themeFill="background1"/>
            <w:noWrap/>
            <w:vAlign w:val="center"/>
            <w:hideMark/>
          </w:tcPr>
          <w:p w14:paraId="07795DB9" w14:textId="77777777" w:rsidR="00CC5A95" w:rsidRPr="00CA0EC7" w:rsidRDefault="00CC5A95" w:rsidP="00CC5A95">
            <w:pPr>
              <w:widowControl/>
              <w:autoSpaceDE/>
              <w:autoSpaceDN/>
              <w:spacing w:before="40" w:after="20"/>
              <w:jc w:val="center"/>
              <w:rPr>
                <w:rFonts w:ascii="Arial Narrow" w:eastAsia="Times New Roman" w:hAnsi="Arial Narrow" w:cs="Times New Roman"/>
                <w:b/>
                <w:bCs/>
                <w:sz w:val="16"/>
                <w:szCs w:val="16"/>
                <w:lang w:eastAsia="it-IT"/>
              </w:rPr>
            </w:pPr>
          </w:p>
        </w:tc>
        <w:tc>
          <w:tcPr>
            <w:tcW w:w="1845" w:type="pct"/>
            <w:gridSpan w:val="4"/>
            <w:shd w:val="clear" w:color="auto" w:fill="D9D9D9" w:themeFill="background1" w:themeFillShade="D9"/>
            <w:noWrap/>
            <w:vAlign w:val="center"/>
            <w:hideMark/>
          </w:tcPr>
          <w:p w14:paraId="560D38AE" w14:textId="77777777" w:rsidR="00CC5A95" w:rsidRPr="00CA0EC7" w:rsidRDefault="00CC5A95" w:rsidP="00CC5A95">
            <w:pPr>
              <w:widowControl/>
              <w:autoSpaceDE/>
              <w:autoSpaceDN/>
              <w:spacing w:before="40" w:after="20"/>
              <w:jc w:val="center"/>
              <w:rPr>
                <w:rFonts w:ascii="Arial Narrow" w:eastAsia="Times New Roman" w:hAnsi="Arial Narrow" w:cs="Times New Roman"/>
                <w:b/>
                <w:bCs/>
                <w:sz w:val="16"/>
                <w:szCs w:val="16"/>
                <w:lang w:eastAsia="it-IT"/>
              </w:rPr>
            </w:pPr>
            <w:r w:rsidRPr="00CA0EC7">
              <w:rPr>
                <w:rFonts w:ascii="Arial Narrow" w:eastAsia="Times New Roman" w:hAnsi="Arial Narrow" w:cs="Times New Roman"/>
                <w:b/>
                <w:bCs/>
                <w:sz w:val="16"/>
                <w:szCs w:val="16"/>
                <w:lang w:eastAsia="it-IT"/>
              </w:rPr>
              <w:t>2021</w:t>
            </w:r>
          </w:p>
        </w:tc>
      </w:tr>
      <w:tr w:rsidR="00CC5A95" w:rsidRPr="00CA0EC7" w14:paraId="3EF68BB4" w14:textId="77777777" w:rsidTr="000A4737">
        <w:trPr>
          <w:trHeight w:val="238"/>
        </w:trPr>
        <w:tc>
          <w:tcPr>
            <w:tcW w:w="1267" w:type="pct"/>
            <w:vMerge/>
            <w:shd w:val="clear" w:color="000000" w:fill="FFFFFF"/>
            <w:noWrap/>
            <w:vAlign w:val="center"/>
            <w:hideMark/>
          </w:tcPr>
          <w:p w14:paraId="5A6771E7" w14:textId="4B6DBDD8" w:rsidR="00CC5A95" w:rsidRPr="00CA0EC7" w:rsidRDefault="00CC5A95" w:rsidP="00CC5A95">
            <w:pPr>
              <w:widowControl/>
              <w:autoSpaceDE/>
              <w:autoSpaceDN/>
              <w:spacing w:before="40" w:after="20"/>
              <w:rPr>
                <w:rFonts w:ascii="Arial Narrow" w:eastAsia="Times New Roman" w:hAnsi="Arial Narrow" w:cs="Times New Roman"/>
                <w:b/>
                <w:bCs/>
                <w:sz w:val="16"/>
                <w:szCs w:val="16"/>
                <w:lang w:eastAsia="it-IT"/>
              </w:rPr>
            </w:pPr>
          </w:p>
        </w:tc>
        <w:tc>
          <w:tcPr>
            <w:tcW w:w="393" w:type="pct"/>
            <w:shd w:val="clear" w:color="000000" w:fill="FFFFFF"/>
            <w:vAlign w:val="center"/>
            <w:hideMark/>
          </w:tcPr>
          <w:p w14:paraId="4D898821" w14:textId="0B404C67" w:rsidR="00CC5A95" w:rsidRPr="0072615E" w:rsidRDefault="00CC5A95" w:rsidP="00CC5A95">
            <w:pPr>
              <w:widowControl/>
              <w:autoSpaceDE/>
              <w:autoSpaceDN/>
              <w:spacing w:before="40" w:after="20"/>
              <w:jc w:val="right"/>
              <w:rPr>
                <w:rFonts w:ascii="Arial Narrow" w:eastAsia="Times New Roman" w:hAnsi="Arial Narrow" w:cs="Times New Roman"/>
                <w:b/>
                <w:bCs/>
                <w:color w:val="000000"/>
                <w:sz w:val="16"/>
                <w:szCs w:val="16"/>
                <w:lang w:val="en-US" w:eastAsia="it-IT"/>
              </w:rPr>
            </w:pPr>
            <w:r>
              <w:rPr>
                <w:rFonts w:ascii="Arial Narrow" w:eastAsia="Times New Roman" w:hAnsi="Arial Narrow" w:cs="Times New Roman"/>
                <w:b/>
                <w:bCs/>
                <w:color w:val="000000"/>
                <w:sz w:val="16"/>
                <w:szCs w:val="16"/>
                <w:lang w:val="en-US" w:eastAsia="it-IT"/>
              </w:rPr>
              <w:t xml:space="preserve">Million euro </w:t>
            </w:r>
            <w:r w:rsidRPr="0072615E">
              <w:rPr>
                <w:rFonts w:ascii="Arial Narrow" w:eastAsia="Times New Roman" w:hAnsi="Arial Narrow" w:cs="Times New Roman"/>
                <w:b/>
                <w:bCs/>
                <w:color w:val="000000"/>
                <w:sz w:val="16"/>
                <w:szCs w:val="16"/>
                <w:lang w:val="en-US" w:eastAsia="it-IT"/>
              </w:rPr>
              <w:t>in current values</w:t>
            </w:r>
          </w:p>
        </w:tc>
        <w:tc>
          <w:tcPr>
            <w:tcW w:w="462" w:type="pct"/>
            <w:shd w:val="clear" w:color="000000" w:fill="FFFFFF"/>
            <w:vAlign w:val="center"/>
            <w:hideMark/>
          </w:tcPr>
          <w:p w14:paraId="30383254" w14:textId="6ACF6CE8" w:rsidR="00CC5A95" w:rsidRPr="00CA0EC7" w:rsidRDefault="00CC5A95" w:rsidP="00CC5A95">
            <w:pPr>
              <w:widowControl/>
              <w:autoSpaceDE/>
              <w:autoSpaceDN/>
              <w:spacing w:before="40" w:after="20"/>
              <w:jc w:val="right"/>
              <w:rPr>
                <w:rFonts w:ascii="Arial Narrow" w:eastAsia="Times New Roman" w:hAnsi="Arial Narrow" w:cs="Times New Roman"/>
                <w:b/>
                <w:bCs/>
                <w:color w:val="000000"/>
                <w:sz w:val="16"/>
                <w:szCs w:val="16"/>
                <w:lang w:eastAsia="it-IT"/>
              </w:rPr>
            </w:pPr>
            <w:r>
              <w:rPr>
                <w:rFonts w:ascii="Arial Narrow" w:eastAsia="Times New Roman" w:hAnsi="Arial Narrow" w:cs="Times New Roman"/>
                <w:b/>
                <w:bCs/>
                <w:color w:val="000000"/>
                <w:sz w:val="16"/>
                <w:szCs w:val="16"/>
                <w:lang w:eastAsia="it-IT"/>
              </w:rPr>
              <w:t>% Volume</w:t>
            </w:r>
            <w:r w:rsidRPr="0072615E">
              <w:rPr>
                <w:rFonts w:ascii="Arial Narrow" w:eastAsia="Times New Roman" w:hAnsi="Arial Narrow" w:cs="Times New Roman"/>
                <w:b/>
                <w:bCs/>
                <w:color w:val="000000"/>
                <w:sz w:val="16"/>
                <w:szCs w:val="16"/>
                <w:lang w:eastAsia="it-IT"/>
              </w:rPr>
              <w:t xml:space="preserve"> </w:t>
            </w:r>
            <w:proofErr w:type="spellStart"/>
            <w:r w:rsidRPr="0072615E">
              <w:rPr>
                <w:rFonts w:ascii="Arial Narrow" w:eastAsia="Times New Roman" w:hAnsi="Arial Narrow" w:cs="Times New Roman"/>
                <w:b/>
                <w:bCs/>
                <w:color w:val="000000"/>
                <w:sz w:val="16"/>
                <w:szCs w:val="16"/>
                <w:lang w:eastAsia="it-IT"/>
              </w:rPr>
              <w:t>changes</w:t>
            </w:r>
            <w:proofErr w:type="spellEnd"/>
          </w:p>
        </w:tc>
        <w:tc>
          <w:tcPr>
            <w:tcW w:w="452" w:type="pct"/>
            <w:shd w:val="clear" w:color="000000" w:fill="FFFFFF"/>
            <w:vAlign w:val="center"/>
            <w:hideMark/>
          </w:tcPr>
          <w:p w14:paraId="76EFA045" w14:textId="16ABD024" w:rsidR="00CC5A95" w:rsidRPr="00CA0EC7" w:rsidRDefault="00CC5A95" w:rsidP="00CC5A95">
            <w:pPr>
              <w:widowControl/>
              <w:autoSpaceDE/>
              <w:autoSpaceDN/>
              <w:spacing w:before="40" w:after="20"/>
              <w:jc w:val="right"/>
              <w:rPr>
                <w:rFonts w:ascii="Arial Narrow" w:eastAsia="Times New Roman" w:hAnsi="Arial Narrow" w:cs="Times New Roman"/>
                <w:b/>
                <w:bCs/>
                <w:color w:val="000000"/>
                <w:sz w:val="16"/>
                <w:szCs w:val="16"/>
                <w:lang w:eastAsia="it-IT"/>
              </w:rPr>
            </w:pPr>
            <w:r w:rsidRPr="0072615E">
              <w:rPr>
                <w:rFonts w:ascii="Arial Narrow" w:eastAsia="Times New Roman" w:hAnsi="Arial Narrow" w:cs="Times New Roman"/>
                <w:b/>
                <w:bCs/>
                <w:color w:val="000000"/>
                <w:sz w:val="16"/>
                <w:szCs w:val="16"/>
                <w:lang w:eastAsia="it-IT"/>
              </w:rPr>
              <w:t xml:space="preserve">% </w:t>
            </w:r>
            <w:r>
              <w:rPr>
                <w:rFonts w:ascii="Arial Narrow" w:eastAsia="Times New Roman" w:hAnsi="Arial Narrow" w:cs="Times New Roman"/>
                <w:b/>
                <w:bCs/>
                <w:color w:val="000000"/>
                <w:sz w:val="16"/>
                <w:szCs w:val="16"/>
                <w:lang w:eastAsia="it-IT"/>
              </w:rPr>
              <w:t>Price</w:t>
            </w:r>
            <w:r w:rsidRPr="0072615E">
              <w:rPr>
                <w:rFonts w:ascii="Arial Narrow" w:eastAsia="Times New Roman" w:hAnsi="Arial Narrow" w:cs="Times New Roman"/>
                <w:b/>
                <w:bCs/>
                <w:color w:val="000000"/>
                <w:sz w:val="16"/>
                <w:szCs w:val="16"/>
                <w:lang w:eastAsia="it-IT"/>
              </w:rPr>
              <w:t xml:space="preserve"> </w:t>
            </w:r>
            <w:proofErr w:type="spellStart"/>
            <w:r w:rsidRPr="0072615E">
              <w:rPr>
                <w:rFonts w:ascii="Arial Narrow" w:eastAsia="Times New Roman" w:hAnsi="Arial Narrow" w:cs="Times New Roman"/>
                <w:b/>
                <w:bCs/>
                <w:color w:val="000000"/>
                <w:sz w:val="16"/>
                <w:szCs w:val="16"/>
                <w:lang w:eastAsia="it-IT"/>
              </w:rPr>
              <w:t>changes</w:t>
            </w:r>
            <w:proofErr w:type="spellEnd"/>
          </w:p>
        </w:tc>
        <w:tc>
          <w:tcPr>
            <w:tcW w:w="470" w:type="pct"/>
            <w:shd w:val="clear" w:color="000000" w:fill="FFFFFF"/>
            <w:vAlign w:val="center"/>
            <w:hideMark/>
          </w:tcPr>
          <w:p w14:paraId="61E47C83" w14:textId="2CEBD80E" w:rsidR="00CC5A95" w:rsidRPr="00CA0EC7" w:rsidRDefault="00CC5A95" w:rsidP="00CC5A95">
            <w:pPr>
              <w:widowControl/>
              <w:autoSpaceDE/>
              <w:autoSpaceDN/>
              <w:spacing w:before="40" w:after="20"/>
              <w:jc w:val="right"/>
              <w:rPr>
                <w:rFonts w:ascii="Arial Narrow" w:eastAsia="Times New Roman" w:hAnsi="Arial Narrow" w:cs="Times New Roman"/>
                <w:b/>
                <w:bCs/>
                <w:color w:val="000000"/>
                <w:sz w:val="16"/>
                <w:szCs w:val="16"/>
                <w:lang w:eastAsia="it-IT"/>
              </w:rPr>
            </w:pPr>
            <w:r w:rsidRPr="0072615E">
              <w:rPr>
                <w:rFonts w:ascii="Arial Narrow" w:eastAsia="Times New Roman" w:hAnsi="Arial Narrow" w:cs="Times New Roman"/>
                <w:b/>
                <w:bCs/>
                <w:color w:val="000000"/>
                <w:sz w:val="16"/>
                <w:szCs w:val="16"/>
                <w:lang w:eastAsia="it-IT"/>
              </w:rPr>
              <w:t xml:space="preserve">% </w:t>
            </w:r>
            <w:r>
              <w:rPr>
                <w:rFonts w:ascii="Arial Narrow" w:eastAsia="Times New Roman" w:hAnsi="Arial Narrow" w:cs="Times New Roman"/>
                <w:b/>
                <w:bCs/>
                <w:color w:val="000000"/>
                <w:sz w:val="16"/>
                <w:szCs w:val="16"/>
                <w:lang w:eastAsia="it-IT"/>
              </w:rPr>
              <w:t>Value</w:t>
            </w:r>
            <w:r w:rsidRPr="0072615E">
              <w:rPr>
                <w:rFonts w:ascii="Arial Narrow" w:eastAsia="Times New Roman" w:hAnsi="Arial Narrow" w:cs="Times New Roman"/>
                <w:b/>
                <w:bCs/>
                <w:color w:val="000000"/>
                <w:sz w:val="16"/>
                <w:szCs w:val="16"/>
                <w:lang w:eastAsia="it-IT"/>
              </w:rPr>
              <w:t xml:space="preserve"> </w:t>
            </w:r>
            <w:proofErr w:type="spellStart"/>
            <w:r w:rsidRPr="0072615E">
              <w:rPr>
                <w:rFonts w:ascii="Arial Narrow" w:eastAsia="Times New Roman" w:hAnsi="Arial Narrow" w:cs="Times New Roman"/>
                <w:b/>
                <w:bCs/>
                <w:color w:val="000000"/>
                <w:sz w:val="16"/>
                <w:szCs w:val="16"/>
                <w:lang w:eastAsia="it-IT"/>
              </w:rPr>
              <w:t>changes</w:t>
            </w:r>
            <w:proofErr w:type="spellEnd"/>
          </w:p>
        </w:tc>
        <w:tc>
          <w:tcPr>
            <w:tcW w:w="111" w:type="pct"/>
            <w:tcBorders>
              <w:top w:val="nil"/>
              <w:bottom w:val="nil"/>
            </w:tcBorders>
            <w:shd w:val="clear" w:color="auto" w:fill="FFFFFF" w:themeFill="background1"/>
            <w:vAlign w:val="center"/>
            <w:hideMark/>
          </w:tcPr>
          <w:p w14:paraId="15899AC3" w14:textId="77777777" w:rsidR="00CC5A95" w:rsidRPr="00CA0EC7" w:rsidRDefault="00CC5A95" w:rsidP="00CC5A95">
            <w:pPr>
              <w:widowControl/>
              <w:autoSpaceDE/>
              <w:autoSpaceDN/>
              <w:spacing w:before="40" w:after="20"/>
              <w:jc w:val="right"/>
              <w:rPr>
                <w:rFonts w:ascii="Arial Narrow" w:eastAsia="Times New Roman" w:hAnsi="Arial Narrow" w:cs="Times New Roman"/>
                <w:b/>
                <w:bCs/>
                <w:color w:val="000000"/>
                <w:sz w:val="16"/>
                <w:szCs w:val="16"/>
                <w:lang w:eastAsia="it-IT"/>
              </w:rPr>
            </w:pPr>
            <w:r w:rsidRPr="00CA0EC7">
              <w:rPr>
                <w:rFonts w:ascii="Arial Narrow" w:eastAsia="Times New Roman" w:hAnsi="Arial Narrow" w:cs="Times New Roman"/>
                <w:b/>
                <w:bCs/>
                <w:color w:val="000000"/>
                <w:sz w:val="16"/>
                <w:szCs w:val="16"/>
                <w:lang w:eastAsia="it-IT"/>
              </w:rPr>
              <w:t> </w:t>
            </w:r>
          </w:p>
        </w:tc>
        <w:tc>
          <w:tcPr>
            <w:tcW w:w="393" w:type="pct"/>
            <w:shd w:val="clear" w:color="000000" w:fill="FFFFFF"/>
            <w:vAlign w:val="center"/>
            <w:hideMark/>
          </w:tcPr>
          <w:p w14:paraId="5B02F744" w14:textId="3B0A82EC" w:rsidR="00CC5A95" w:rsidRPr="0072615E" w:rsidRDefault="00CC5A95" w:rsidP="00CC5A95">
            <w:pPr>
              <w:widowControl/>
              <w:autoSpaceDE/>
              <w:autoSpaceDN/>
              <w:spacing w:before="40" w:after="20"/>
              <w:jc w:val="right"/>
              <w:rPr>
                <w:rFonts w:ascii="Arial Narrow" w:eastAsia="Times New Roman" w:hAnsi="Arial Narrow" w:cs="Times New Roman"/>
                <w:b/>
                <w:bCs/>
                <w:color w:val="000000"/>
                <w:sz w:val="16"/>
                <w:szCs w:val="16"/>
                <w:lang w:val="en-US" w:eastAsia="it-IT"/>
              </w:rPr>
            </w:pPr>
            <w:r w:rsidRPr="0072615E">
              <w:rPr>
                <w:rFonts w:ascii="Arial Narrow" w:eastAsia="Times New Roman" w:hAnsi="Arial Narrow" w:cs="Times New Roman"/>
                <w:b/>
                <w:bCs/>
                <w:color w:val="000000"/>
                <w:sz w:val="16"/>
                <w:szCs w:val="16"/>
                <w:lang w:val="en-US" w:eastAsia="it-IT"/>
              </w:rPr>
              <w:t>Million euro in current values</w:t>
            </w:r>
          </w:p>
        </w:tc>
        <w:tc>
          <w:tcPr>
            <w:tcW w:w="487" w:type="pct"/>
            <w:shd w:val="clear" w:color="000000" w:fill="FFFFFF"/>
            <w:vAlign w:val="center"/>
            <w:hideMark/>
          </w:tcPr>
          <w:p w14:paraId="1BD4D009" w14:textId="4A493644" w:rsidR="00CC5A95" w:rsidRPr="00CA0EC7" w:rsidRDefault="00CC5A95" w:rsidP="00CC5A95">
            <w:pPr>
              <w:widowControl/>
              <w:autoSpaceDE/>
              <w:autoSpaceDN/>
              <w:spacing w:before="40" w:after="20"/>
              <w:jc w:val="right"/>
              <w:rPr>
                <w:rFonts w:ascii="Arial Narrow" w:eastAsia="Times New Roman" w:hAnsi="Arial Narrow" w:cs="Times New Roman"/>
                <w:b/>
                <w:bCs/>
                <w:color w:val="000000"/>
                <w:sz w:val="16"/>
                <w:szCs w:val="16"/>
                <w:lang w:eastAsia="it-IT"/>
              </w:rPr>
            </w:pPr>
            <w:r w:rsidRPr="0072615E">
              <w:rPr>
                <w:rFonts w:ascii="Arial Narrow" w:eastAsia="Times New Roman" w:hAnsi="Arial Narrow" w:cs="Times New Roman"/>
                <w:b/>
                <w:bCs/>
                <w:color w:val="000000"/>
                <w:sz w:val="16"/>
                <w:szCs w:val="16"/>
                <w:lang w:eastAsia="it-IT"/>
              </w:rPr>
              <w:t xml:space="preserve">% Volume </w:t>
            </w:r>
            <w:proofErr w:type="spellStart"/>
            <w:r w:rsidRPr="0072615E">
              <w:rPr>
                <w:rFonts w:ascii="Arial Narrow" w:eastAsia="Times New Roman" w:hAnsi="Arial Narrow" w:cs="Times New Roman"/>
                <w:b/>
                <w:bCs/>
                <w:color w:val="000000"/>
                <w:sz w:val="16"/>
                <w:szCs w:val="16"/>
                <w:lang w:eastAsia="it-IT"/>
              </w:rPr>
              <w:t>changes</w:t>
            </w:r>
            <w:proofErr w:type="spellEnd"/>
          </w:p>
        </w:tc>
        <w:tc>
          <w:tcPr>
            <w:tcW w:w="487" w:type="pct"/>
            <w:shd w:val="clear" w:color="000000" w:fill="FFFFFF"/>
            <w:vAlign w:val="center"/>
            <w:hideMark/>
          </w:tcPr>
          <w:p w14:paraId="4E3DA510" w14:textId="543942DC" w:rsidR="00CC5A95" w:rsidRPr="00CA0EC7" w:rsidRDefault="00CC5A95" w:rsidP="00CC5A95">
            <w:pPr>
              <w:widowControl/>
              <w:autoSpaceDE/>
              <w:autoSpaceDN/>
              <w:spacing w:before="40" w:after="20"/>
              <w:jc w:val="right"/>
              <w:rPr>
                <w:rFonts w:ascii="Arial Narrow" w:eastAsia="Times New Roman" w:hAnsi="Arial Narrow" w:cs="Times New Roman"/>
                <w:b/>
                <w:bCs/>
                <w:color w:val="000000"/>
                <w:sz w:val="16"/>
                <w:szCs w:val="16"/>
                <w:lang w:eastAsia="it-IT"/>
              </w:rPr>
            </w:pPr>
            <w:r w:rsidRPr="0072615E">
              <w:rPr>
                <w:rFonts w:ascii="Arial Narrow" w:eastAsia="Times New Roman" w:hAnsi="Arial Narrow" w:cs="Times New Roman"/>
                <w:b/>
                <w:bCs/>
                <w:color w:val="000000"/>
                <w:sz w:val="16"/>
                <w:szCs w:val="16"/>
                <w:lang w:eastAsia="it-IT"/>
              </w:rPr>
              <w:t xml:space="preserve">% Price </w:t>
            </w:r>
            <w:proofErr w:type="spellStart"/>
            <w:r w:rsidRPr="0072615E">
              <w:rPr>
                <w:rFonts w:ascii="Arial Narrow" w:eastAsia="Times New Roman" w:hAnsi="Arial Narrow" w:cs="Times New Roman"/>
                <w:b/>
                <w:bCs/>
                <w:color w:val="000000"/>
                <w:sz w:val="16"/>
                <w:szCs w:val="16"/>
                <w:lang w:eastAsia="it-IT"/>
              </w:rPr>
              <w:t>changes</w:t>
            </w:r>
            <w:proofErr w:type="spellEnd"/>
          </w:p>
        </w:tc>
        <w:tc>
          <w:tcPr>
            <w:tcW w:w="478" w:type="pct"/>
            <w:shd w:val="clear" w:color="000000" w:fill="FFFFFF"/>
            <w:vAlign w:val="center"/>
            <w:hideMark/>
          </w:tcPr>
          <w:p w14:paraId="2DF22EB4" w14:textId="6D97441C" w:rsidR="00CC5A95" w:rsidRPr="00CA0EC7" w:rsidRDefault="00CC5A95" w:rsidP="00CC5A95">
            <w:pPr>
              <w:widowControl/>
              <w:autoSpaceDE/>
              <w:autoSpaceDN/>
              <w:spacing w:before="40" w:after="20"/>
              <w:jc w:val="right"/>
              <w:rPr>
                <w:rFonts w:ascii="Arial Narrow" w:eastAsia="Times New Roman" w:hAnsi="Arial Narrow" w:cs="Times New Roman"/>
                <w:b/>
                <w:bCs/>
                <w:color w:val="000000"/>
                <w:sz w:val="16"/>
                <w:szCs w:val="16"/>
                <w:lang w:eastAsia="it-IT"/>
              </w:rPr>
            </w:pPr>
            <w:r w:rsidRPr="0072615E">
              <w:rPr>
                <w:rFonts w:ascii="Arial Narrow" w:eastAsia="Times New Roman" w:hAnsi="Arial Narrow" w:cs="Times New Roman"/>
                <w:b/>
                <w:bCs/>
                <w:color w:val="000000"/>
                <w:sz w:val="16"/>
                <w:szCs w:val="16"/>
                <w:lang w:eastAsia="it-IT"/>
              </w:rPr>
              <w:t xml:space="preserve">% Value </w:t>
            </w:r>
            <w:proofErr w:type="spellStart"/>
            <w:r w:rsidRPr="0072615E">
              <w:rPr>
                <w:rFonts w:ascii="Arial Narrow" w:eastAsia="Times New Roman" w:hAnsi="Arial Narrow" w:cs="Times New Roman"/>
                <w:b/>
                <w:bCs/>
                <w:color w:val="000000"/>
                <w:sz w:val="16"/>
                <w:szCs w:val="16"/>
                <w:lang w:eastAsia="it-IT"/>
              </w:rPr>
              <w:t>changes</w:t>
            </w:r>
            <w:proofErr w:type="spellEnd"/>
          </w:p>
        </w:tc>
      </w:tr>
      <w:tr w:rsidR="00CA0EC7" w:rsidRPr="00CA0EC7" w14:paraId="624E1559" w14:textId="77777777" w:rsidTr="0003038B">
        <w:trPr>
          <w:trHeight w:val="238"/>
        </w:trPr>
        <w:tc>
          <w:tcPr>
            <w:tcW w:w="1267" w:type="pct"/>
            <w:shd w:val="clear" w:color="auto" w:fill="17365D"/>
            <w:vAlign w:val="center"/>
            <w:hideMark/>
          </w:tcPr>
          <w:p w14:paraId="135A49D7" w14:textId="36426531" w:rsidR="00CA0EC7" w:rsidRPr="000A4737" w:rsidRDefault="00191673" w:rsidP="00CC5A95">
            <w:pPr>
              <w:widowControl/>
              <w:autoSpaceDE/>
              <w:autoSpaceDN/>
              <w:spacing w:before="40" w:after="20"/>
              <w:rPr>
                <w:rFonts w:ascii="Arial Narrow" w:eastAsia="Times New Roman" w:hAnsi="Arial Narrow" w:cs="Times New Roman"/>
                <w:b/>
                <w:bCs/>
                <w:color w:val="FFFFFF" w:themeColor="background1"/>
                <w:sz w:val="16"/>
                <w:szCs w:val="16"/>
                <w:lang w:eastAsia="it-IT"/>
              </w:rPr>
            </w:pPr>
            <w:proofErr w:type="spellStart"/>
            <w:r>
              <w:rPr>
                <w:rFonts w:ascii="Arial Narrow" w:eastAsia="Times New Roman" w:hAnsi="Arial Narrow" w:cs="Times New Roman"/>
                <w:b/>
                <w:bCs/>
                <w:color w:val="FFFFFF" w:themeColor="background1"/>
                <w:sz w:val="16"/>
                <w:szCs w:val="16"/>
                <w:lang w:eastAsia="it-IT"/>
              </w:rPr>
              <w:t>Crop</w:t>
            </w:r>
            <w:proofErr w:type="spellEnd"/>
            <w:r>
              <w:rPr>
                <w:rFonts w:ascii="Arial Narrow" w:eastAsia="Times New Roman" w:hAnsi="Arial Narrow" w:cs="Times New Roman"/>
                <w:b/>
                <w:bCs/>
                <w:color w:val="FFFFFF" w:themeColor="background1"/>
                <w:sz w:val="16"/>
                <w:szCs w:val="16"/>
                <w:lang w:eastAsia="it-IT"/>
              </w:rPr>
              <w:t xml:space="preserve"> output</w:t>
            </w:r>
          </w:p>
        </w:tc>
        <w:tc>
          <w:tcPr>
            <w:tcW w:w="393" w:type="pct"/>
            <w:shd w:val="clear" w:color="auto" w:fill="17365D"/>
            <w:vAlign w:val="center"/>
            <w:hideMark/>
          </w:tcPr>
          <w:p w14:paraId="09CF8198"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219.441</w:t>
            </w:r>
          </w:p>
        </w:tc>
        <w:tc>
          <w:tcPr>
            <w:tcW w:w="462" w:type="pct"/>
            <w:shd w:val="clear" w:color="auto" w:fill="17365D"/>
            <w:vAlign w:val="center"/>
            <w:hideMark/>
          </w:tcPr>
          <w:p w14:paraId="78AB5871"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-0,7</w:t>
            </w:r>
          </w:p>
        </w:tc>
        <w:tc>
          <w:tcPr>
            <w:tcW w:w="452" w:type="pct"/>
            <w:shd w:val="clear" w:color="auto" w:fill="17365D"/>
            <w:vAlign w:val="center"/>
            <w:hideMark/>
          </w:tcPr>
          <w:p w14:paraId="606CD80A"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-0,3</w:t>
            </w:r>
          </w:p>
        </w:tc>
        <w:tc>
          <w:tcPr>
            <w:tcW w:w="470" w:type="pct"/>
            <w:shd w:val="clear" w:color="auto" w:fill="17365D"/>
            <w:vAlign w:val="center"/>
            <w:hideMark/>
          </w:tcPr>
          <w:p w14:paraId="4AA8F48A"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-1,0</w:t>
            </w:r>
          </w:p>
        </w:tc>
        <w:tc>
          <w:tcPr>
            <w:tcW w:w="111" w:type="pct"/>
            <w:tcBorders>
              <w:top w:val="nil"/>
              <w:bottom w:val="nil"/>
            </w:tcBorders>
            <w:shd w:val="clear" w:color="auto" w:fill="17365D"/>
            <w:vAlign w:val="center"/>
            <w:hideMark/>
          </w:tcPr>
          <w:p w14:paraId="4EBA241B" w14:textId="77777777" w:rsidR="00CA0EC7" w:rsidRPr="000A4737" w:rsidRDefault="00CA0EC7" w:rsidP="00CC5A95">
            <w:pPr>
              <w:widowControl/>
              <w:autoSpaceDE/>
              <w:autoSpaceDN/>
              <w:spacing w:before="40" w:after="20"/>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 </w:t>
            </w:r>
          </w:p>
        </w:tc>
        <w:tc>
          <w:tcPr>
            <w:tcW w:w="393" w:type="pct"/>
            <w:shd w:val="clear" w:color="auto" w:fill="17365D"/>
            <w:vAlign w:val="center"/>
            <w:hideMark/>
          </w:tcPr>
          <w:p w14:paraId="5607EEB5"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243.338</w:t>
            </w:r>
          </w:p>
        </w:tc>
        <w:tc>
          <w:tcPr>
            <w:tcW w:w="487" w:type="pct"/>
            <w:shd w:val="clear" w:color="auto" w:fill="17365D"/>
            <w:vAlign w:val="center"/>
            <w:hideMark/>
          </w:tcPr>
          <w:p w14:paraId="095D79DD"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-0,4</w:t>
            </w:r>
          </w:p>
        </w:tc>
        <w:tc>
          <w:tcPr>
            <w:tcW w:w="487" w:type="pct"/>
            <w:shd w:val="clear" w:color="auto" w:fill="17365D"/>
            <w:vAlign w:val="center"/>
            <w:hideMark/>
          </w:tcPr>
          <w:p w14:paraId="6218BA2C"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+11,3</w:t>
            </w:r>
          </w:p>
        </w:tc>
        <w:tc>
          <w:tcPr>
            <w:tcW w:w="478" w:type="pct"/>
            <w:shd w:val="clear" w:color="auto" w:fill="17365D"/>
            <w:vAlign w:val="center"/>
            <w:hideMark/>
          </w:tcPr>
          <w:p w14:paraId="69AB0E3C"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+10,9</w:t>
            </w:r>
          </w:p>
        </w:tc>
      </w:tr>
      <w:tr w:rsidR="00CA0EC7" w:rsidRPr="00CA0EC7" w14:paraId="09A8AF38" w14:textId="77777777" w:rsidTr="002E4CB4">
        <w:trPr>
          <w:trHeight w:val="238"/>
        </w:trPr>
        <w:tc>
          <w:tcPr>
            <w:tcW w:w="1267" w:type="pct"/>
            <w:shd w:val="clear" w:color="000000" w:fill="FFFFFF"/>
            <w:vAlign w:val="center"/>
            <w:hideMark/>
          </w:tcPr>
          <w:p w14:paraId="6895D358" w14:textId="5EC72B0B"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xml:space="preserve"> -</w:t>
            </w:r>
            <w:proofErr w:type="spellStart"/>
            <w:r w:rsidR="00CD45FA" w:rsidRPr="00CD45FA">
              <w:rPr>
                <w:rFonts w:ascii="Arial Narrow" w:eastAsia="Times New Roman" w:hAnsi="Arial Narrow" w:cs="Times New Roman"/>
                <w:sz w:val="16"/>
                <w:szCs w:val="16"/>
                <w:lang w:eastAsia="it-IT"/>
              </w:rPr>
              <w:t>Cereals</w:t>
            </w:r>
            <w:proofErr w:type="spellEnd"/>
          </w:p>
        </w:tc>
        <w:tc>
          <w:tcPr>
            <w:tcW w:w="393" w:type="pct"/>
            <w:shd w:val="clear" w:color="auto" w:fill="D9D9D9" w:themeFill="background1" w:themeFillShade="D9"/>
            <w:vAlign w:val="center"/>
            <w:hideMark/>
          </w:tcPr>
          <w:p w14:paraId="56D9B2E8"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47.337</w:t>
            </w:r>
          </w:p>
        </w:tc>
        <w:tc>
          <w:tcPr>
            <w:tcW w:w="462" w:type="pct"/>
            <w:shd w:val="clear" w:color="000000" w:fill="FFFFFF"/>
            <w:vAlign w:val="center"/>
            <w:hideMark/>
          </w:tcPr>
          <w:p w14:paraId="78B1433F"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-3,6</w:t>
            </w:r>
          </w:p>
        </w:tc>
        <w:tc>
          <w:tcPr>
            <w:tcW w:w="452" w:type="pct"/>
            <w:shd w:val="clear" w:color="auto" w:fill="D9D9D9" w:themeFill="background1" w:themeFillShade="D9"/>
            <w:vAlign w:val="center"/>
            <w:hideMark/>
          </w:tcPr>
          <w:p w14:paraId="436DC757"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+3,2</w:t>
            </w:r>
          </w:p>
        </w:tc>
        <w:tc>
          <w:tcPr>
            <w:tcW w:w="470" w:type="pct"/>
            <w:shd w:val="clear" w:color="000000" w:fill="FFFFFF"/>
            <w:vAlign w:val="center"/>
            <w:hideMark/>
          </w:tcPr>
          <w:p w14:paraId="65852D65"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-0,5</w:t>
            </w:r>
          </w:p>
        </w:tc>
        <w:tc>
          <w:tcPr>
            <w:tcW w:w="111" w:type="pct"/>
            <w:tcBorders>
              <w:top w:val="nil"/>
              <w:bottom w:val="nil"/>
            </w:tcBorders>
            <w:shd w:val="clear" w:color="auto" w:fill="FFFFFF" w:themeFill="background1"/>
            <w:vAlign w:val="center"/>
            <w:hideMark/>
          </w:tcPr>
          <w:p w14:paraId="412B5EE6"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37E463EA"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63.668</w:t>
            </w:r>
          </w:p>
        </w:tc>
        <w:tc>
          <w:tcPr>
            <w:tcW w:w="487" w:type="pct"/>
            <w:shd w:val="clear" w:color="000000" w:fill="FFFFFF"/>
            <w:vAlign w:val="center"/>
            <w:hideMark/>
          </w:tcPr>
          <w:p w14:paraId="4FD9D0FD"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+5,6</w:t>
            </w:r>
          </w:p>
        </w:tc>
        <w:tc>
          <w:tcPr>
            <w:tcW w:w="487" w:type="pct"/>
            <w:shd w:val="clear" w:color="auto" w:fill="D9D9D9" w:themeFill="background1" w:themeFillShade="D9"/>
            <w:vAlign w:val="center"/>
            <w:hideMark/>
          </w:tcPr>
          <w:p w14:paraId="72335099"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+27,4</w:t>
            </w:r>
          </w:p>
        </w:tc>
        <w:tc>
          <w:tcPr>
            <w:tcW w:w="478" w:type="pct"/>
            <w:shd w:val="clear" w:color="auto" w:fill="FFFFFF" w:themeFill="background1"/>
            <w:vAlign w:val="center"/>
            <w:hideMark/>
          </w:tcPr>
          <w:p w14:paraId="35A803DB"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+34,5</w:t>
            </w:r>
          </w:p>
        </w:tc>
      </w:tr>
      <w:tr w:rsidR="00CA0EC7" w:rsidRPr="00CA0EC7" w14:paraId="50868C9D" w14:textId="77777777" w:rsidTr="002E4CB4">
        <w:trPr>
          <w:trHeight w:val="238"/>
        </w:trPr>
        <w:tc>
          <w:tcPr>
            <w:tcW w:w="1267" w:type="pct"/>
            <w:shd w:val="clear" w:color="auto" w:fill="auto"/>
            <w:vAlign w:val="center"/>
            <w:hideMark/>
          </w:tcPr>
          <w:p w14:paraId="2756B5D6" w14:textId="709AEA00"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xml:space="preserve"> -</w:t>
            </w:r>
            <w:r w:rsidR="00CD45FA" w:rsidRPr="00CD45FA">
              <w:rPr>
                <w:rFonts w:ascii="Arial Narrow" w:eastAsia="Times New Roman" w:hAnsi="Arial Narrow" w:cs="Times New Roman"/>
                <w:sz w:val="16"/>
                <w:szCs w:val="16"/>
                <w:lang w:eastAsia="it-IT"/>
              </w:rPr>
              <w:t xml:space="preserve">Industrial </w:t>
            </w:r>
            <w:proofErr w:type="spellStart"/>
            <w:r w:rsidR="00191673">
              <w:rPr>
                <w:rFonts w:ascii="Arial Narrow" w:eastAsia="Times New Roman" w:hAnsi="Arial Narrow" w:cs="Times New Roman"/>
                <w:sz w:val="16"/>
                <w:szCs w:val="16"/>
                <w:lang w:eastAsia="it-IT"/>
              </w:rPr>
              <w:t>crops</w:t>
            </w:r>
            <w:proofErr w:type="spellEnd"/>
          </w:p>
        </w:tc>
        <w:tc>
          <w:tcPr>
            <w:tcW w:w="393" w:type="pct"/>
            <w:shd w:val="clear" w:color="auto" w:fill="D9D9D9" w:themeFill="background1" w:themeFillShade="D9"/>
            <w:vAlign w:val="center"/>
            <w:hideMark/>
          </w:tcPr>
          <w:p w14:paraId="448A98F3"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19.021</w:t>
            </w:r>
          </w:p>
        </w:tc>
        <w:tc>
          <w:tcPr>
            <w:tcW w:w="462" w:type="pct"/>
            <w:shd w:val="clear" w:color="000000" w:fill="FFFFFF"/>
            <w:vAlign w:val="center"/>
            <w:hideMark/>
          </w:tcPr>
          <w:p w14:paraId="141A83B0"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-1,1</w:t>
            </w:r>
          </w:p>
        </w:tc>
        <w:tc>
          <w:tcPr>
            <w:tcW w:w="452" w:type="pct"/>
            <w:shd w:val="clear" w:color="auto" w:fill="D9D9D9" w:themeFill="background1" w:themeFillShade="D9"/>
            <w:vAlign w:val="center"/>
            <w:hideMark/>
          </w:tcPr>
          <w:p w14:paraId="583AAF82"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+3,6</w:t>
            </w:r>
          </w:p>
        </w:tc>
        <w:tc>
          <w:tcPr>
            <w:tcW w:w="470" w:type="pct"/>
            <w:shd w:val="clear" w:color="000000" w:fill="FFFFFF"/>
            <w:vAlign w:val="center"/>
            <w:hideMark/>
          </w:tcPr>
          <w:p w14:paraId="5E6BED62"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+2,4</w:t>
            </w:r>
          </w:p>
        </w:tc>
        <w:tc>
          <w:tcPr>
            <w:tcW w:w="111" w:type="pct"/>
            <w:tcBorders>
              <w:top w:val="nil"/>
              <w:bottom w:val="nil"/>
            </w:tcBorders>
            <w:shd w:val="clear" w:color="auto" w:fill="FFFFFF" w:themeFill="background1"/>
            <w:vAlign w:val="center"/>
            <w:hideMark/>
          </w:tcPr>
          <w:p w14:paraId="6D7EBCAA"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3218AD76"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24.808</w:t>
            </w:r>
          </w:p>
        </w:tc>
        <w:tc>
          <w:tcPr>
            <w:tcW w:w="487" w:type="pct"/>
            <w:shd w:val="clear" w:color="000000" w:fill="FFFFFF"/>
            <w:vAlign w:val="center"/>
            <w:hideMark/>
          </w:tcPr>
          <w:p w14:paraId="77C34A53"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+5,8</w:t>
            </w:r>
          </w:p>
        </w:tc>
        <w:tc>
          <w:tcPr>
            <w:tcW w:w="487" w:type="pct"/>
            <w:shd w:val="clear" w:color="auto" w:fill="D9D9D9" w:themeFill="background1" w:themeFillShade="D9"/>
            <w:vAlign w:val="center"/>
            <w:hideMark/>
          </w:tcPr>
          <w:p w14:paraId="1A0756C7"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+23,3</w:t>
            </w:r>
          </w:p>
        </w:tc>
        <w:tc>
          <w:tcPr>
            <w:tcW w:w="478" w:type="pct"/>
            <w:shd w:val="clear" w:color="auto" w:fill="FFFFFF" w:themeFill="background1"/>
            <w:vAlign w:val="center"/>
            <w:hideMark/>
          </w:tcPr>
          <w:p w14:paraId="2698D740"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+30,4</w:t>
            </w:r>
          </w:p>
        </w:tc>
      </w:tr>
      <w:tr w:rsidR="00CA0EC7" w:rsidRPr="00CA0EC7" w14:paraId="529E50E5" w14:textId="77777777" w:rsidTr="002E4CB4">
        <w:trPr>
          <w:trHeight w:val="238"/>
        </w:trPr>
        <w:tc>
          <w:tcPr>
            <w:tcW w:w="1267" w:type="pct"/>
            <w:shd w:val="clear" w:color="000000" w:fill="FFFFFF"/>
            <w:vAlign w:val="center"/>
            <w:hideMark/>
          </w:tcPr>
          <w:p w14:paraId="54CD3F1F" w14:textId="522E1012"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xml:space="preserve"> -</w:t>
            </w:r>
            <w:proofErr w:type="spellStart"/>
            <w:r w:rsidR="00E82BF5" w:rsidRPr="00E82BF5">
              <w:rPr>
                <w:rFonts w:ascii="Arial Narrow" w:eastAsia="Times New Roman" w:hAnsi="Arial Narrow" w:cs="Times New Roman"/>
                <w:sz w:val="16"/>
                <w:szCs w:val="16"/>
                <w:lang w:eastAsia="it-IT"/>
              </w:rPr>
              <w:t>Forage</w:t>
            </w:r>
            <w:proofErr w:type="spellEnd"/>
            <w:r w:rsidR="00E82BF5" w:rsidRPr="00E82BF5">
              <w:rPr>
                <w:rFonts w:ascii="Arial Narrow" w:eastAsia="Times New Roman" w:hAnsi="Arial Narrow" w:cs="Times New Roman"/>
                <w:sz w:val="16"/>
                <w:szCs w:val="16"/>
                <w:lang w:eastAsia="it-IT"/>
              </w:rPr>
              <w:t xml:space="preserve"> </w:t>
            </w:r>
            <w:proofErr w:type="spellStart"/>
            <w:r w:rsidR="00E82BF5" w:rsidRPr="00E82BF5">
              <w:rPr>
                <w:rFonts w:ascii="Arial Narrow" w:eastAsia="Times New Roman" w:hAnsi="Arial Narrow" w:cs="Times New Roman"/>
                <w:sz w:val="16"/>
                <w:szCs w:val="16"/>
                <w:lang w:eastAsia="it-IT"/>
              </w:rPr>
              <w:t>plants</w:t>
            </w:r>
            <w:proofErr w:type="spellEnd"/>
          </w:p>
        </w:tc>
        <w:tc>
          <w:tcPr>
            <w:tcW w:w="393" w:type="pct"/>
            <w:shd w:val="clear" w:color="auto" w:fill="D9D9D9" w:themeFill="background1" w:themeFillShade="D9"/>
            <w:vAlign w:val="center"/>
            <w:hideMark/>
          </w:tcPr>
          <w:p w14:paraId="60FB6B2A"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24.588</w:t>
            </w:r>
          </w:p>
        </w:tc>
        <w:tc>
          <w:tcPr>
            <w:tcW w:w="462" w:type="pct"/>
            <w:shd w:val="clear" w:color="000000" w:fill="FFFFFF"/>
            <w:vAlign w:val="center"/>
            <w:hideMark/>
          </w:tcPr>
          <w:p w14:paraId="284B2178"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+1,7</w:t>
            </w:r>
          </w:p>
        </w:tc>
        <w:tc>
          <w:tcPr>
            <w:tcW w:w="452" w:type="pct"/>
            <w:shd w:val="clear" w:color="auto" w:fill="D9D9D9" w:themeFill="background1" w:themeFillShade="D9"/>
            <w:vAlign w:val="center"/>
            <w:hideMark/>
          </w:tcPr>
          <w:p w14:paraId="654FD20E"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-3,3</w:t>
            </w:r>
          </w:p>
        </w:tc>
        <w:tc>
          <w:tcPr>
            <w:tcW w:w="470" w:type="pct"/>
            <w:shd w:val="clear" w:color="000000" w:fill="FFFFFF"/>
            <w:vAlign w:val="center"/>
            <w:hideMark/>
          </w:tcPr>
          <w:p w14:paraId="423A5EA5"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-1,6</w:t>
            </w:r>
          </w:p>
        </w:tc>
        <w:tc>
          <w:tcPr>
            <w:tcW w:w="111" w:type="pct"/>
            <w:tcBorders>
              <w:top w:val="nil"/>
              <w:bottom w:val="nil"/>
            </w:tcBorders>
            <w:shd w:val="clear" w:color="auto" w:fill="FFFFFF" w:themeFill="background1"/>
            <w:vAlign w:val="center"/>
            <w:hideMark/>
          </w:tcPr>
          <w:p w14:paraId="544DA792"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42227EC1"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25.000</w:t>
            </w:r>
          </w:p>
        </w:tc>
        <w:tc>
          <w:tcPr>
            <w:tcW w:w="487" w:type="pct"/>
            <w:shd w:val="clear" w:color="000000" w:fill="FFFFFF"/>
            <w:vAlign w:val="center"/>
            <w:hideMark/>
          </w:tcPr>
          <w:p w14:paraId="40658F79"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+0,8</w:t>
            </w:r>
          </w:p>
        </w:tc>
        <w:tc>
          <w:tcPr>
            <w:tcW w:w="487" w:type="pct"/>
            <w:shd w:val="clear" w:color="auto" w:fill="D9D9D9" w:themeFill="background1" w:themeFillShade="D9"/>
            <w:vAlign w:val="center"/>
            <w:hideMark/>
          </w:tcPr>
          <w:p w14:paraId="133DFB3D"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+0,8</w:t>
            </w:r>
          </w:p>
        </w:tc>
        <w:tc>
          <w:tcPr>
            <w:tcW w:w="478" w:type="pct"/>
            <w:shd w:val="clear" w:color="auto" w:fill="FFFFFF" w:themeFill="background1"/>
            <w:vAlign w:val="center"/>
            <w:hideMark/>
          </w:tcPr>
          <w:p w14:paraId="4BDC0450"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+1,7</w:t>
            </w:r>
          </w:p>
        </w:tc>
      </w:tr>
      <w:tr w:rsidR="00CA0EC7" w:rsidRPr="00CA0EC7" w14:paraId="6F17C51E" w14:textId="77777777" w:rsidTr="002E4CB4">
        <w:trPr>
          <w:trHeight w:val="238"/>
        </w:trPr>
        <w:tc>
          <w:tcPr>
            <w:tcW w:w="1267" w:type="pct"/>
            <w:shd w:val="clear" w:color="auto" w:fill="auto"/>
            <w:vAlign w:val="center"/>
            <w:hideMark/>
          </w:tcPr>
          <w:p w14:paraId="1E92473F" w14:textId="28A6D61B"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xml:space="preserve"> -</w:t>
            </w:r>
            <w:proofErr w:type="spellStart"/>
            <w:r w:rsidR="00E82BF5" w:rsidRPr="00E82BF5">
              <w:rPr>
                <w:rFonts w:ascii="Arial Narrow" w:eastAsia="Times New Roman" w:hAnsi="Arial Narrow" w:cs="Times New Roman"/>
                <w:sz w:val="16"/>
                <w:szCs w:val="16"/>
                <w:lang w:eastAsia="it-IT"/>
              </w:rPr>
              <w:t>Vegetables</w:t>
            </w:r>
            <w:proofErr w:type="spellEnd"/>
            <w:r w:rsidR="00E82BF5" w:rsidRPr="00E82BF5">
              <w:rPr>
                <w:rFonts w:ascii="Arial Narrow" w:eastAsia="Times New Roman" w:hAnsi="Arial Narrow" w:cs="Times New Roman"/>
                <w:sz w:val="16"/>
                <w:szCs w:val="16"/>
                <w:lang w:eastAsia="it-IT"/>
              </w:rPr>
              <w:t xml:space="preserve"> and </w:t>
            </w:r>
            <w:proofErr w:type="spellStart"/>
            <w:r w:rsidR="00E82BF5" w:rsidRPr="00E82BF5">
              <w:rPr>
                <w:rFonts w:ascii="Arial Narrow" w:eastAsia="Times New Roman" w:hAnsi="Arial Narrow" w:cs="Times New Roman"/>
                <w:sz w:val="16"/>
                <w:szCs w:val="16"/>
                <w:lang w:eastAsia="it-IT"/>
              </w:rPr>
              <w:t>horticultural</w:t>
            </w:r>
            <w:proofErr w:type="spellEnd"/>
            <w:r w:rsidR="00E82BF5" w:rsidRPr="00E82BF5">
              <w:rPr>
                <w:rFonts w:ascii="Arial Narrow" w:eastAsia="Times New Roman" w:hAnsi="Arial Narrow" w:cs="Times New Roman"/>
                <w:sz w:val="16"/>
                <w:szCs w:val="16"/>
                <w:lang w:eastAsia="it-IT"/>
              </w:rPr>
              <w:t xml:space="preserve"> products</w:t>
            </w:r>
          </w:p>
        </w:tc>
        <w:tc>
          <w:tcPr>
            <w:tcW w:w="393" w:type="pct"/>
            <w:shd w:val="clear" w:color="auto" w:fill="D9D9D9" w:themeFill="background1" w:themeFillShade="D9"/>
            <w:vAlign w:val="center"/>
            <w:hideMark/>
          </w:tcPr>
          <w:p w14:paraId="6CC3FE7F"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57.234</w:t>
            </w:r>
          </w:p>
        </w:tc>
        <w:tc>
          <w:tcPr>
            <w:tcW w:w="462" w:type="pct"/>
            <w:shd w:val="clear" w:color="000000" w:fill="FFFFFF"/>
            <w:vAlign w:val="center"/>
            <w:hideMark/>
          </w:tcPr>
          <w:p w14:paraId="36073A56"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-0,4</w:t>
            </w:r>
          </w:p>
        </w:tc>
        <w:tc>
          <w:tcPr>
            <w:tcW w:w="452" w:type="pct"/>
            <w:shd w:val="clear" w:color="auto" w:fill="D9D9D9" w:themeFill="background1" w:themeFillShade="D9"/>
            <w:vAlign w:val="center"/>
            <w:hideMark/>
          </w:tcPr>
          <w:p w14:paraId="4E55B3CF"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+0,2</w:t>
            </w:r>
          </w:p>
        </w:tc>
        <w:tc>
          <w:tcPr>
            <w:tcW w:w="470" w:type="pct"/>
            <w:shd w:val="clear" w:color="000000" w:fill="FFFFFF"/>
            <w:vAlign w:val="center"/>
            <w:hideMark/>
          </w:tcPr>
          <w:p w14:paraId="48DFD960"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-0,2</w:t>
            </w:r>
          </w:p>
        </w:tc>
        <w:tc>
          <w:tcPr>
            <w:tcW w:w="111" w:type="pct"/>
            <w:tcBorders>
              <w:top w:val="nil"/>
              <w:bottom w:val="nil"/>
            </w:tcBorders>
            <w:shd w:val="clear" w:color="auto" w:fill="FFFFFF" w:themeFill="background1"/>
            <w:vAlign w:val="center"/>
            <w:hideMark/>
          </w:tcPr>
          <w:p w14:paraId="4EA31529"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616FA534"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60.609</w:t>
            </w:r>
          </w:p>
        </w:tc>
        <w:tc>
          <w:tcPr>
            <w:tcW w:w="487" w:type="pct"/>
            <w:shd w:val="clear" w:color="000000" w:fill="FFFFFF"/>
            <w:vAlign w:val="center"/>
            <w:hideMark/>
          </w:tcPr>
          <w:p w14:paraId="13219788"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+0,0</w:t>
            </w:r>
          </w:p>
        </w:tc>
        <w:tc>
          <w:tcPr>
            <w:tcW w:w="487" w:type="pct"/>
            <w:shd w:val="clear" w:color="auto" w:fill="D9D9D9" w:themeFill="background1" w:themeFillShade="D9"/>
            <w:vAlign w:val="center"/>
            <w:hideMark/>
          </w:tcPr>
          <w:p w14:paraId="0ABEF581"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+5,9</w:t>
            </w:r>
          </w:p>
        </w:tc>
        <w:tc>
          <w:tcPr>
            <w:tcW w:w="478" w:type="pct"/>
            <w:shd w:val="clear" w:color="auto" w:fill="FFFFFF" w:themeFill="background1"/>
            <w:vAlign w:val="center"/>
            <w:hideMark/>
          </w:tcPr>
          <w:p w14:paraId="5ADD1913"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+5,9</w:t>
            </w:r>
          </w:p>
        </w:tc>
      </w:tr>
      <w:tr w:rsidR="00CA0EC7" w:rsidRPr="00CA0EC7" w14:paraId="754BBFFA" w14:textId="77777777" w:rsidTr="002E4CB4">
        <w:trPr>
          <w:trHeight w:val="238"/>
        </w:trPr>
        <w:tc>
          <w:tcPr>
            <w:tcW w:w="1267" w:type="pct"/>
            <w:shd w:val="clear" w:color="000000" w:fill="FFFFFF"/>
            <w:vAlign w:val="center"/>
            <w:hideMark/>
          </w:tcPr>
          <w:p w14:paraId="7DF1FA38" w14:textId="444FADEF" w:rsidR="00CA0EC7" w:rsidRPr="00E82BF5" w:rsidRDefault="00CA0EC7" w:rsidP="00CC5A95">
            <w:pPr>
              <w:widowControl/>
              <w:autoSpaceDE/>
              <w:autoSpaceDN/>
              <w:spacing w:before="40" w:after="20"/>
              <w:rPr>
                <w:rFonts w:ascii="Arial Narrow" w:eastAsia="Times New Roman" w:hAnsi="Arial Narrow" w:cs="Times New Roman"/>
                <w:i/>
                <w:iCs/>
                <w:sz w:val="16"/>
                <w:szCs w:val="16"/>
                <w:lang w:val="en-US" w:eastAsia="it-IT"/>
              </w:rPr>
            </w:pPr>
            <w:r w:rsidRPr="00E82BF5">
              <w:rPr>
                <w:rFonts w:ascii="Arial Narrow" w:eastAsia="Times New Roman" w:hAnsi="Arial Narrow" w:cs="Times New Roman"/>
                <w:i/>
                <w:iCs/>
                <w:sz w:val="16"/>
                <w:szCs w:val="16"/>
                <w:lang w:val="en-US" w:eastAsia="it-IT"/>
              </w:rPr>
              <w:t xml:space="preserve">   </w:t>
            </w:r>
            <w:r w:rsidR="00E82BF5" w:rsidRPr="00E82BF5">
              <w:rPr>
                <w:rFonts w:ascii="Arial Narrow" w:eastAsia="Times New Roman" w:hAnsi="Arial Narrow" w:cs="Times New Roman"/>
                <w:i/>
                <w:iCs/>
                <w:sz w:val="16"/>
                <w:szCs w:val="16"/>
                <w:lang w:val="en-US" w:eastAsia="it-IT"/>
              </w:rPr>
              <w:t xml:space="preserve">of which </w:t>
            </w:r>
            <w:r w:rsidR="00191673">
              <w:rPr>
                <w:rFonts w:ascii="Arial Narrow" w:eastAsia="Times New Roman" w:hAnsi="Arial Narrow" w:cs="Times New Roman"/>
                <w:i/>
                <w:iCs/>
                <w:sz w:val="16"/>
                <w:szCs w:val="16"/>
                <w:lang w:val="en-US" w:eastAsia="it-IT"/>
              </w:rPr>
              <w:t>p</w:t>
            </w:r>
            <w:r w:rsidR="00191673" w:rsidRPr="00191673">
              <w:rPr>
                <w:rFonts w:ascii="Arial Narrow" w:eastAsia="Times New Roman" w:hAnsi="Arial Narrow" w:cs="Times New Roman"/>
                <w:i/>
                <w:iCs/>
                <w:sz w:val="16"/>
                <w:szCs w:val="16"/>
                <w:lang w:val="en-US" w:eastAsia="it-IT"/>
              </w:rPr>
              <w:t>lants and flowers</w:t>
            </w:r>
          </w:p>
        </w:tc>
        <w:tc>
          <w:tcPr>
            <w:tcW w:w="393" w:type="pct"/>
            <w:shd w:val="clear" w:color="auto" w:fill="D9D9D9" w:themeFill="background1" w:themeFillShade="D9"/>
            <w:vAlign w:val="center"/>
            <w:hideMark/>
          </w:tcPr>
          <w:p w14:paraId="47192CF5" w14:textId="77777777" w:rsidR="00CA0EC7" w:rsidRPr="00CA0EC7" w:rsidRDefault="00CA0EC7" w:rsidP="00CC5A95">
            <w:pPr>
              <w:widowControl/>
              <w:autoSpaceDE/>
              <w:autoSpaceDN/>
              <w:spacing w:before="40" w:after="20"/>
              <w:jc w:val="right"/>
              <w:rPr>
                <w:rFonts w:ascii="Arial Narrow" w:eastAsia="Times New Roman" w:hAnsi="Arial Narrow" w:cs="Times New Roman"/>
                <w:i/>
                <w:iCs/>
                <w:sz w:val="16"/>
                <w:szCs w:val="16"/>
                <w:lang w:eastAsia="it-IT"/>
              </w:rPr>
            </w:pPr>
            <w:r w:rsidRPr="00CA0EC7">
              <w:rPr>
                <w:rFonts w:ascii="Arial Narrow" w:eastAsia="Times New Roman" w:hAnsi="Arial Narrow" w:cs="Times New Roman"/>
                <w:i/>
                <w:iCs/>
                <w:sz w:val="16"/>
                <w:szCs w:val="16"/>
                <w:lang w:eastAsia="it-IT"/>
              </w:rPr>
              <w:t>21.857</w:t>
            </w:r>
          </w:p>
        </w:tc>
        <w:tc>
          <w:tcPr>
            <w:tcW w:w="462" w:type="pct"/>
            <w:shd w:val="clear" w:color="000000" w:fill="FFFFFF"/>
            <w:vAlign w:val="center"/>
            <w:hideMark/>
          </w:tcPr>
          <w:p w14:paraId="2BDE7B29"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-2,4</w:t>
            </w:r>
          </w:p>
        </w:tc>
        <w:tc>
          <w:tcPr>
            <w:tcW w:w="452" w:type="pct"/>
            <w:shd w:val="clear" w:color="auto" w:fill="D9D9D9" w:themeFill="background1" w:themeFillShade="D9"/>
            <w:vAlign w:val="center"/>
            <w:hideMark/>
          </w:tcPr>
          <w:p w14:paraId="1127AAAA"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+3,3</w:t>
            </w:r>
          </w:p>
        </w:tc>
        <w:tc>
          <w:tcPr>
            <w:tcW w:w="470" w:type="pct"/>
            <w:shd w:val="clear" w:color="000000" w:fill="FFFFFF"/>
            <w:vAlign w:val="center"/>
            <w:hideMark/>
          </w:tcPr>
          <w:p w14:paraId="39CAFC46"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+0,8</w:t>
            </w:r>
          </w:p>
        </w:tc>
        <w:tc>
          <w:tcPr>
            <w:tcW w:w="111" w:type="pct"/>
            <w:tcBorders>
              <w:top w:val="nil"/>
              <w:bottom w:val="nil"/>
            </w:tcBorders>
            <w:shd w:val="clear" w:color="auto" w:fill="FFFFFF" w:themeFill="background1"/>
            <w:vAlign w:val="center"/>
            <w:hideMark/>
          </w:tcPr>
          <w:p w14:paraId="3B3CCBF7" w14:textId="77777777" w:rsidR="00CA0EC7" w:rsidRPr="00CA0EC7" w:rsidRDefault="00CA0EC7" w:rsidP="00CC5A95">
            <w:pPr>
              <w:widowControl/>
              <w:autoSpaceDE/>
              <w:autoSpaceDN/>
              <w:spacing w:before="40" w:after="20"/>
              <w:rPr>
                <w:rFonts w:ascii="Arial Narrow" w:eastAsia="Times New Roman" w:hAnsi="Arial Narrow" w:cs="Times New Roman"/>
                <w:i/>
                <w:iCs/>
                <w:sz w:val="16"/>
                <w:szCs w:val="16"/>
                <w:lang w:eastAsia="it-IT"/>
              </w:rPr>
            </w:pPr>
            <w:r w:rsidRPr="00CA0EC7">
              <w:rPr>
                <w:rFonts w:ascii="Arial Narrow" w:eastAsia="Times New Roman" w:hAnsi="Arial Narrow" w:cs="Times New Roman"/>
                <w:i/>
                <w:iCs/>
                <w:sz w:val="16"/>
                <w:szCs w:val="16"/>
                <w:lang w:eastAsia="it-IT"/>
              </w:rPr>
              <w:t> </w:t>
            </w:r>
          </w:p>
        </w:tc>
        <w:tc>
          <w:tcPr>
            <w:tcW w:w="393" w:type="pct"/>
            <w:shd w:val="clear" w:color="auto" w:fill="D9D9D9" w:themeFill="background1" w:themeFillShade="D9"/>
            <w:vAlign w:val="center"/>
            <w:hideMark/>
          </w:tcPr>
          <w:p w14:paraId="2669A7F6" w14:textId="77777777" w:rsidR="00CA0EC7" w:rsidRPr="00CA0EC7" w:rsidRDefault="00CA0EC7" w:rsidP="00CC5A95">
            <w:pPr>
              <w:widowControl/>
              <w:autoSpaceDE/>
              <w:autoSpaceDN/>
              <w:spacing w:before="40" w:after="20"/>
              <w:jc w:val="right"/>
              <w:rPr>
                <w:rFonts w:ascii="Arial Narrow" w:eastAsia="Times New Roman" w:hAnsi="Arial Narrow" w:cs="Times New Roman"/>
                <w:i/>
                <w:iCs/>
                <w:sz w:val="16"/>
                <w:szCs w:val="16"/>
                <w:lang w:eastAsia="it-IT"/>
              </w:rPr>
            </w:pPr>
            <w:r w:rsidRPr="00CA0EC7">
              <w:rPr>
                <w:rFonts w:ascii="Arial Narrow" w:eastAsia="Times New Roman" w:hAnsi="Arial Narrow" w:cs="Times New Roman"/>
                <w:i/>
                <w:iCs/>
                <w:sz w:val="16"/>
                <w:szCs w:val="16"/>
                <w:lang w:eastAsia="it-IT"/>
              </w:rPr>
              <w:t>23.637</w:t>
            </w:r>
          </w:p>
        </w:tc>
        <w:tc>
          <w:tcPr>
            <w:tcW w:w="487" w:type="pct"/>
            <w:shd w:val="clear" w:color="000000" w:fill="FFFFFF"/>
            <w:vAlign w:val="center"/>
            <w:hideMark/>
          </w:tcPr>
          <w:p w14:paraId="3E5D4B0E" w14:textId="77777777" w:rsidR="00CA0EC7" w:rsidRPr="00CA0EC7" w:rsidRDefault="00CA0EC7" w:rsidP="00CC5A95">
            <w:pPr>
              <w:widowControl/>
              <w:autoSpaceDE/>
              <w:autoSpaceDN/>
              <w:spacing w:before="40" w:after="20"/>
              <w:jc w:val="right"/>
              <w:rPr>
                <w:rFonts w:ascii="Arial Narrow" w:eastAsia="Times New Roman" w:hAnsi="Arial Narrow" w:cs="Times New Roman"/>
                <w:i/>
                <w:iCs/>
                <w:sz w:val="16"/>
                <w:szCs w:val="16"/>
                <w:lang w:eastAsia="it-IT"/>
              </w:rPr>
            </w:pPr>
            <w:r w:rsidRPr="00CA0EC7">
              <w:rPr>
                <w:rFonts w:ascii="Arial Narrow" w:eastAsia="Times New Roman" w:hAnsi="Arial Narrow" w:cs="Times New Roman"/>
                <w:i/>
                <w:iCs/>
                <w:sz w:val="16"/>
                <w:szCs w:val="16"/>
                <w:lang w:eastAsia="it-IT"/>
              </w:rPr>
              <w:t>-0,3</w:t>
            </w:r>
          </w:p>
        </w:tc>
        <w:tc>
          <w:tcPr>
            <w:tcW w:w="487" w:type="pct"/>
            <w:shd w:val="clear" w:color="auto" w:fill="D9D9D9" w:themeFill="background1" w:themeFillShade="D9"/>
            <w:vAlign w:val="center"/>
            <w:hideMark/>
          </w:tcPr>
          <w:p w14:paraId="1C1524E4" w14:textId="77777777" w:rsidR="00CA0EC7" w:rsidRPr="00CA0EC7" w:rsidRDefault="00CA0EC7" w:rsidP="00CC5A95">
            <w:pPr>
              <w:widowControl/>
              <w:autoSpaceDE/>
              <w:autoSpaceDN/>
              <w:spacing w:before="40" w:after="20"/>
              <w:jc w:val="right"/>
              <w:rPr>
                <w:rFonts w:ascii="Arial Narrow" w:eastAsia="Times New Roman" w:hAnsi="Arial Narrow" w:cs="Times New Roman"/>
                <w:i/>
                <w:iCs/>
                <w:sz w:val="16"/>
                <w:szCs w:val="16"/>
                <w:lang w:eastAsia="it-IT"/>
              </w:rPr>
            </w:pPr>
            <w:r w:rsidRPr="00CA0EC7">
              <w:rPr>
                <w:rFonts w:ascii="Arial Narrow" w:eastAsia="Times New Roman" w:hAnsi="Arial Narrow" w:cs="Times New Roman"/>
                <w:i/>
                <w:iCs/>
                <w:sz w:val="16"/>
                <w:szCs w:val="16"/>
                <w:lang w:eastAsia="it-IT"/>
              </w:rPr>
              <w:t>+8,5</w:t>
            </w:r>
          </w:p>
        </w:tc>
        <w:tc>
          <w:tcPr>
            <w:tcW w:w="478" w:type="pct"/>
            <w:shd w:val="clear" w:color="auto" w:fill="FFFFFF" w:themeFill="background1"/>
            <w:vAlign w:val="center"/>
            <w:hideMark/>
          </w:tcPr>
          <w:p w14:paraId="7234F945" w14:textId="77777777" w:rsidR="00CA0EC7" w:rsidRPr="00CA0EC7" w:rsidRDefault="00CA0EC7" w:rsidP="00CC5A95">
            <w:pPr>
              <w:widowControl/>
              <w:autoSpaceDE/>
              <w:autoSpaceDN/>
              <w:spacing w:before="40" w:after="20"/>
              <w:jc w:val="right"/>
              <w:rPr>
                <w:rFonts w:ascii="Arial Narrow" w:eastAsia="Times New Roman" w:hAnsi="Arial Narrow" w:cs="Times New Roman"/>
                <w:i/>
                <w:iCs/>
                <w:sz w:val="16"/>
                <w:szCs w:val="16"/>
                <w:lang w:eastAsia="it-IT"/>
              </w:rPr>
            </w:pPr>
            <w:r w:rsidRPr="00CA0EC7">
              <w:rPr>
                <w:rFonts w:ascii="Arial Narrow" w:eastAsia="Times New Roman" w:hAnsi="Arial Narrow" w:cs="Times New Roman"/>
                <w:i/>
                <w:iCs/>
                <w:sz w:val="16"/>
                <w:szCs w:val="16"/>
                <w:lang w:eastAsia="it-IT"/>
              </w:rPr>
              <w:t>+8,2</w:t>
            </w:r>
          </w:p>
        </w:tc>
      </w:tr>
      <w:tr w:rsidR="00CA0EC7" w:rsidRPr="00CA0EC7" w14:paraId="0D5E8850" w14:textId="77777777" w:rsidTr="002E4CB4">
        <w:trPr>
          <w:trHeight w:val="238"/>
        </w:trPr>
        <w:tc>
          <w:tcPr>
            <w:tcW w:w="1267" w:type="pct"/>
            <w:shd w:val="clear" w:color="auto" w:fill="auto"/>
            <w:vAlign w:val="center"/>
            <w:hideMark/>
          </w:tcPr>
          <w:p w14:paraId="7610DA05" w14:textId="36848D82"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xml:space="preserve"> -</w:t>
            </w:r>
            <w:proofErr w:type="spellStart"/>
            <w:r w:rsidR="00E82BF5" w:rsidRPr="00E82BF5">
              <w:rPr>
                <w:rFonts w:ascii="Arial Narrow" w:eastAsia="Times New Roman" w:hAnsi="Arial Narrow" w:cs="Times New Roman"/>
                <w:sz w:val="16"/>
                <w:szCs w:val="16"/>
                <w:lang w:eastAsia="it-IT"/>
              </w:rPr>
              <w:t>Potatoes</w:t>
            </w:r>
            <w:proofErr w:type="spellEnd"/>
          </w:p>
        </w:tc>
        <w:tc>
          <w:tcPr>
            <w:tcW w:w="393" w:type="pct"/>
            <w:shd w:val="clear" w:color="auto" w:fill="D9D9D9" w:themeFill="background1" w:themeFillShade="D9"/>
            <w:vAlign w:val="center"/>
            <w:hideMark/>
          </w:tcPr>
          <w:p w14:paraId="7F88E9EC"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12.444</w:t>
            </w:r>
          </w:p>
        </w:tc>
        <w:tc>
          <w:tcPr>
            <w:tcW w:w="462" w:type="pct"/>
            <w:shd w:val="clear" w:color="000000" w:fill="FFFFFF"/>
            <w:vAlign w:val="center"/>
            <w:hideMark/>
          </w:tcPr>
          <w:p w14:paraId="42830988"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+7,1</w:t>
            </w:r>
          </w:p>
        </w:tc>
        <w:tc>
          <w:tcPr>
            <w:tcW w:w="452" w:type="pct"/>
            <w:shd w:val="clear" w:color="auto" w:fill="D9D9D9" w:themeFill="background1" w:themeFillShade="D9"/>
            <w:vAlign w:val="center"/>
            <w:hideMark/>
          </w:tcPr>
          <w:p w14:paraId="3811778E"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-20,8</w:t>
            </w:r>
          </w:p>
        </w:tc>
        <w:tc>
          <w:tcPr>
            <w:tcW w:w="470" w:type="pct"/>
            <w:shd w:val="clear" w:color="000000" w:fill="FFFFFF"/>
            <w:vAlign w:val="center"/>
            <w:hideMark/>
          </w:tcPr>
          <w:p w14:paraId="11245190"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-15,2</w:t>
            </w:r>
          </w:p>
        </w:tc>
        <w:tc>
          <w:tcPr>
            <w:tcW w:w="111" w:type="pct"/>
            <w:tcBorders>
              <w:top w:val="nil"/>
              <w:bottom w:val="nil"/>
            </w:tcBorders>
            <w:shd w:val="clear" w:color="auto" w:fill="FFFFFF" w:themeFill="background1"/>
            <w:vAlign w:val="center"/>
            <w:hideMark/>
          </w:tcPr>
          <w:p w14:paraId="3959C606"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440E9D4F"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12.004</w:t>
            </w:r>
          </w:p>
        </w:tc>
        <w:tc>
          <w:tcPr>
            <w:tcW w:w="487" w:type="pct"/>
            <w:shd w:val="clear" w:color="000000" w:fill="FFFFFF"/>
            <w:vAlign w:val="center"/>
            <w:hideMark/>
          </w:tcPr>
          <w:p w14:paraId="7FB5C453"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-6,5</w:t>
            </w:r>
          </w:p>
        </w:tc>
        <w:tc>
          <w:tcPr>
            <w:tcW w:w="487" w:type="pct"/>
            <w:shd w:val="clear" w:color="auto" w:fill="D9D9D9" w:themeFill="background1" w:themeFillShade="D9"/>
            <w:vAlign w:val="center"/>
            <w:hideMark/>
          </w:tcPr>
          <w:p w14:paraId="7B39A22E"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+3,1</w:t>
            </w:r>
          </w:p>
        </w:tc>
        <w:tc>
          <w:tcPr>
            <w:tcW w:w="478" w:type="pct"/>
            <w:shd w:val="clear" w:color="auto" w:fill="FFFFFF" w:themeFill="background1"/>
            <w:vAlign w:val="center"/>
            <w:hideMark/>
          </w:tcPr>
          <w:p w14:paraId="6D0FACA1"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-3,5</w:t>
            </w:r>
          </w:p>
        </w:tc>
      </w:tr>
      <w:tr w:rsidR="00CA0EC7" w:rsidRPr="00CA0EC7" w14:paraId="2F924A3D" w14:textId="77777777" w:rsidTr="002E4CB4">
        <w:trPr>
          <w:trHeight w:val="238"/>
        </w:trPr>
        <w:tc>
          <w:tcPr>
            <w:tcW w:w="1267" w:type="pct"/>
            <w:shd w:val="clear" w:color="000000" w:fill="FFFFFF"/>
            <w:vAlign w:val="center"/>
            <w:hideMark/>
          </w:tcPr>
          <w:p w14:paraId="7EA02738" w14:textId="3ED3515C"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xml:space="preserve"> -</w:t>
            </w:r>
            <w:r w:rsidR="00E82BF5" w:rsidRPr="00E82BF5">
              <w:rPr>
                <w:rFonts w:ascii="Arial Narrow" w:eastAsia="Times New Roman" w:hAnsi="Arial Narrow" w:cs="Times New Roman"/>
                <w:sz w:val="16"/>
                <w:szCs w:val="16"/>
                <w:lang w:eastAsia="it-IT"/>
              </w:rPr>
              <w:t>Fruit</w:t>
            </w:r>
            <w:r w:rsidR="00191673">
              <w:rPr>
                <w:rFonts w:ascii="Arial Narrow" w:eastAsia="Times New Roman" w:hAnsi="Arial Narrow" w:cs="Times New Roman"/>
                <w:sz w:val="16"/>
                <w:szCs w:val="16"/>
                <w:lang w:eastAsia="it-IT"/>
              </w:rPr>
              <w:t>a</w:t>
            </w:r>
          </w:p>
        </w:tc>
        <w:tc>
          <w:tcPr>
            <w:tcW w:w="393" w:type="pct"/>
            <w:shd w:val="clear" w:color="auto" w:fill="D9D9D9" w:themeFill="background1" w:themeFillShade="D9"/>
            <w:vAlign w:val="center"/>
            <w:hideMark/>
          </w:tcPr>
          <w:p w14:paraId="610D9E75"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30.441</w:t>
            </w:r>
          </w:p>
        </w:tc>
        <w:tc>
          <w:tcPr>
            <w:tcW w:w="462" w:type="pct"/>
            <w:shd w:val="clear" w:color="000000" w:fill="FFFFFF"/>
            <w:vAlign w:val="center"/>
            <w:hideMark/>
          </w:tcPr>
          <w:p w14:paraId="6284C5F2"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+0,9</w:t>
            </w:r>
          </w:p>
        </w:tc>
        <w:tc>
          <w:tcPr>
            <w:tcW w:w="452" w:type="pct"/>
            <w:shd w:val="clear" w:color="auto" w:fill="D9D9D9" w:themeFill="background1" w:themeFillShade="D9"/>
            <w:vAlign w:val="center"/>
            <w:hideMark/>
          </w:tcPr>
          <w:p w14:paraId="1AAAADC8"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+9,4</w:t>
            </w:r>
          </w:p>
        </w:tc>
        <w:tc>
          <w:tcPr>
            <w:tcW w:w="470" w:type="pct"/>
            <w:shd w:val="clear" w:color="000000" w:fill="FFFFFF"/>
            <w:vAlign w:val="center"/>
            <w:hideMark/>
          </w:tcPr>
          <w:p w14:paraId="20D99578"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+10,4</w:t>
            </w:r>
          </w:p>
        </w:tc>
        <w:tc>
          <w:tcPr>
            <w:tcW w:w="111" w:type="pct"/>
            <w:tcBorders>
              <w:top w:val="nil"/>
              <w:bottom w:val="nil"/>
            </w:tcBorders>
            <w:shd w:val="clear" w:color="auto" w:fill="FFFFFF" w:themeFill="background1"/>
            <w:vAlign w:val="center"/>
            <w:hideMark/>
          </w:tcPr>
          <w:p w14:paraId="5647DED4"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1E3C5ABC"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29.301</w:t>
            </w:r>
          </w:p>
        </w:tc>
        <w:tc>
          <w:tcPr>
            <w:tcW w:w="487" w:type="pct"/>
            <w:shd w:val="clear" w:color="000000" w:fill="FFFFFF"/>
            <w:vAlign w:val="center"/>
            <w:hideMark/>
          </w:tcPr>
          <w:p w14:paraId="0C71B179"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-4,9</w:t>
            </w:r>
          </w:p>
        </w:tc>
        <w:tc>
          <w:tcPr>
            <w:tcW w:w="487" w:type="pct"/>
            <w:shd w:val="clear" w:color="auto" w:fill="D9D9D9" w:themeFill="background1" w:themeFillShade="D9"/>
            <w:vAlign w:val="center"/>
            <w:hideMark/>
          </w:tcPr>
          <w:p w14:paraId="00B213E7"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+1,2</w:t>
            </w:r>
          </w:p>
        </w:tc>
        <w:tc>
          <w:tcPr>
            <w:tcW w:w="478" w:type="pct"/>
            <w:shd w:val="clear" w:color="auto" w:fill="FFFFFF" w:themeFill="background1"/>
            <w:vAlign w:val="center"/>
            <w:hideMark/>
          </w:tcPr>
          <w:p w14:paraId="4AB22716"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-3,7</w:t>
            </w:r>
          </w:p>
        </w:tc>
      </w:tr>
      <w:tr w:rsidR="00CA0EC7" w:rsidRPr="00CA0EC7" w14:paraId="3774EDE5" w14:textId="77777777" w:rsidTr="002E4CB4">
        <w:trPr>
          <w:trHeight w:val="238"/>
        </w:trPr>
        <w:tc>
          <w:tcPr>
            <w:tcW w:w="1267" w:type="pct"/>
            <w:shd w:val="clear" w:color="auto" w:fill="auto"/>
            <w:vAlign w:val="center"/>
            <w:hideMark/>
          </w:tcPr>
          <w:p w14:paraId="1A36E3E6" w14:textId="2C93F8B0"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xml:space="preserve"> -</w:t>
            </w:r>
            <w:r w:rsidR="00191673">
              <w:rPr>
                <w:rFonts w:ascii="Arial Narrow" w:eastAsia="Times New Roman" w:hAnsi="Arial Narrow" w:cs="Times New Roman"/>
                <w:sz w:val="16"/>
                <w:szCs w:val="16"/>
                <w:lang w:eastAsia="it-IT"/>
              </w:rPr>
              <w:t>Wine</w:t>
            </w:r>
          </w:p>
        </w:tc>
        <w:tc>
          <w:tcPr>
            <w:tcW w:w="393" w:type="pct"/>
            <w:shd w:val="clear" w:color="auto" w:fill="D9D9D9" w:themeFill="background1" w:themeFillShade="D9"/>
            <w:vAlign w:val="center"/>
            <w:hideMark/>
          </w:tcPr>
          <w:p w14:paraId="46D1AAF2"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22.669</w:t>
            </w:r>
          </w:p>
        </w:tc>
        <w:tc>
          <w:tcPr>
            <w:tcW w:w="462" w:type="pct"/>
            <w:shd w:val="clear" w:color="000000" w:fill="FFFFFF"/>
            <w:vAlign w:val="center"/>
            <w:hideMark/>
          </w:tcPr>
          <w:p w14:paraId="7497EF2F"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+0,2</w:t>
            </w:r>
          </w:p>
        </w:tc>
        <w:tc>
          <w:tcPr>
            <w:tcW w:w="452" w:type="pct"/>
            <w:shd w:val="clear" w:color="auto" w:fill="D9D9D9" w:themeFill="background1" w:themeFillShade="D9"/>
            <w:vAlign w:val="center"/>
            <w:hideMark/>
          </w:tcPr>
          <w:p w14:paraId="03BFE626"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-3,4</w:t>
            </w:r>
          </w:p>
        </w:tc>
        <w:tc>
          <w:tcPr>
            <w:tcW w:w="470" w:type="pct"/>
            <w:shd w:val="clear" w:color="000000" w:fill="FFFFFF"/>
            <w:vAlign w:val="center"/>
            <w:hideMark/>
          </w:tcPr>
          <w:p w14:paraId="73ECEDE2"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-3,2</w:t>
            </w:r>
          </w:p>
        </w:tc>
        <w:tc>
          <w:tcPr>
            <w:tcW w:w="111" w:type="pct"/>
            <w:tcBorders>
              <w:top w:val="nil"/>
              <w:bottom w:val="nil"/>
            </w:tcBorders>
            <w:shd w:val="clear" w:color="auto" w:fill="FFFFFF" w:themeFill="background1"/>
            <w:vAlign w:val="center"/>
            <w:hideMark/>
          </w:tcPr>
          <w:p w14:paraId="636EEC23"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3165F06E"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20.594</w:t>
            </w:r>
          </w:p>
        </w:tc>
        <w:tc>
          <w:tcPr>
            <w:tcW w:w="487" w:type="pct"/>
            <w:shd w:val="clear" w:color="000000" w:fill="FFFFFF"/>
            <w:vAlign w:val="center"/>
            <w:hideMark/>
          </w:tcPr>
          <w:p w14:paraId="2EC56D26"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-13,4</w:t>
            </w:r>
          </w:p>
        </w:tc>
        <w:tc>
          <w:tcPr>
            <w:tcW w:w="487" w:type="pct"/>
            <w:shd w:val="clear" w:color="auto" w:fill="D9D9D9" w:themeFill="background1" w:themeFillShade="D9"/>
            <w:vAlign w:val="center"/>
            <w:hideMark/>
          </w:tcPr>
          <w:p w14:paraId="66F925B1"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+5,0</w:t>
            </w:r>
          </w:p>
        </w:tc>
        <w:tc>
          <w:tcPr>
            <w:tcW w:w="478" w:type="pct"/>
            <w:shd w:val="clear" w:color="auto" w:fill="FFFFFF" w:themeFill="background1"/>
            <w:vAlign w:val="center"/>
            <w:hideMark/>
          </w:tcPr>
          <w:p w14:paraId="7F27DDCD"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-9,2</w:t>
            </w:r>
          </w:p>
        </w:tc>
      </w:tr>
      <w:tr w:rsidR="00CA0EC7" w:rsidRPr="00CA0EC7" w14:paraId="25CED883" w14:textId="77777777" w:rsidTr="002E4CB4">
        <w:trPr>
          <w:trHeight w:val="238"/>
        </w:trPr>
        <w:tc>
          <w:tcPr>
            <w:tcW w:w="1267" w:type="pct"/>
            <w:shd w:val="clear" w:color="000000" w:fill="FFFFFF"/>
            <w:vAlign w:val="center"/>
            <w:hideMark/>
          </w:tcPr>
          <w:p w14:paraId="1BD73DBD" w14:textId="5655B6B5"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xml:space="preserve"> -</w:t>
            </w:r>
            <w:r w:rsidR="00E82BF5" w:rsidRPr="00E82BF5">
              <w:rPr>
                <w:rFonts w:ascii="Arial Narrow" w:eastAsia="Times New Roman" w:hAnsi="Arial Narrow" w:cs="Times New Roman"/>
                <w:sz w:val="16"/>
                <w:szCs w:val="16"/>
                <w:lang w:eastAsia="it-IT"/>
              </w:rPr>
              <w:t xml:space="preserve">Olive </w:t>
            </w:r>
            <w:proofErr w:type="spellStart"/>
            <w:r w:rsidR="00E82BF5" w:rsidRPr="00E82BF5">
              <w:rPr>
                <w:rFonts w:ascii="Arial Narrow" w:eastAsia="Times New Roman" w:hAnsi="Arial Narrow" w:cs="Times New Roman"/>
                <w:sz w:val="16"/>
                <w:szCs w:val="16"/>
                <w:lang w:eastAsia="it-IT"/>
              </w:rPr>
              <w:t>oils</w:t>
            </w:r>
            <w:proofErr w:type="spellEnd"/>
          </w:p>
        </w:tc>
        <w:tc>
          <w:tcPr>
            <w:tcW w:w="393" w:type="pct"/>
            <w:shd w:val="clear" w:color="auto" w:fill="D9D9D9" w:themeFill="background1" w:themeFillShade="D9"/>
            <w:vAlign w:val="center"/>
            <w:hideMark/>
          </w:tcPr>
          <w:p w14:paraId="2B684371"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3.528</w:t>
            </w:r>
          </w:p>
        </w:tc>
        <w:tc>
          <w:tcPr>
            <w:tcW w:w="462" w:type="pct"/>
            <w:shd w:val="clear" w:color="000000" w:fill="FFFFFF"/>
            <w:vAlign w:val="center"/>
            <w:hideMark/>
          </w:tcPr>
          <w:p w14:paraId="59F02057"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-23,4</w:t>
            </w:r>
          </w:p>
        </w:tc>
        <w:tc>
          <w:tcPr>
            <w:tcW w:w="452" w:type="pct"/>
            <w:shd w:val="clear" w:color="auto" w:fill="D9D9D9" w:themeFill="background1" w:themeFillShade="D9"/>
            <w:vAlign w:val="center"/>
            <w:hideMark/>
          </w:tcPr>
          <w:p w14:paraId="6C157EB9"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-11,7</w:t>
            </w:r>
          </w:p>
        </w:tc>
        <w:tc>
          <w:tcPr>
            <w:tcW w:w="470" w:type="pct"/>
            <w:shd w:val="clear" w:color="000000" w:fill="FFFFFF"/>
            <w:vAlign w:val="center"/>
            <w:hideMark/>
          </w:tcPr>
          <w:p w14:paraId="0FAB663D"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-32,3</w:t>
            </w:r>
          </w:p>
        </w:tc>
        <w:tc>
          <w:tcPr>
            <w:tcW w:w="111" w:type="pct"/>
            <w:tcBorders>
              <w:top w:val="nil"/>
              <w:bottom w:val="nil"/>
            </w:tcBorders>
            <w:shd w:val="clear" w:color="auto" w:fill="FFFFFF" w:themeFill="background1"/>
            <w:vAlign w:val="center"/>
            <w:hideMark/>
          </w:tcPr>
          <w:p w14:paraId="3D7DDC58"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207AFFED"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5.049</w:t>
            </w:r>
          </w:p>
        </w:tc>
        <w:tc>
          <w:tcPr>
            <w:tcW w:w="487" w:type="pct"/>
            <w:shd w:val="clear" w:color="000000" w:fill="FFFFFF"/>
            <w:vAlign w:val="center"/>
            <w:hideMark/>
          </w:tcPr>
          <w:p w14:paraId="29B8E66A"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+13,3</w:t>
            </w:r>
          </w:p>
        </w:tc>
        <w:tc>
          <w:tcPr>
            <w:tcW w:w="487" w:type="pct"/>
            <w:shd w:val="clear" w:color="auto" w:fill="D9D9D9" w:themeFill="background1" w:themeFillShade="D9"/>
            <w:vAlign w:val="center"/>
            <w:hideMark/>
          </w:tcPr>
          <w:p w14:paraId="356C36A4"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+26,4</w:t>
            </w:r>
          </w:p>
        </w:tc>
        <w:tc>
          <w:tcPr>
            <w:tcW w:w="478" w:type="pct"/>
            <w:shd w:val="clear" w:color="auto" w:fill="FFFFFF" w:themeFill="background1"/>
            <w:vAlign w:val="center"/>
            <w:hideMark/>
          </w:tcPr>
          <w:p w14:paraId="13790C05"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+43,1</w:t>
            </w:r>
          </w:p>
        </w:tc>
      </w:tr>
      <w:tr w:rsidR="00CA0EC7" w:rsidRPr="00CA0EC7" w14:paraId="46043074" w14:textId="77777777" w:rsidTr="002E4CB4">
        <w:trPr>
          <w:trHeight w:val="238"/>
        </w:trPr>
        <w:tc>
          <w:tcPr>
            <w:tcW w:w="1267" w:type="pct"/>
            <w:shd w:val="clear" w:color="auto" w:fill="auto"/>
            <w:vAlign w:val="center"/>
            <w:hideMark/>
          </w:tcPr>
          <w:p w14:paraId="0B54D204" w14:textId="282F183D"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xml:space="preserve"> -</w:t>
            </w:r>
            <w:proofErr w:type="spellStart"/>
            <w:r w:rsidR="00E82BF5" w:rsidRPr="00E82BF5">
              <w:rPr>
                <w:rFonts w:ascii="Arial Narrow" w:eastAsia="Times New Roman" w:hAnsi="Arial Narrow" w:cs="Times New Roman"/>
                <w:sz w:val="16"/>
                <w:szCs w:val="16"/>
                <w:lang w:eastAsia="it-IT"/>
              </w:rPr>
              <w:t>Other</w:t>
            </w:r>
            <w:proofErr w:type="spellEnd"/>
            <w:r w:rsidR="00E82BF5" w:rsidRPr="00E82BF5">
              <w:rPr>
                <w:rFonts w:ascii="Arial Narrow" w:eastAsia="Times New Roman" w:hAnsi="Arial Narrow" w:cs="Times New Roman"/>
                <w:sz w:val="16"/>
                <w:szCs w:val="16"/>
                <w:lang w:eastAsia="it-IT"/>
              </w:rPr>
              <w:t xml:space="preserve"> </w:t>
            </w:r>
            <w:proofErr w:type="spellStart"/>
            <w:r w:rsidR="00E82BF5">
              <w:rPr>
                <w:rFonts w:ascii="Arial Narrow" w:eastAsia="Times New Roman" w:hAnsi="Arial Narrow" w:cs="Times New Roman"/>
                <w:sz w:val="16"/>
                <w:szCs w:val="16"/>
                <w:lang w:eastAsia="it-IT"/>
              </w:rPr>
              <w:t>c</w:t>
            </w:r>
            <w:r w:rsidR="00191673">
              <w:rPr>
                <w:rFonts w:ascii="Arial Narrow" w:eastAsia="Times New Roman" w:hAnsi="Arial Narrow" w:cs="Times New Roman"/>
                <w:sz w:val="16"/>
                <w:szCs w:val="16"/>
                <w:lang w:eastAsia="it-IT"/>
              </w:rPr>
              <w:t>rop</w:t>
            </w:r>
            <w:proofErr w:type="spellEnd"/>
            <w:r w:rsidR="00191673">
              <w:rPr>
                <w:rFonts w:ascii="Arial Narrow" w:eastAsia="Times New Roman" w:hAnsi="Arial Narrow" w:cs="Times New Roman"/>
                <w:sz w:val="16"/>
                <w:szCs w:val="16"/>
                <w:lang w:eastAsia="it-IT"/>
              </w:rPr>
              <w:t xml:space="preserve"> </w:t>
            </w:r>
            <w:r w:rsidR="00E82BF5" w:rsidRPr="00E82BF5">
              <w:rPr>
                <w:rFonts w:ascii="Arial Narrow" w:eastAsia="Times New Roman" w:hAnsi="Arial Narrow" w:cs="Times New Roman"/>
                <w:sz w:val="16"/>
                <w:szCs w:val="16"/>
                <w:lang w:eastAsia="it-IT"/>
              </w:rPr>
              <w:t>products</w:t>
            </w:r>
          </w:p>
        </w:tc>
        <w:tc>
          <w:tcPr>
            <w:tcW w:w="393" w:type="pct"/>
            <w:shd w:val="clear" w:color="auto" w:fill="D9D9D9" w:themeFill="background1" w:themeFillShade="D9"/>
            <w:vAlign w:val="center"/>
            <w:hideMark/>
          </w:tcPr>
          <w:p w14:paraId="50098E50"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2.178</w:t>
            </w:r>
          </w:p>
        </w:tc>
        <w:tc>
          <w:tcPr>
            <w:tcW w:w="462" w:type="pct"/>
            <w:shd w:val="clear" w:color="000000" w:fill="FFFFFF"/>
            <w:vAlign w:val="center"/>
            <w:hideMark/>
          </w:tcPr>
          <w:p w14:paraId="19A56902"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-0,4</w:t>
            </w:r>
          </w:p>
        </w:tc>
        <w:tc>
          <w:tcPr>
            <w:tcW w:w="452" w:type="pct"/>
            <w:shd w:val="clear" w:color="auto" w:fill="D9D9D9" w:themeFill="background1" w:themeFillShade="D9"/>
            <w:vAlign w:val="center"/>
            <w:hideMark/>
          </w:tcPr>
          <w:p w14:paraId="79BA3250"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-5,8</w:t>
            </w:r>
          </w:p>
        </w:tc>
        <w:tc>
          <w:tcPr>
            <w:tcW w:w="470" w:type="pct"/>
            <w:shd w:val="clear" w:color="000000" w:fill="FFFFFF"/>
            <w:vAlign w:val="center"/>
            <w:hideMark/>
          </w:tcPr>
          <w:p w14:paraId="772916ED"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-6,1</w:t>
            </w:r>
          </w:p>
        </w:tc>
        <w:tc>
          <w:tcPr>
            <w:tcW w:w="111" w:type="pct"/>
            <w:tcBorders>
              <w:top w:val="nil"/>
              <w:bottom w:val="nil"/>
            </w:tcBorders>
            <w:shd w:val="clear" w:color="auto" w:fill="FFFFFF" w:themeFill="background1"/>
            <w:vAlign w:val="center"/>
            <w:hideMark/>
          </w:tcPr>
          <w:p w14:paraId="7E6189A4"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7EEA490B"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2.306</w:t>
            </w:r>
          </w:p>
        </w:tc>
        <w:tc>
          <w:tcPr>
            <w:tcW w:w="487" w:type="pct"/>
            <w:shd w:val="clear" w:color="000000" w:fill="FFFFFF"/>
            <w:vAlign w:val="center"/>
            <w:hideMark/>
          </w:tcPr>
          <w:p w14:paraId="7D011D8F"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+3,3</w:t>
            </w:r>
          </w:p>
        </w:tc>
        <w:tc>
          <w:tcPr>
            <w:tcW w:w="487" w:type="pct"/>
            <w:shd w:val="clear" w:color="auto" w:fill="D9D9D9" w:themeFill="background1" w:themeFillShade="D9"/>
            <w:vAlign w:val="center"/>
            <w:hideMark/>
          </w:tcPr>
          <w:p w14:paraId="2ED7ECD0"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+2,5</w:t>
            </w:r>
          </w:p>
        </w:tc>
        <w:tc>
          <w:tcPr>
            <w:tcW w:w="478" w:type="pct"/>
            <w:shd w:val="clear" w:color="auto" w:fill="FFFFFF" w:themeFill="background1"/>
            <w:vAlign w:val="center"/>
            <w:hideMark/>
          </w:tcPr>
          <w:p w14:paraId="2CA4B6C3"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+5,9</w:t>
            </w:r>
          </w:p>
        </w:tc>
      </w:tr>
      <w:tr w:rsidR="00CA0EC7" w:rsidRPr="00CA0EC7" w14:paraId="445782C0" w14:textId="77777777" w:rsidTr="0003038B">
        <w:trPr>
          <w:trHeight w:val="238"/>
        </w:trPr>
        <w:tc>
          <w:tcPr>
            <w:tcW w:w="1267" w:type="pct"/>
            <w:shd w:val="clear" w:color="auto" w:fill="17365D"/>
            <w:vAlign w:val="center"/>
            <w:hideMark/>
          </w:tcPr>
          <w:p w14:paraId="29C3B546" w14:textId="5F8D8E86" w:rsidR="00CA0EC7" w:rsidRPr="000A4737" w:rsidRDefault="00191673" w:rsidP="00CC5A95">
            <w:pPr>
              <w:widowControl/>
              <w:autoSpaceDE/>
              <w:autoSpaceDN/>
              <w:spacing w:before="40" w:after="20"/>
              <w:rPr>
                <w:rFonts w:ascii="Arial Narrow" w:eastAsia="Times New Roman" w:hAnsi="Arial Narrow" w:cs="Times New Roman"/>
                <w:b/>
                <w:bCs/>
                <w:color w:val="FFFFFF" w:themeColor="background1"/>
                <w:sz w:val="16"/>
                <w:szCs w:val="16"/>
                <w:lang w:eastAsia="it-IT"/>
              </w:rPr>
            </w:pPr>
            <w:r>
              <w:rPr>
                <w:rFonts w:ascii="Arial Narrow" w:eastAsia="Times New Roman" w:hAnsi="Arial Narrow" w:cs="Times New Roman"/>
                <w:b/>
                <w:bCs/>
                <w:color w:val="FFFFFF" w:themeColor="background1"/>
                <w:sz w:val="16"/>
                <w:szCs w:val="16"/>
                <w:lang w:eastAsia="it-IT"/>
              </w:rPr>
              <w:t>Animal output</w:t>
            </w:r>
          </w:p>
        </w:tc>
        <w:tc>
          <w:tcPr>
            <w:tcW w:w="393" w:type="pct"/>
            <w:shd w:val="clear" w:color="auto" w:fill="17365D"/>
            <w:vAlign w:val="center"/>
            <w:hideMark/>
          </w:tcPr>
          <w:p w14:paraId="540DFDD1"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158.966</w:t>
            </w:r>
          </w:p>
        </w:tc>
        <w:tc>
          <w:tcPr>
            <w:tcW w:w="462" w:type="pct"/>
            <w:shd w:val="clear" w:color="auto" w:fill="17365D"/>
            <w:vAlign w:val="center"/>
            <w:hideMark/>
          </w:tcPr>
          <w:p w14:paraId="37CF2E64"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+1,3</w:t>
            </w:r>
          </w:p>
        </w:tc>
        <w:tc>
          <w:tcPr>
            <w:tcW w:w="452" w:type="pct"/>
            <w:shd w:val="clear" w:color="auto" w:fill="17365D"/>
            <w:vAlign w:val="center"/>
            <w:hideMark/>
          </w:tcPr>
          <w:p w14:paraId="223388A6"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-2,3</w:t>
            </w:r>
          </w:p>
        </w:tc>
        <w:tc>
          <w:tcPr>
            <w:tcW w:w="470" w:type="pct"/>
            <w:shd w:val="clear" w:color="auto" w:fill="17365D"/>
            <w:vAlign w:val="center"/>
            <w:hideMark/>
          </w:tcPr>
          <w:p w14:paraId="2E0E055F"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-1,1</w:t>
            </w:r>
          </w:p>
        </w:tc>
        <w:tc>
          <w:tcPr>
            <w:tcW w:w="111" w:type="pct"/>
            <w:tcBorders>
              <w:top w:val="nil"/>
              <w:bottom w:val="nil"/>
            </w:tcBorders>
            <w:shd w:val="clear" w:color="auto" w:fill="17365D"/>
            <w:vAlign w:val="center"/>
            <w:hideMark/>
          </w:tcPr>
          <w:p w14:paraId="6AF0E8C6" w14:textId="77777777" w:rsidR="00CA0EC7" w:rsidRPr="000A4737" w:rsidRDefault="00CA0EC7" w:rsidP="00CC5A95">
            <w:pPr>
              <w:widowControl/>
              <w:autoSpaceDE/>
              <w:autoSpaceDN/>
              <w:spacing w:before="40" w:after="20"/>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 </w:t>
            </w:r>
          </w:p>
        </w:tc>
        <w:tc>
          <w:tcPr>
            <w:tcW w:w="393" w:type="pct"/>
            <w:shd w:val="clear" w:color="auto" w:fill="17365D"/>
            <w:vAlign w:val="center"/>
            <w:hideMark/>
          </w:tcPr>
          <w:p w14:paraId="371ED6E9"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162.808</w:t>
            </w:r>
          </w:p>
        </w:tc>
        <w:tc>
          <w:tcPr>
            <w:tcW w:w="487" w:type="pct"/>
            <w:shd w:val="clear" w:color="auto" w:fill="17365D"/>
            <w:vAlign w:val="center"/>
            <w:hideMark/>
          </w:tcPr>
          <w:p w14:paraId="35278089"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-0,3</w:t>
            </w:r>
          </w:p>
        </w:tc>
        <w:tc>
          <w:tcPr>
            <w:tcW w:w="487" w:type="pct"/>
            <w:shd w:val="clear" w:color="auto" w:fill="17365D"/>
            <w:vAlign w:val="center"/>
            <w:hideMark/>
          </w:tcPr>
          <w:p w14:paraId="477AE415"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+2,7</w:t>
            </w:r>
          </w:p>
        </w:tc>
        <w:tc>
          <w:tcPr>
            <w:tcW w:w="478" w:type="pct"/>
            <w:shd w:val="clear" w:color="auto" w:fill="17365D"/>
            <w:vAlign w:val="center"/>
            <w:hideMark/>
          </w:tcPr>
          <w:p w14:paraId="508CCB13"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+2,4</w:t>
            </w:r>
          </w:p>
        </w:tc>
      </w:tr>
      <w:tr w:rsidR="00CA0EC7" w:rsidRPr="00CA0EC7" w14:paraId="090758D6" w14:textId="77777777" w:rsidTr="002E4CB4">
        <w:trPr>
          <w:trHeight w:val="238"/>
        </w:trPr>
        <w:tc>
          <w:tcPr>
            <w:tcW w:w="1267" w:type="pct"/>
            <w:shd w:val="clear" w:color="000000" w:fill="FFFFFF"/>
            <w:vAlign w:val="center"/>
            <w:hideMark/>
          </w:tcPr>
          <w:p w14:paraId="6C3FDA56" w14:textId="7B882FAB"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xml:space="preserve"> -</w:t>
            </w:r>
            <w:r w:rsidR="00E82BF5">
              <w:t xml:space="preserve"> </w:t>
            </w:r>
            <w:r w:rsidR="00191673">
              <w:rPr>
                <w:rFonts w:ascii="Arial Narrow" w:eastAsia="Times New Roman" w:hAnsi="Arial Narrow" w:cs="Times New Roman"/>
                <w:sz w:val="16"/>
                <w:szCs w:val="16"/>
                <w:lang w:eastAsia="it-IT"/>
              </w:rPr>
              <w:t>Animal</w:t>
            </w:r>
            <w:r w:rsidR="00E82BF5" w:rsidRPr="00E82BF5">
              <w:rPr>
                <w:rFonts w:ascii="Arial Narrow" w:eastAsia="Times New Roman" w:hAnsi="Arial Narrow" w:cs="Times New Roman"/>
                <w:sz w:val="16"/>
                <w:szCs w:val="16"/>
                <w:lang w:eastAsia="it-IT"/>
              </w:rPr>
              <w:t>s</w:t>
            </w:r>
          </w:p>
        </w:tc>
        <w:tc>
          <w:tcPr>
            <w:tcW w:w="393" w:type="pct"/>
            <w:shd w:val="clear" w:color="auto" w:fill="D9D9D9" w:themeFill="background1" w:themeFillShade="D9"/>
            <w:vAlign w:val="center"/>
            <w:hideMark/>
          </w:tcPr>
          <w:p w14:paraId="68A8063B"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93.237</w:t>
            </w:r>
          </w:p>
        </w:tc>
        <w:tc>
          <w:tcPr>
            <w:tcW w:w="462" w:type="pct"/>
            <w:shd w:val="clear" w:color="000000" w:fill="FFFFFF"/>
            <w:vAlign w:val="center"/>
            <w:hideMark/>
          </w:tcPr>
          <w:p w14:paraId="11040258"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+1,3</w:t>
            </w:r>
          </w:p>
        </w:tc>
        <w:tc>
          <w:tcPr>
            <w:tcW w:w="452" w:type="pct"/>
            <w:shd w:val="clear" w:color="auto" w:fill="D9D9D9" w:themeFill="background1" w:themeFillShade="D9"/>
            <w:vAlign w:val="center"/>
            <w:hideMark/>
          </w:tcPr>
          <w:p w14:paraId="61DA9593"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-2,9</w:t>
            </w:r>
          </w:p>
        </w:tc>
        <w:tc>
          <w:tcPr>
            <w:tcW w:w="470" w:type="pct"/>
            <w:shd w:val="clear" w:color="000000" w:fill="FFFFFF"/>
            <w:vAlign w:val="center"/>
            <w:hideMark/>
          </w:tcPr>
          <w:p w14:paraId="19A91DAB"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-1,6</w:t>
            </w:r>
          </w:p>
        </w:tc>
        <w:tc>
          <w:tcPr>
            <w:tcW w:w="111" w:type="pct"/>
            <w:tcBorders>
              <w:top w:val="nil"/>
              <w:bottom w:val="nil"/>
            </w:tcBorders>
            <w:shd w:val="clear" w:color="auto" w:fill="FFFFFF" w:themeFill="background1"/>
            <w:vAlign w:val="center"/>
            <w:hideMark/>
          </w:tcPr>
          <w:p w14:paraId="07E3E6DE"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4D1C7989"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93.627</w:t>
            </w:r>
          </w:p>
        </w:tc>
        <w:tc>
          <w:tcPr>
            <w:tcW w:w="487" w:type="pct"/>
            <w:shd w:val="clear" w:color="000000" w:fill="FFFFFF"/>
            <w:vAlign w:val="center"/>
            <w:hideMark/>
          </w:tcPr>
          <w:p w14:paraId="586F6106"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+0,3</w:t>
            </w:r>
          </w:p>
        </w:tc>
        <w:tc>
          <w:tcPr>
            <w:tcW w:w="487" w:type="pct"/>
            <w:shd w:val="clear" w:color="auto" w:fill="D9D9D9" w:themeFill="background1" w:themeFillShade="D9"/>
            <w:vAlign w:val="center"/>
            <w:hideMark/>
          </w:tcPr>
          <w:p w14:paraId="43E9FE5E"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+0,2</w:t>
            </w:r>
          </w:p>
        </w:tc>
        <w:tc>
          <w:tcPr>
            <w:tcW w:w="478" w:type="pct"/>
            <w:shd w:val="clear" w:color="auto" w:fill="FFFFFF" w:themeFill="background1"/>
            <w:vAlign w:val="center"/>
            <w:hideMark/>
          </w:tcPr>
          <w:p w14:paraId="02D0382A"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+0,4</w:t>
            </w:r>
          </w:p>
        </w:tc>
      </w:tr>
      <w:tr w:rsidR="00CA0EC7" w:rsidRPr="00CA0EC7" w14:paraId="356E155F" w14:textId="77777777" w:rsidTr="002E4CB4">
        <w:trPr>
          <w:trHeight w:val="238"/>
        </w:trPr>
        <w:tc>
          <w:tcPr>
            <w:tcW w:w="1267" w:type="pct"/>
            <w:shd w:val="clear" w:color="000000" w:fill="FFFFFF"/>
            <w:vAlign w:val="center"/>
            <w:hideMark/>
          </w:tcPr>
          <w:p w14:paraId="79E7B859" w14:textId="269C5965" w:rsidR="00CA0EC7" w:rsidRPr="00CA0EC7" w:rsidRDefault="00CA0EC7" w:rsidP="00CC5A95">
            <w:pPr>
              <w:widowControl/>
              <w:autoSpaceDE/>
              <w:autoSpaceDN/>
              <w:spacing w:before="40" w:after="20"/>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 xml:space="preserve">   </w:t>
            </w:r>
            <w:r w:rsidR="00E82BF5" w:rsidRPr="00E82BF5">
              <w:rPr>
                <w:rFonts w:ascii="Arial Narrow" w:eastAsia="Times New Roman" w:hAnsi="Arial Narrow" w:cs="Times New Roman"/>
                <w:i/>
                <w:sz w:val="16"/>
                <w:szCs w:val="16"/>
                <w:lang w:eastAsia="it-IT"/>
              </w:rPr>
              <w:t xml:space="preserve">of </w:t>
            </w:r>
            <w:proofErr w:type="spellStart"/>
            <w:r w:rsidR="00E82BF5" w:rsidRPr="00E82BF5">
              <w:rPr>
                <w:rFonts w:ascii="Arial Narrow" w:eastAsia="Times New Roman" w:hAnsi="Arial Narrow" w:cs="Times New Roman"/>
                <w:i/>
                <w:sz w:val="16"/>
                <w:szCs w:val="16"/>
                <w:lang w:eastAsia="it-IT"/>
              </w:rPr>
              <w:t>which</w:t>
            </w:r>
            <w:proofErr w:type="spellEnd"/>
            <w:r w:rsidR="00E82BF5" w:rsidRPr="00E82BF5">
              <w:rPr>
                <w:rFonts w:ascii="Arial Narrow" w:eastAsia="Times New Roman" w:hAnsi="Arial Narrow" w:cs="Times New Roman"/>
                <w:i/>
                <w:sz w:val="16"/>
                <w:szCs w:val="16"/>
                <w:lang w:eastAsia="it-IT"/>
              </w:rPr>
              <w:t xml:space="preserve"> </w:t>
            </w:r>
            <w:proofErr w:type="spellStart"/>
            <w:r w:rsidR="00E82BF5" w:rsidRPr="00E82BF5">
              <w:rPr>
                <w:rFonts w:ascii="Arial Narrow" w:eastAsia="Times New Roman" w:hAnsi="Arial Narrow" w:cs="Times New Roman"/>
                <w:i/>
                <w:sz w:val="16"/>
                <w:szCs w:val="16"/>
                <w:lang w:eastAsia="it-IT"/>
              </w:rPr>
              <w:t>cattle</w:t>
            </w:r>
            <w:proofErr w:type="spellEnd"/>
          </w:p>
        </w:tc>
        <w:tc>
          <w:tcPr>
            <w:tcW w:w="393" w:type="pct"/>
            <w:shd w:val="clear" w:color="auto" w:fill="D9D9D9" w:themeFill="background1" w:themeFillShade="D9"/>
            <w:vAlign w:val="center"/>
            <w:hideMark/>
          </w:tcPr>
          <w:p w14:paraId="49981E6A"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27.966</w:t>
            </w:r>
          </w:p>
        </w:tc>
        <w:tc>
          <w:tcPr>
            <w:tcW w:w="462" w:type="pct"/>
            <w:shd w:val="clear" w:color="000000" w:fill="FFFFFF"/>
            <w:vAlign w:val="center"/>
            <w:hideMark/>
          </w:tcPr>
          <w:p w14:paraId="6BD3AF62"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+1,8</w:t>
            </w:r>
          </w:p>
        </w:tc>
        <w:tc>
          <w:tcPr>
            <w:tcW w:w="452" w:type="pct"/>
            <w:shd w:val="clear" w:color="auto" w:fill="D9D9D9" w:themeFill="background1" w:themeFillShade="D9"/>
            <w:vAlign w:val="center"/>
            <w:hideMark/>
          </w:tcPr>
          <w:p w14:paraId="32FC2B81"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-2,8</w:t>
            </w:r>
          </w:p>
        </w:tc>
        <w:tc>
          <w:tcPr>
            <w:tcW w:w="470" w:type="pct"/>
            <w:shd w:val="clear" w:color="000000" w:fill="FFFFFF"/>
            <w:vAlign w:val="center"/>
            <w:hideMark/>
          </w:tcPr>
          <w:p w14:paraId="0F1DB2BB"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-1,0</w:t>
            </w:r>
          </w:p>
        </w:tc>
        <w:tc>
          <w:tcPr>
            <w:tcW w:w="111" w:type="pct"/>
            <w:tcBorders>
              <w:top w:val="nil"/>
              <w:bottom w:val="nil"/>
            </w:tcBorders>
            <w:shd w:val="clear" w:color="auto" w:fill="FFFFFF" w:themeFill="background1"/>
            <w:vAlign w:val="center"/>
            <w:hideMark/>
          </w:tcPr>
          <w:p w14:paraId="015E72A0" w14:textId="77777777" w:rsidR="00CA0EC7" w:rsidRPr="00CA0EC7" w:rsidRDefault="00CA0EC7" w:rsidP="00CC5A95">
            <w:pPr>
              <w:widowControl/>
              <w:autoSpaceDE/>
              <w:autoSpaceDN/>
              <w:spacing w:before="40" w:after="20"/>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 </w:t>
            </w:r>
          </w:p>
        </w:tc>
        <w:tc>
          <w:tcPr>
            <w:tcW w:w="393" w:type="pct"/>
            <w:shd w:val="clear" w:color="auto" w:fill="D9D9D9" w:themeFill="background1" w:themeFillShade="D9"/>
            <w:vAlign w:val="center"/>
            <w:hideMark/>
          </w:tcPr>
          <w:p w14:paraId="1F600A91"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29.784</w:t>
            </w:r>
          </w:p>
        </w:tc>
        <w:tc>
          <w:tcPr>
            <w:tcW w:w="487" w:type="pct"/>
            <w:shd w:val="clear" w:color="000000" w:fill="FFFFFF"/>
            <w:vAlign w:val="center"/>
            <w:hideMark/>
          </w:tcPr>
          <w:p w14:paraId="4282171F"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+0,4</w:t>
            </w:r>
          </w:p>
        </w:tc>
        <w:tc>
          <w:tcPr>
            <w:tcW w:w="487" w:type="pct"/>
            <w:shd w:val="clear" w:color="auto" w:fill="D9D9D9" w:themeFill="background1" w:themeFillShade="D9"/>
            <w:vAlign w:val="center"/>
            <w:hideMark/>
          </w:tcPr>
          <w:p w14:paraId="13BDD951"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+6,1</w:t>
            </w:r>
          </w:p>
        </w:tc>
        <w:tc>
          <w:tcPr>
            <w:tcW w:w="478" w:type="pct"/>
            <w:shd w:val="clear" w:color="auto" w:fill="FFFFFF" w:themeFill="background1"/>
            <w:vAlign w:val="center"/>
            <w:hideMark/>
          </w:tcPr>
          <w:p w14:paraId="7546BA82"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+6,5</w:t>
            </w:r>
          </w:p>
        </w:tc>
      </w:tr>
      <w:tr w:rsidR="00CA0EC7" w:rsidRPr="00CA0EC7" w14:paraId="105ED5CC" w14:textId="77777777" w:rsidTr="002E4CB4">
        <w:trPr>
          <w:trHeight w:val="238"/>
        </w:trPr>
        <w:tc>
          <w:tcPr>
            <w:tcW w:w="1267" w:type="pct"/>
            <w:shd w:val="clear" w:color="000000" w:fill="FFFFFF"/>
            <w:vAlign w:val="center"/>
            <w:hideMark/>
          </w:tcPr>
          <w:p w14:paraId="5B36B8FF" w14:textId="63220B2C" w:rsidR="00CA0EC7" w:rsidRPr="00CA0EC7" w:rsidRDefault="00CA0EC7" w:rsidP="00CC5A95">
            <w:pPr>
              <w:widowControl/>
              <w:autoSpaceDE/>
              <w:autoSpaceDN/>
              <w:spacing w:before="40" w:after="20"/>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 xml:space="preserve">   </w:t>
            </w:r>
            <w:r w:rsidR="00E82BF5" w:rsidRPr="00E82BF5">
              <w:rPr>
                <w:rFonts w:ascii="Arial Narrow" w:eastAsia="Times New Roman" w:hAnsi="Arial Narrow" w:cs="Times New Roman"/>
                <w:i/>
                <w:sz w:val="16"/>
                <w:szCs w:val="16"/>
                <w:lang w:eastAsia="it-IT"/>
              </w:rPr>
              <w:t xml:space="preserve">of </w:t>
            </w:r>
            <w:proofErr w:type="spellStart"/>
            <w:r w:rsidR="00E82BF5" w:rsidRPr="00E82BF5">
              <w:rPr>
                <w:rFonts w:ascii="Arial Narrow" w:eastAsia="Times New Roman" w:hAnsi="Arial Narrow" w:cs="Times New Roman"/>
                <w:i/>
                <w:sz w:val="16"/>
                <w:szCs w:val="16"/>
                <w:lang w:eastAsia="it-IT"/>
              </w:rPr>
              <w:t>which</w:t>
            </w:r>
            <w:proofErr w:type="spellEnd"/>
            <w:r w:rsidR="00E82BF5" w:rsidRPr="00E82BF5">
              <w:rPr>
                <w:rFonts w:ascii="Arial Narrow" w:eastAsia="Times New Roman" w:hAnsi="Arial Narrow" w:cs="Times New Roman"/>
                <w:i/>
                <w:sz w:val="16"/>
                <w:szCs w:val="16"/>
                <w:lang w:eastAsia="it-IT"/>
              </w:rPr>
              <w:t xml:space="preserve"> </w:t>
            </w:r>
            <w:proofErr w:type="spellStart"/>
            <w:r w:rsidR="00E82BF5" w:rsidRPr="00E82BF5">
              <w:rPr>
                <w:rFonts w:ascii="Arial Narrow" w:eastAsia="Times New Roman" w:hAnsi="Arial Narrow" w:cs="Times New Roman"/>
                <w:i/>
                <w:sz w:val="16"/>
                <w:szCs w:val="16"/>
                <w:lang w:eastAsia="it-IT"/>
              </w:rPr>
              <w:t>pigs</w:t>
            </w:r>
            <w:proofErr w:type="spellEnd"/>
          </w:p>
        </w:tc>
        <w:tc>
          <w:tcPr>
            <w:tcW w:w="393" w:type="pct"/>
            <w:shd w:val="clear" w:color="auto" w:fill="D9D9D9" w:themeFill="background1" w:themeFillShade="D9"/>
            <w:vAlign w:val="center"/>
            <w:hideMark/>
          </w:tcPr>
          <w:p w14:paraId="5D640685"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38.816</w:t>
            </w:r>
          </w:p>
        </w:tc>
        <w:tc>
          <w:tcPr>
            <w:tcW w:w="462" w:type="pct"/>
            <w:shd w:val="clear" w:color="000000" w:fill="FFFFFF"/>
            <w:vAlign w:val="center"/>
            <w:hideMark/>
          </w:tcPr>
          <w:p w14:paraId="615B0E21"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+1,6</w:t>
            </w:r>
          </w:p>
        </w:tc>
        <w:tc>
          <w:tcPr>
            <w:tcW w:w="452" w:type="pct"/>
            <w:shd w:val="clear" w:color="auto" w:fill="D9D9D9" w:themeFill="background1" w:themeFillShade="D9"/>
            <w:vAlign w:val="center"/>
            <w:hideMark/>
          </w:tcPr>
          <w:p w14:paraId="7D3A04D1"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-2,9</w:t>
            </w:r>
          </w:p>
        </w:tc>
        <w:tc>
          <w:tcPr>
            <w:tcW w:w="470" w:type="pct"/>
            <w:shd w:val="clear" w:color="000000" w:fill="FFFFFF"/>
            <w:vAlign w:val="center"/>
            <w:hideMark/>
          </w:tcPr>
          <w:p w14:paraId="35D7B74B"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-1,3</w:t>
            </w:r>
          </w:p>
        </w:tc>
        <w:tc>
          <w:tcPr>
            <w:tcW w:w="111" w:type="pct"/>
            <w:tcBorders>
              <w:top w:val="nil"/>
              <w:bottom w:val="nil"/>
            </w:tcBorders>
            <w:shd w:val="clear" w:color="auto" w:fill="FFFFFF" w:themeFill="background1"/>
            <w:vAlign w:val="center"/>
            <w:hideMark/>
          </w:tcPr>
          <w:p w14:paraId="2F9F8B58" w14:textId="77777777" w:rsidR="00CA0EC7" w:rsidRPr="00CA0EC7" w:rsidRDefault="00CA0EC7" w:rsidP="00CC5A95">
            <w:pPr>
              <w:widowControl/>
              <w:autoSpaceDE/>
              <w:autoSpaceDN/>
              <w:spacing w:before="40" w:after="20"/>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 </w:t>
            </w:r>
          </w:p>
        </w:tc>
        <w:tc>
          <w:tcPr>
            <w:tcW w:w="393" w:type="pct"/>
            <w:shd w:val="clear" w:color="auto" w:fill="D9D9D9" w:themeFill="background1" w:themeFillShade="D9"/>
            <w:vAlign w:val="center"/>
            <w:hideMark/>
          </w:tcPr>
          <w:p w14:paraId="16B1734E"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35.835</w:t>
            </w:r>
          </w:p>
        </w:tc>
        <w:tc>
          <w:tcPr>
            <w:tcW w:w="487" w:type="pct"/>
            <w:shd w:val="clear" w:color="000000" w:fill="FFFFFF"/>
            <w:vAlign w:val="center"/>
            <w:hideMark/>
          </w:tcPr>
          <w:p w14:paraId="30A143FD"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+1,3</w:t>
            </w:r>
          </w:p>
        </w:tc>
        <w:tc>
          <w:tcPr>
            <w:tcW w:w="487" w:type="pct"/>
            <w:shd w:val="clear" w:color="auto" w:fill="D9D9D9" w:themeFill="background1" w:themeFillShade="D9"/>
            <w:vAlign w:val="center"/>
            <w:hideMark/>
          </w:tcPr>
          <w:p w14:paraId="35BA13C8"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-8,8</w:t>
            </w:r>
          </w:p>
        </w:tc>
        <w:tc>
          <w:tcPr>
            <w:tcW w:w="478" w:type="pct"/>
            <w:shd w:val="clear" w:color="auto" w:fill="FFFFFF" w:themeFill="background1"/>
            <w:vAlign w:val="center"/>
            <w:hideMark/>
          </w:tcPr>
          <w:p w14:paraId="3E95B573"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-7,7</w:t>
            </w:r>
          </w:p>
        </w:tc>
      </w:tr>
      <w:tr w:rsidR="00CA0EC7" w:rsidRPr="00CA0EC7" w14:paraId="2D56C3E7" w14:textId="77777777" w:rsidTr="002E4CB4">
        <w:trPr>
          <w:trHeight w:val="238"/>
        </w:trPr>
        <w:tc>
          <w:tcPr>
            <w:tcW w:w="1267" w:type="pct"/>
            <w:shd w:val="clear" w:color="000000" w:fill="FFFFFF"/>
            <w:vAlign w:val="center"/>
            <w:hideMark/>
          </w:tcPr>
          <w:p w14:paraId="213C9E7F" w14:textId="068E6B08" w:rsidR="00CA0EC7" w:rsidRPr="00CA0EC7" w:rsidRDefault="00CA0EC7" w:rsidP="00CC5A95">
            <w:pPr>
              <w:widowControl/>
              <w:autoSpaceDE/>
              <w:autoSpaceDN/>
              <w:spacing w:before="40" w:after="20"/>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 xml:space="preserve">   </w:t>
            </w:r>
            <w:r w:rsidR="00E82BF5" w:rsidRPr="00E82BF5">
              <w:rPr>
                <w:rFonts w:ascii="Arial Narrow" w:eastAsia="Times New Roman" w:hAnsi="Arial Narrow" w:cs="Times New Roman"/>
                <w:i/>
                <w:sz w:val="16"/>
                <w:szCs w:val="16"/>
                <w:lang w:eastAsia="it-IT"/>
              </w:rPr>
              <w:t xml:space="preserve">of </w:t>
            </w:r>
            <w:proofErr w:type="spellStart"/>
            <w:r w:rsidR="00E82BF5" w:rsidRPr="00E82BF5">
              <w:rPr>
                <w:rFonts w:ascii="Arial Narrow" w:eastAsia="Times New Roman" w:hAnsi="Arial Narrow" w:cs="Times New Roman"/>
                <w:i/>
                <w:sz w:val="16"/>
                <w:szCs w:val="16"/>
                <w:lang w:eastAsia="it-IT"/>
              </w:rPr>
              <w:t>which</w:t>
            </w:r>
            <w:proofErr w:type="spellEnd"/>
            <w:r w:rsidR="00E82BF5" w:rsidRPr="00E82BF5">
              <w:rPr>
                <w:rFonts w:ascii="Arial Narrow" w:eastAsia="Times New Roman" w:hAnsi="Arial Narrow" w:cs="Times New Roman"/>
                <w:i/>
                <w:sz w:val="16"/>
                <w:szCs w:val="16"/>
                <w:lang w:eastAsia="it-IT"/>
              </w:rPr>
              <w:t xml:space="preserve"> </w:t>
            </w:r>
            <w:proofErr w:type="spellStart"/>
            <w:r w:rsidR="00E82BF5" w:rsidRPr="00E82BF5">
              <w:rPr>
                <w:rFonts w:ascii="Arial Narrow" w:eastAsia="Times New Roman" w:hAnsi="Arial Narrow" w:cs="Times New Roman"/>
                <w:i/>
                <w:sz w:val="16"/>
                <w:szCs w:val="16"/>
                <w:lang w:eastAsia="it-IT"/>
              </w:rPr>
              <w:t>poultry</w:t>
            </w:r>
            <w:proofErr w:type="spellEnd"/>
          </w:p>
        </w:tc>
        <w:tc>
          <w:tcPr>
            <w:tcW w:w="393" w:type="pct"/>
            <w:shd w:val="clear" w:color="auto" w:fill="D9D9D9" w:themeFill="background1" w:themeFillShade="D9"/>
            <w:vAlign w:val="center"/>
            <w:hideMark/>
          </w:tcPr>
          <w:p w14:paraId="2D992822"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19.331</w:t>
            </w:r>
          </w:p>
        </w:tc>
        <w:tc>
          <w:tcPr>
            <w:tcW w:w="462" w:type="pct"/>
            <w:shd w:val="clear" w:color="000000" w:fill="FFFFFF"/>
            <w:vAlign w:val="center"/>
            <w:hideMark/>
          </w:tcPr>
          <w:p w14:paraId="67A56A74"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+1,0</w:t>
            </w:r>
          </w:p>
        </w:tc>
        <w:tc>
          <w:tcPr>
            <w:tcW w:w="452" w:type="pct"/>
            <w:shd w:val="clear" w:color="auto" w:fill="D9D9D9" w:themeFill="background1" w:themeFillShade="D9"/>
            <w:vAlign w:val="center"/>
            <w:hideMark/>
          </w:tcPr>
          <w:p w14:paraId="4FF1D6A1"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-3,9</w:t>
            </w:r>
          </w:p>
        </w:tc>
        <w:tc>
          <w:tcPr>
            <w:tcW w:w="470" w:type="pct"/>
            <w:shd w:val="clear" w:color="000000" w:fill="FFFFFF"/>
            <w:vAlign w:val="center"/>
            <w:hideMark/>
          </w:tcPr>
          <w:p w14:paraId="0BC3CD50"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-3,0</w:t>
            </w:r>
          </w:p>
        </w:tc>
        <w:tc>
          <w:tcPr>
            <w:tcW w:w="111" w:type="pct"/>
            <w:tcBorders>
              <w:top w:val="nil"/>
              <w:bottom w:val="nil"/>
            </w:tcBorders>
            <w:shd w:val="clear" w:color="auto" w:fill="FFFFFF" w:themeFill="background1"/>
            <w:vAlign w:val="center"/>
            <w:hideMark/>
          </w:tcPr>
          <w:p w14:paraId="71A81BF9" w14:textId="77777777" w:rsidR="00CA0EC7" w:rsidRPr="00CA0EC7" w:rsidRDefault="00CA0EC7" w:rsidP="00CC5A95">
            <w:pPr>
              <w:widowControl/>
              <w:autoSpaceDE/>
              <w:autoSpaceDN/>
              <w:spacing w:before="40" w:after="20"/>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 </w:t>
            </w:r>
          </w:p>
        </w:tc>
        <w:tc>
          <w:tcPr>
            <w:tcW w:w="393" w:type="pct"/>
            <w:shd w:val="clear" w:color="auto" w:fill="D9D9D9" w:themeFill="background1" w:themeFillShade="D9"/>
            <w:vAlign w:val="center"/>
            <w:hideMark/>
          </w:tcPr>
          <w:p w14:paraId="59461C36"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20.004</w:t>
            </w:r>
          </w:p>
        </w:tc>
        <w:tc>
          <w:tcPr>
            <w:tcW w:w="487" w:type="pct"/>
            <w:shd w:val="clear" w:color="000000" w:fill="FFFFFF"/>
            <w:vAlign w:val="center"/>
            <w:hideMark/>
          </w:tcPr>
          <w:p w14:paraId="71B52E16"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-2,6</w:t>
            </w:r>
          </w:p>
        </w:tc>
        <w:tc>
          <w:tcPr>
            <w:tcW w:w="487" w:type="pct"/>
            <w:shd w:val="clear" w:color="auto" w:fill="D9D9D9" w:themeFill="background1" w:themeFillShade="D9"/>
            <w:vAlign w:val="center"/>
            <w:hideMark/>
          </w:tcPr>
          <w:p w14:paraId="4EB60677"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+6,2</w:t>
            </w:r>
          </w:p>
        </w:tc>
        <w:tc>
          <w:tcPr>
            <w:tcW w:w="478" w:type="pct"/>
            <w:shd w:val="clear" w:color="auto" w:fill="FFFFFF" w:themeFill="background1"/>
            <w:vAlign w:val="center"/>
            <w:hideMark/>
          </w:tcPr>
          <w:p w14:paraId="3822E277" w14:textId="77777777" w:rsidR="00CA0EC7" w:rsidRPr="00CA0EC7" w:rsidRDefault="00CA0EC7" w:rsidP="00CC5A95">
            <w:pPr>
              <w:widowControl/>
              <w:autoSpaceDE/>
              <w:autoSpaceDN/>
              <w:spacing w:before="40" w:after="20"/>
              <w:jc w:val="right"/>
              <w:rPr>
                <w:rFonts w:ascii="Arial Narrow" w:eastAsia="Times New Roman" w:hAnsi="Arial Narrow" w:cs="Times New Roman"/>
                <w:i/>
                <w:sz w:val="16"/>
                <w:szCs w:val="16"/>
                <w:lang w:eastAsia="it-IT"/>
              </w:rPr>
            </w:pPr>
            <w:r w:rsidRPr="00CA0EC7">
              <w:rPr>
                <w:rFonts w:ascii="Arial Narrow" w:eastAsia="Times New Roman" w:hAnsi="Arial Narrow" w:cs="Times New Roman"/>
                <w:i/>
                <w:sz w:val="16"/>
                <w:szCs w:val="16"/>
                <w:lang w:eastAsia="it-IT"/>
              </w:rPr>
              <w:t>+3,5</w:t>
            </w:r>
          </w:p>
        </w:tc>
      </w:tr>
      <w:tr w:rsidR="00CA0EC7" w:rsidRPr="00CA0EC7" w14:paraId="042CEE11" w14:textId="77777777" w:rsidTr="002E4CB4">
        <w:trPr>
          <w:trHeight w:val="238"/>
        </w:trPr>
        <w:tc>
          <w:tcPr>
            <w:tcW w:w="1267" w:type="pct"/>
            <w:shd w:val="clear" w:color="000000" w:fill="FFFFFF"/>
            <w:vAlign w:val="center"/>
            <w:hideMark/>
          </w:tcPr>
          <w:p w14:paraId="74A63222" w14:textId="79C92805"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xml:space="preserve"> -</w:t>
            </w:r>
            <w:r w:rsidR="00E82BF5">
              <w:t xml:space="preserve"> </w:t>
            </w:r>
            <w:r w:rsidR="00191673">
              <w:rPr>
                <w:rFonts w:ascii="Arial Narrow" w:eastAsia="Times New Roman" w:hAnsi="Arial Narrow" w:cs="Times New Roman"/>
                <w:sz w:val="16"/>
                <w:szCs w:val="16"/>
                <w:lang w:eastAsia="it-IT"/>
              </w:rPr>
              <w:t xml:space="preserve">Animal </w:t>
            </w:r>
            <w:r w:rsidR="00E82BF5" w:rsidRPr="00E82BF5">
              <w:rPr>
                <w:rFonts w:ascii="Arial Narrow" w:eastAsia="Times New Roman" w:hAnsi="Arial Narrow" w:cs="Times New Roman"/>
                <w:sz w:val="16"/>
                <w:szCs w:val="16"/>
                <w:lang w:eastAsia="it-IT"/>
              </w:rPr>
              <w:t>products</w:t>
            </w:r>
          </w:p>
        </w:tc>
        <w:tc>
          <w:tcPr>
            <w:tcW w:w="393" w:type="pct"/>
            <w:shd w:val="clear" w:color="auto" w:fill="D9D9D9" w:themeFill="background1" w:themeFillShade="D9"/>
            <w:vAlign w:val="center"/>
            <w:hideMark/>
          </w:tcPr>
          <w:p w14:paraId="26DE2B8E"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65.729</w:t>
            </w:r>
          </w:p>
        </w:tc>
        <w:tc>
          <w:tcPr>
            <w:tcW w:w="462" w:type="pct"/>
            <w:shd w:val="clear" w:color="000000" w:fill="FFFFFF"/>
            <w:vAlign w:val="center"/>
            <w:hideMark/>
          </w:tcPr>
          <w:p w14:paraId="34399AF6"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+1,2</w:t>
            </w:r>
          </w:p>
        </w:tc>
        <w:tc>
          <w:tcPr>
            <w:tcW w:w="452" w:type="pct"/>
            <w:shd w:val="clear" w:color="auto" w:fill="D9D9D9" w:themeFill="background1" w:themeFillShade="D9"/>
            <w:vAlign w:val="center"/>
            <w:hideMark/>
          </w:tcPr>
          <w:p w14:paraId="20FAA7EF"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-1,6</w:t>
            </w:r>
          </w:p>
        </w:tc>
        <w:tc>
          <w:tcPr>
            <w:tcW w:w="470" w:type="pct"/>
            <w:shd w:val="clear" w:color="000000" w:fill="FFFFFF"/>
            <w:vAlign w:val="center"/>
            <w:hideMark/>
          </w:tcPr>
          <w:p w14:paraId="4B094A20"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-0,4</w:t>
            </w:r>
          </w:p>
        </w:tc>
        <w:tc>
          <w:tcPr>
            <w:tcW w:w="111" w:type="pct"/>
            <w:tcBorders>
              <w:top w:val="nil"/>
              <w:bottom w:val="nil"/>
            </w:tcBorders>
            <w:shd w:val="clear" w:color="auto" w:fill="FFFFFF" w:themeFill="background1"/>
            <w:vAlign w:val="center"/>
            <w:hideMark/>
          </w:tcPr>
          <w:p w14:paraId="3E6D8059"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09E19E31"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69.181</w:t>
            </w:r>
          </w:p>
        </w:tc>
        <w:tc>
          <w:tcPr>
            <w:tcW w:w="487" w:type="pct"/>
            <w:shd w:val="clear" w:color="000000" w:fill="FFFFFF"/>
            <w:vAlign w:val="center"/>
            <w:hideMark/>
          </w:tcPr>
          <w:p w14:paraId="2F7E78B2"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-1,0</w:t>
            </w:r>
          </w:p>
        </w:tc>
        <w:tc>
          <w:tcPr>
            <w:tcW w:w="487" w:type="pct"/>
            <w:shd w:val="clear" w:color="auto" w:fill="D9D9D9" w:themeFill="background1" w:themeFillShade="D9"/>
            <w:vAlign w:val="center"/>
            <w:hideMark/>
          </w:tcPr>
          <w:p w14:paraId="21E915AA"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+6,3</w:t>
            </w:r>
          </w:p>
        </w:tc>
        <w:tc>
          <w:tcPr>
            <w:tcW w:w="478" w:type="pct"/>
            <w:shd w:val="clear" w:color="auto" w:fill="FFFFFF" w:themeFill="background1"/>
            <w:vAlign w:val="center"/>
            <w:hideMark/>
          </w:tcPr>
          <w:p w14:paraId="05F0DBCD"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+5,3</w:t>
            </w:r>
          </w:p>
        </w:tc>
      </w:tr>
      <w:tr w:rsidR="00CA0EC7" w:rsidRPr="00CA0EC7" w14:paraId="0B044EFB" w14:textId="77777777" w:rsidTr="0003038B">
        <w:trPr>
          <w:trHeight w:val="238"/>
        </w:trPr>
        <w:tc>
          <w:tcPr>
            <w:tcW w:w="1267" w:type="pct"/>
            <w:shd w:val="clear" w:color="auto" w:fill="17365D"/>
            <w:vAlign w:val="center"/>
            <w:hideMark/>
          </w:tcPr>
          <w:p w14:paraId="4AB5A431" w14:textId="7994FF11" w:rsidR="00CA0EC7" w:rsidRPr="000A4737" w:rsidRDefault="00191673" w:rsidP="00CC5A95">
            <w:pPr>
              <w:widowControl/>
              <w:autoSpaceDE/>
              <w:autoSpaceDN/>
              <w:spacing w:before="40" w:after="20"/>
              <w:rPr>
                <w:rFonts w:ascii="Arial Narrow" w:eastAsia="Times New Roman" w:hAnsi="Arial Narrow" w:cs="Times New Roman"/>
                <w:b/>
                <w:bCs/>
                <w:color w:val="FFFFFF" w:themeColor="background1"/>
                <w:sz w:val="16"/>
                <w:szCs w:val="16"/>
                <w:lang w:eastAsia="it-IT"/>
              </w:rPr>
            </w:pPr>
            <w:proofErr w:type="spellStart"/>
            <w:r>
              <w:rPr>
                <w:rFonts w:ascii="Arial Narrow" w:eastAsia="Times New Roman" w:hAnsi="Arial Narrow" w:cs="Times New Roman"/>
                <w:b/>
                <w:bCs/>
                <w:color w:val="FFFFFF" w:themeColor="background1"/>
                <w:sz w:val="16"/>
                <w:szCs w:val="16"/>
                <w:lang w:eastAsia="it-IT"/>
              </w:rPr>
              <w:t>Agricultural</w:t>
            </w:r>
            <w:proofErr w:type="spellEnd"/>
            <w:r>
              <w:rPr>
                <w:rFonts w:ascii="Arial Narrow" w:eastAsia="Times New Roman" w:hAnsi="Arial Narrow" w:cs="Times New Roman"/>
                <w:b/>
                <w:bCs/>
                <w:color w:val="FFFFFF" w:themeColor="background1"/>
                <w:sz w:val="16"/>
                <w:szCs w:val="16"/>
                <w:lang w:eastAsia="it-IT"/>
              </w:rPr>
              <w:t xml:space="preserve"> </w:t>
            </w:r>
            <w:proofErr w:type="spellStart"/>
            <w:r w:rsidR="00E82BF5" w:rsidRPr="00E82BF5">
              <w:rPr>
                <w:rFonts w:ascii="Arial Narrow" w:eastAsia="Times New Roman" w:hAnsi="Arial Narrow" w:cs="Times New Roman"/>
                <w:b/>
                <w:bCs/>
                <w:color w:val="FFFFFF" w:themeColor="background1"/>
                <w:sz w:val="16"/>
                <w:szCs w:val="16"/>
                <w:lang w:eastAsia="it-IT"/>
              </w:rPr>
              <w:t>goods</w:t>
            </w:r>
            <w:proofErr w:type="spellEnd"/>
            <w:r>
              <w:rPr>
                <w:rFonts w:ascii="Arial Narrow" w:eastAsia="Times New Roman" w:hAnsi="Arial Narrow" w:cs="Times New Roman"/>
                <w:b/>
                <w:bCs/>
                <w:color w:val="FFFFFF" w:themeColor="background1"/>
                <w:sz w:val="16"/>
                <w:szCs w:val="16"/>
                <w:lang w:eastAsia="it-IT"/>
              </w:rPr>
              <w:t xml:space="preserve"> output</w:t>
            </w:r>
          </w:p>
        </w:tc>
        <w:tc>
          <w:tcPr>
            <w:tcW w:w="393" w:type="pct"/>
            <w:shd w:val="clear" w:color="auto" w:fill="17365D"/>
            <w:vAlign w:val="center"/>
            <w:hideMark/>
          </w:tcPr>
          <w:p w14:paraId="3568D779"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378.407</w:t>
            </w:r>
          </w:p>
        </w:tc>
        <w:tc>
          <w:tcPr>
            <w:tcW w:w="462" w:type="pct"/>
            <w:shd w:val="clear" w:color="auto" w:fill="17365D"/>
            <w:vAlign w:val="center"/>
            <w:hideMark/>
          </w:tcPr>
          <w:p w14:paraId="121F1779"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+0,1</w:t>
            </w:r>
          </w:p>
        </w:tc>
        <w:tc>
          <w:tcPr>
            <w:tcW w:w="452" w:type="pct"/>
            <w:shd w:val="clear" w:color="auto" w:fill="17365D"/>
            <w:vAlign w:val="center"/>
            <w:hideMark/>
          </w:tcPr>
          <w:p w14:paraId="4DD4409E"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-1,2</w:t>
            </w:r>
          </w:p>
        </w:tc>
        <w:tc>
          <w:tcPr>
            <w:tcW w:w="470" w:type="pct"/>
            <w:shd w:val="clear" w:color="auto" w:fill="17365D"/>
            <w:vAlign w:val="center"/>
            <w:hideMark/>
          </w:tcPr>
          <w:p w14:paraId="62BFC80F"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-1,0</w:t>
            </w:r>
          </w:p>
        </w:tc>
        <w:tc>
          <w:tcPr>
            <w:tcW w:w="111" w:type="pct"/>
            <w:tcBorders>
              <w:top w:val="nil"/>
              <w:bottom w:val="nil"/>
            </w:tcBorders>
            <w:shd w:val="clear" w:color="auto" w:fill="17365D"/>
            <w:vAlign w:val="center"/>
            <w:hideMark/>
          </w:tcPr>
          <w:p w14:paraId="726ADF68" w14:textId="77777777" w:rsidR="00CA0EC7" w:rsidRPr="000A4737" w:rsidRDefault="00CA0EC7" w:rsidP="00CC5A95">
            <w:pPr>
              <w:widowControl/>
              <w:autoSpaceDE/>
              <w:autoSpaceDN/>
              <w:spacing w:before="40" w:after="20"/>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 </w:t>
            </w:r>
          </w:p>
        </w:tc>
        <w:tc>
          <w:tcPr>
            <w:tcW w:w="393" w:type="pct"/>
            <w:shd w:val="clear" w:color="auto" w:fill="17365D"/>
            <w:vAlign w:val="center"/>
            <w:hideMark/>
          </w:tcPr>
          <w:p w14:paraId="09099192"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406.147</w:t>
            </w:r>
          </w:p>
        </w:tc>
        <w:tc>
          <w:tcPr>
            <w:tcW w:w="487" w:type="pct"/>
            <w:shd w:val="clear" w:color="auto" w:fill="17365D"/>
            <w:vAlign w:val="center"/>
            <w:hideMark/>
          </w:tcPr>
          <w:p w14:paraId="4F223A05"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-0,3</w:t>
            </w:r>
          </w:p>
        </w:tc>
        <w:tc>
          <w:tcPr>
            <w:tcW w:w="487" w:type="pct"/>
            <w:shd w:val="clear" w:color="auto" w:fill="17365D"/>
            <w:vAlign w:val="center"/>
            <w:hideMark/>
          </w:tcPr>
          <w:p w14:paraId="6F18C38E"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+7,7</w:t>
            </w:r>
          </w:p>
        </w:tc>
        <w:tc>
          <w:tcPr>
            <w:tcW w:w="478" w:type="pct"/>
            <w:shd w:val="clear" w:color="auto" w:fill="17365D"/>
            <w:vAlign w:val="center"/>
            <w:hideMark/>
          </w:tcPr>
          <w:p w14:paraId="24131473"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+7,3</w:t>
            </w:r>
          </w:p>
        </w:tc>
      </w:tr>
      <w:tr w:rsidR="00CA0EC7" w:rsidRPr="00CA0EC7" w14:paraId="7B3D5FFA" w14:textId="77777777" w:rsidTr="002E4CB4">
        <w:trPr>
          <w:trHeight w:val="238"/>
        </w:trPr>
        <w:tc>
          <w:tcPr>
            <w:tcW w:w="1267" w:type="pct"/>
            <w:shd w:val="clear" w:color="000000" w:fill="FFFFFF"/>
            <w:vAlign w:val="center"/>
            <w:hideMark/>
          </w:tcPr>
          <w:p w14:paraId="3F56A66F" w14:textId="4A16BE82" w:rsidR="00CA0EC7" w:rsidRPr="00CA0EC7" w:rsidRDefault="00191673" w:rsidP="00CC5A95">
            <w:pPr>
              <w:widowControl/>
              <w:autoSpaceDE/>
              <w:autoSpaceDN/>
              <w:spacing w:before="40" w:after="20"/>
              <w:rPr>
                <w:rFonts w:ascii="Arial Narrow" w:eastAsia="Times New Roman" w:hAnsi="Arial Narrow" w:cs="Times New Roman"/>
                <w:sz w:val="16"/>
                <w:szCs w:val="16"/>
                <w:lang w:eastAsia="it-IT"/>
              </w:rPr>
            </w:pPr>
            <w:proofErr w:type="spellStart"/>
            <w:r>
              <w:rPr>
                <w:rFonts w:ascii="Arial Narrow" w:eastAsia="Times New Roman" w:hAnsi="Arial Narrow" w:cs="Times New Roman"/>
                <w:sz w:val="16"/>
                <w:szCs w:val="16"/>
                <w:lang w:eastAsia="it-IT"/>
              </w:rPr>
              <w:t>Agricultural</w:t>
            </w:r>
            <w:proofErr w:type="spellEnd"/>
            <w:r>
              <w:rPr>
                <w:rFonts w:ascii="Arial Narrow" w:eastAsia="Times New Roman" w:hAnsi="Arial Narrow" w:cs="Times New Roman"/>
                <w:sz w:val="16"/>
                <w:szCs w:val="16"/>
                <w:lang w:eastAsia="it-IT"/>
              </w:rPr>
              <w:t xml:space="preserve"> s</w:t>
            </w:r>
            <w:r w:rsidR="00E82BF5" w:rsidRPr="00E82BF5">
              <w:rPr>
                <w:rFonts w:ascii="Arial Narrow" w:eastAsia="Times New Roman" w:hAnsi="Arial Narrow" w:cs="Times New Roman"/>
                <w:sz w:val="16"/>
                <w:szCs w:val="16"/>
                <w:lang w:eastAsia="it-IT"/>
              </w:rPr>
              <w:t>ervice</w:t>
            </w:r>
            <w:r>
              <w:rPr>
                <w:rFonts w:ascii="Arial Narrow" w:eastAsia="Times New Roman" w:hAnsi="Arial Narrow" w:cs="Times New Roman"/>
                <w:sz w:val="16"/>
                <w:szCs w:val="16"/>
                <w:lang w:eastAsia="it-IT"/>
              </w:rPr>
              <w:t>s</w:t>
            </w:r>
            <w:r w:rsidR="00E82BF5" w:rsidRPr="00E82BF5">
              <w:rPr>
                <w:rFonts w:ascii="Arial Narrow" w:eastAsia="Times New Roman" w:hAnsi="Arial Narrow" w:cs="Times New Roman"/>
                <w:sz w:val="16"/>
                <w:szCs w:val="16"/>
                <w:lang w:eastAsia="it-IT"/>
              </w:rPr>
              <w:t xml:space="preserve"> </w:t>
            </w:r>
            <w:r>
              <w:rPr>
                <w:rFonts w:ascii="Arial Narrow" w:eastAsia="Times New Roman" w:hAnsi="Arial Narrow" w:cs="Times New Roman"/>
                <w:sz w:val="16"/>
                <w:szCs w:val="16"/>
                <w:lang w:eastAsia="it-IT"/>
              </w:rPr>
              <w:t>output</w:t>
            </w:r>
          </w:p>
        </w:tc>
        <w:tc>
          <w:tcPr>
            <w:tcW w:w="393" w:type="pct"/>
            <w:shd w:val="clear" w:color="auto" w:fill="D9D9D9" w:themeFill="background1" w:themeFillShade="D9"/>
            <w:vAlign w:val="center"/>
            <w:hideMark/>
          </w:tcPr>
          <w:p w14:paraId="7A3BD373"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20.539</w:t>
            </w:r>
          </w:p>
        </w:tc>
        <w:tc>
          <w:tcPr>
            <w:tcW w:w="462" w:type="pct"/>
            <w:shd w:val="clear" w:color="000000" w:fill="FFFFFF"/>
            <w:vAlign w:val="center"/>
            <w:hideMark/>
          </w:tcPr>
          <w:p w14:paraId="642BEEE4"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-0,2</w:t>
            </w:r>
          </w:p>
        </w:tc>
        <w:tc>
          <w:tcPr>
            <w:tcW w:w="452" w:type="pct"/>
            <w:shd w:val="clear" w:color="auto" w:fill="D9D9D9" w:themeFill="background1" w:themeFillShade="D9"/>
            <w:vAlign w:val="center"/>
            <w:hideMark/>
          </w:tcPr>
          <w:p w14:paraId="04789472"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+0,8</w:t>
            </w:r>
          </w:p>
        </w:tc>
        <w:tc>
          <w:tcPr>
            <w:tcW w:w="470" w:type="pct"/>
            <w:shd w:val="clear" w:color="000000" w:fill="FFFFFF"/>
            <w:vAlign w:val="center"/>
            <w:hideMark/>
          </w:tcPr>
          <w:p w14:paraId="20E3974F"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+0,5</w:t>
            </w:r>
          </w:p>
        </w:tc>
        <w:tc>
          <w:tcPr>
            <w:tcW w:w="111" w:type="pct"/>
            <w:tcBorders>
              <w:top w:val="nil"/>
              <w:bottom w:val="nil"/>
            </w:tcBorders>
            <w:shd w:val="clear" w:color="auto" w:fill="FFFFFF" w:themeFill="background1"/>
            <w:vAlign w:val="center"/>
            <w:hideMark/>
          </w:tcPr>
          <w:p w14:paraId="56306686"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19D9FEB2"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21.374</w:t>
            </w:r>
          </w:p>
        </w:tc>
        <w:tc>
          <w:tcPr>
            <w:tcW w:w="487" w:type="pct"/>
            <w:shd w:val="clear" w:color="000000" w:fill="FFFFFF"/>
            <w:vAlign w:val="center"/>
            <w:hideMark/>
          </w:tcPr>
          <w:p w14:paraId="5B0CA83D"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+1,8</w:t>
            </w:r>
          </w:p>
        </w:tc>
        <w:tc>
          <w:tcPr>
            <w:tcW w:w="487" w:type="pct"/>
            <w:shd w:val="clear" w:color="auto" w:fill="D9D9D9" w:themeFill="background1" w:themeFillShade="D9"/>
            <w:vAlign w:val="center"/>
            <w:hideMark/>
          </w:tcPr>
          <w:p w14:paraId="0F9F0122"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+2,2</w:t>
            </w:r>
          </w:p>
        </w:tc>
        <w:tc>
          <w:tcPr>
            <w:tcW w:w="478" w:type="pct"/>
            <w:shd w:val="clear" w:color="auto" w:fill="FFFFFF" w:themeFill="background1"/>
            <w:vAlign w:val="center"/>
            <w:hideMark/>
          </w:tcPr>
          <w:p w14:paraId="61FB2814"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+4,1</w:t>
            </w:r>
          </w:p>
        </w:tc>
      </w:tr>
      <w:tr w:rsidR="00CA0EC7" w:rsidRPr="00CA0EC7" w14:paraId="649008B0" w14:textId="77777777" w:rsidTr="0003038B">
        <w:trPr>
          <w:trHeight w:val="238"/>
        </w:trPr>
        <w:tc>
          <w:tcPr>
            <w:tcW w:w="1267" w:type="pct"/>
            <w:shd w:val="clear" w:color="auto" w:fill="17365D"/>
            <w:vAlign w:val="center"/>
            <w:hideMark/>
          </w:tcPr>
          <w:p w14:paraId="7C97FC6B" w14:textId="63D102F3" w:rsidR="00CA0EC7" w:rsidRPr="000A4737" w:rsidRDefault="00E82BF5" w:rsidP="00CC5A95">
            <w:pPr>
              <w:widowControl/>
              <w:autoSpaceDE/>
              <w:autoSpaceDN/>
              <w:spacing w:before="40" w:after="20"/>
              <w:rPr>
                <w:rFonts w:ascii="Arial Narrow" w:eastAsia="Times New Roman" w:hAnsi="Arial Narrow" w:cs="Times New Roman"/>
                <w:b/>
                <w:bCs/>
                <w:color w:val="FFFFFF" w:themeColor="background1"/>
                <w:sz w:val="16"/>
                <w:szCs w:val="16"/>
                <w:lang w:eastAsia="it-IT"/>
              </w:rPr>
            </w:pPr>
            <w:proofErr w:type="spellStart"/>
            <w:r w:rsidRPr="00E82BF5">
              <w:rPr>
                <w:rFonts w:ascii="Arial Narrow" w:eastAsia="Times New Roman" w:hAnsi="Arial Narrow" w:cs="Times New Roman"/>
                <w:b/>
                <w:bCs/>
                <w:color w:val="FFFFFF" w:themeColor="background1"/>
                <w:sz w:val="16"/>
                <w:szCs w:val="16"/>
                <w:lang w:eastAsia="it-IT"/>
              </w:rPr>
              <w:t>Agricultural</w:t>
            </w:r>
            <w:proofErr w:type="spellEnd"/>
            <w:r w:rsidRPr="00E82BF5">
              <w:rPr>
                <w:rFonts w:ascii="Arial Narrow" w:eastAsia="Times New Roman" w:hAnsi="Arial Narrow" w:cs="Times New Roman"/>
                <w:b/>
                <w:bCs/>
                <w:color w:val="FFFFFF" w:themeColor="background1"/>
                <w:sz w:val="16"/>
                <w:szCs w:val="16"/>
                <w:lang w:eastAsia="it-IT"/>
              </w:rPr>
              <w:t xml:space="preserve"> </w:t>
            </w:r>
            <w:r w:rsidR="00191673">
              <w:rPr>
                <w:rFonts w:ascii="Arial Narrow" w:eastAsia="Times New Roman" w:hAnsi="Arial Narrow" w:cs="Times New Roman"/>
                <w:b/>
                <w:bCs/>
                <w:color w:val="FFFFFF" w:themeColor="background1"/>
                <w:sz w:val="16"/>
                <w:szCs w:val="16"/>
                <w:lang w:eastAsia="it-IT"/>
              </w:rPr>
              <w:t>output</w:t>
            </w:r>
          </w:p>
        </w:tc>
        <w:tc>
          <w:tcPr>
            <w:tcW w:w="393" w:type="pct"/>
            <w:shd w:val="clear" w:color="auto" w:fill="17365D"/>
            <w:vAlign w:val="center"/>
            <w:hideMark/>
          </w:tcPr>
          <w:p w14:paraId="6DBB85C9"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398.946</w:t>
            </w:r>
          </w:p>
        </w:tc>
        <w:tc>
          <w:tcPr>
            <w:tcW w:w="462" w:type="pct"/>
            <w:shd w:val="clear" w:color="auto" w:fill="17365D"/>
            <w:vAlign w:val="center"/>
            <w:hideMark/>
          </w:tcPr>
          <w:p w14:paraId="4E086608"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+0,1</w:t>
            </w:r>
          </w:p>
        </w:tc>
        <w:tc>
          <w:tcPr>
            <w:tcW w:w="452" w:type="pct"/>
            <w:shd w:val="clear" w:color="auto" w:fill="17365D"/>
            <w:vAlign w:val="center"/>
            <w:hideMark/>
          </w:tcPr>
          <w:p w14:paraId="333F1E0B"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-1,1</w:t>
            </w:r>
          </w:p>
        </w:tc>
        <w:tc>
          <w:tcPr>
            <w:tcW w:w="470" w:type="pct"/>
            <w:shd w:val="clear" w:color="auto" w:fill="17365D"/>
            <w:vAlign w:val="center"/>
            <w:hideMark/>
          </w:tcPr>
          <w:p w14:paraId="17705D5F"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-1,0</w:t>
            </w:r>
          </w:p>
        </w:tc>
        <w:tc>
          <w:tcPr>
            <w:tcW w:w="111" w:type="pct"/>
            <w:tcBorders>
              <w:top w:val="nil"/>
              <w:bottom w:val="nil"/>
            </w:tcBorders>
            <w:shd w:val="clear" w:color="auto" w:fill="17365D"/>
            <w:vAlign w:val="center"/>
            <w:hideMark/>
          </w:tcPr>
          <w:p w14:paraId="4CBAC307" w14:textId="77777777" w:rsidR="00CA0EC7" w:rsidRPr="000A4737" w:rsidRDefault="00CA0EC7" w:rsidP="00CC5A95">
            <w:pPr>
              <w:widowControl/>
              <w:autoSpaceDE/>
              <w:autoSpaceDN/>
              <w:spacing w:before="40" w:after="20"/>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 </w:t>
            </w:r>
          </w:p>
        </w:tc>
        <w:tc>
          <w:tcPr>
            <w:tcW w:w="393" w:type="pct"/>
            <w:shd w:val="clear" w:color="auto" w:fill="17365D"/>
            <w:vAlign w:val="center"/>
            <w:hideMark/>
          </w:tcPr>
          <w:p w14:paraId="33D8C241"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427.521</w:t>
            </w:r>
          </w:p>
        </w:tc>
        <w:tc>
          <w:tcPr>
            <w:tcW w:w="487" w:type="pct"/>
            <w:shd w:val="clear" w:color="auto" w:fill="17365D"/>
            <w:vAlign w:val="center"/>
            <w:hideMark/>
          </w:tcPr>
          <w:p w14:paraId="1DA101DF"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-0,2</w:t>
            </w:r>
          </w:p>
        </w:tc>
        <w:tc>
          <w:tcPr>
            <w:tcW w:w="487" w:type="pct"/>
            <w:shd w:val="clear" w:color="auto" w:fill="17365D"/>
            <w:vAlign w:val="center"/>
            <w:hideMark/>
          </w:tcPr>
          <w:p w14:paraId="44D17BB6"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+7,4</w:t>
            </w:r>
          </w:p>
        </w:tc>
        <w:tc>
          <w:tcPr>
            <w:tcW w:w="478" w:type="pct"/>
            <w:shd w:val="clear" w:color="auto" w:fill="17365D"/>
            <w:vAlign w:val="center"/>
            <w:hideMark/>
          </w:tcPr>
          <w:p w14:paraId="3383DBB2"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+7,2</w:t>
            </w:r>
          </w:p>
        </w:tc>
      </w:tr>
      <w:tr w:rsidR="00CA0EC7" w:rsidRPr="00CA0EC7" w14:paraId="0A4060BF" w14:textId="77777777" w:rsidTr="002E4CB4">
        <w:trPr>
          <w:trHeight w:val="238"/>
        </w:trPr>
        <w:tc>
          <w:tcPr>
            <w:tcW w:w="1267" w:type="pct"/>
            <w:shd w:val="clear" w:color="000000" w:fill="FFFFFF"/>
            <w:vAlign w:val="center"/>
            <w:hideMark/>
          </w:tcPr>
          <w:p w14:paraId="04AA3DA7" w14:textId="419E0E81" w:rsidR="00CA0EC7" w:rsidRPr="00CA0EC7" w:rsidRDefault="00A742F1" w:rsidP="00CC5A95">
            <w:pPr>
              <w:widowControl/>
              <w:autoSpaceDE/>
              <w:autoSpaceDN/>
              <w:spacing w:before="40" w:after="20"/>
              <w:rPr>
                <w:rFonts w:ascii="Arial Narrow" w:eastAsia="Times New Roman" w:hAnsi="Arial Narrow" w:cs="Times New Roman"/>
                <w:sz w:val="16"/>
                <w:szCs w:val="16"/>
                <w:lang w:eastAsia="it-IT"/>
              </w:rPr>
            </w:pPr>
            <w:proofErr w:type="spellStart"/>
            <w:r w:rsidRPr="00A742F1">
              <w:rPr>
                <w:rFonts w:ascii="Arial Narrow" w:eastAsia="Times New Roman" w:hAnsi="Arial Narrow" w:cs="Times New Roman"/>
                <w:sz w:val="16"/>
                <w:szCs w:val="16"/>
                <w:lang w:eastAsia="it-IT"/>
              </w:rPr>
              <w:t>Secondary</w:t>
            </w:r>
            <w:proofErr w:type="spellEnd"/>
            <w:r w:rsidRPr="00A742F1">
              <w:rPr>
                <w:rFonts w:ascii="Arial Narrow" w:eastAsia="Times New Roman" w:hAnsi="Arial Narrow" w:cs="Times New Roman"/>
                <w:sz w:val="16"/>
                <w:szCs w:val="16"/>
                <w:lang w:eastAsia="it-IT"/>
              </w:rPr>
              <w:t xml:space="preserve"> activities</w:t>
            </w:r>
          </w:p>
        </w:tc>
        <w:tc>
          <w:tcPr>
            <w:tcW w:w="393" w:type="pct"/>
            <w:shd w:val="clear" w:color="auto" w:fill="D9D9D9" w:themeFill="background1" w:themeFillShade="D9"/>
            <w:vAlign w:val="center"/>
            <w:hideMark/>
          </w:tcPr>
          <w:p w14:paraId="120BF0DC"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15.421</w:t>
            </w:r>
          </w:p>
        </w:tc>
        <w:tc>
          <w:tcPr>
            <w:tcW w:w="462" w:type="pct"/>
            <w:shd w:val="clear" w:color="000000" w:fill="FFFFFF"/>
            <w:vAlign w:val="center"/>
            <w:hideMark/>
          </w:tcPr>
          <w:p w14:paraId="6F23DC72"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-5,4</w:t>
            </w:r>
          </w:p>
        </w:tc>
        <w:tc>
          <w:tcPr>
            <w:tcW w:w="452" w:type="pct"/>
            <w:shd w:val="clear" w:color="auto" w:fill="D9D9D9" w:themeFill="background1" w:themeFillShade="D9"/>
            <w:vAlign w:val="center"/>
            <w:hideMark/>
          </w:tcPr>
          <w:p w14:paraId="4DCCE7EA"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+1,0</w:t>
            </w:r>
          </w:p>
        </w:tc>
        <w:tc>
          <w:tcPr>
            <w:tcW w:w="470" w:type="pct"/>
            <w:shd w:val="clear" w:color="000000" w:fill="FFFFFF"/>
            <w:vAlign w:val="center"/>
            <w:hideMark/>
          </w:tcPr>
          <w:p w14:paraId="48E9E86E"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-4,4</w:t>
            </w:r>
          </w:p>
        </w:tc>
        <w:tc>
          <w:tcPr>
            <w:tcW w:w="111" w:type="pct"/>
            <w:tcBorders>
              <w:top w:val="nil"/>
              <w:bottom w:val="nil"/>
            </w:tcBorders>
            <w:shd w:val="clear" w:color="auto" w:fill="FFFFFF" w:themeFill="background1"/>
            <w:vAlign w:val="center"/>
            <w:hideMark/>
          </w:tcPr>
          <w:p w14:paraId="5086976E"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566C3E23"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16.375</w:t>
            </w:r>
          </w:p>
        </w:tc>
        <w:tc>
          <w:tcPr>
            <w:tcW w:w="487" w:type="pct"/>
            <w:shd w:val="clear" w:color="000000" w:fill="FFFFFF"/>
            <w:vAlign w:val="center"/>
            <w:hideMark/>
          </w:tcPr>
          <w:p w14:paraId="1198A321"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-0,2</w:t>
            </w:r>
          </w:p>
        </w:tc>
        <w:tc>
          <w:tcPr>
            <w:tcW w:w="487" w:type="pct"/>
            <w:shd w:val="clear" w:color="auto" w:fill="D9D9D9" w:themeFill="background1" w:themeFillShade="D9"/>
            <w:vAlign w:val="center"/>
            <w:hideMark/>
          </w:tcPr>
          <w:p w14:paraId="27B6D75F"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+6,4</w:t>
            </w:r>
          </w:p>
        </w:tc>
        <w:tc>
          <w:tcPr>
            <w:tcW w:w="478" w:type="pct"/>
            <w:shd w:val="clear" w:color="auto" w:fill="FFFFFF" w:themeFill="background1"/>
            <w:vAlign w:val="center"/>
            <w:hideMark/>
          </w:tcPr>
          <w:p w14:paraId="2C711BB3"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+6,2</w:t>
            </w:r>
          </w:p>
        </w:tc>
      </w:tr>
      <w:tr w:rsidR="00CA0EC7" w:rsidRPr="00CA0EC7" w14:paraId="6D934179" w14:textId="77777777" w:rsidTr="0003038B">
        <w:trPr>
          <w:trHeight w:val="238"/>
        </w:trPr>
        <w:tc>
          <w:tcPr>
            <w:tcW w:w="1267" w:type="pct"/>
            <w:shd w:val="clear" w:color="auto" w:fill="17365D"/>
            <w:vAlign w:val="center"/>
            <w:hideMark/>
          </w:tcPr>
          <w:p w14:paraId="62CC3422" w14:textId="3D9FB0CB" w:rsidR="00CA0EC7" w:rsidRPr="00191673" w:rsidRDefault="00191673" w:rsidP="00CC5A95">
            <w:pPr>
              <w:widowControl/>
              <w:autoSpaceDE/>
              <w:autoSpaceDN/>
              <w:spacing w:before="40" w:after="20"/>
              <w:rPr>
                <w:rFonts w:ascii="Arial Narrow" w:eastAsia="Times New Roman" w:hAnsi="Arial Narrow" w:cs="Times New Roman"/>
                <w:b/>
                <w:bCs/>
                <w:color w:val="FFFFFF" w:themeColor="background1"/>
                <w:sz w:val="16"/>
                <w:szCs w:val="16"/>
                <w:lang w:val="en-US" w:eastAsia="it-IT"/>
              </w:rPr>
            </w:pPr>
            <w:r>
              <w:rPr>
                <w:rFonts w:ascii="Arial Narrow" w:eastAsia="Times New Roman" w:hAnsi="Arial Narrow" w:cs="Times New Roman"/>
                <w:b/>
                <w:bCs/>
                <w:color w:val="FFFFFF" w:themeColor="background1"/>
                <w:sz w:val="16"/>
                <w:szCs w:val="16"/>
                <w:lang w:val="en-US" w:eastAsia="it-IT"/>
              </w:rPr>
              <w:t>Output of</w:t>
            </w:r>
            <w:r w:rsidRPr="00191673">
              <w:rPr>
                <w:rFonts w:ascii="Arial Narrow" w:eastAsia="Times New Roman" w:hAnsi="Arial Narrow" w:cs="Times New Roman"/>
                <w:b/>
                <w:bCs/>
                <w:color w:val="FFFFFF" w:themeColor="background1"/>
                <w:sz w:val="16"/>
                <w:szCs w:val="16"/>
                <w:lang w:val="en-US" w:eastAsia="it-IT"/>
              </w:rPr>
              <w:t xml:space="preserve"> </w:t>
            </w:r>
            <w:r>
              <w:rPr>
                <w:rFonts w:ascii="Arial Narrow" w:eastAsia="Times New Roman" w:hAnsi="Arial Narrow" w:cs="Times New Roman"/>
                <w:b/>
                <w:bCs/>
                <w:color w:val="FFFFFF" w:themeColor="background1"/>
                <w:sz w:val="16"/>
                <w:szCs w:val="16"/>
                <w:lang w:val="en-US" w:eastAsia="it-IT"/>
              </w:rPr>
              <w:t>the</w:t>
            </w:r>
            <w:r w:rsidRPr="00191673">
              <w:rPr>
                <w:rFonts w:ascii="Arial Narrow" w:eastAsia="Times New Roman" w:hAnsi="Arial Narrow" w:cs="Times New Roman"/>
                <w:b/>
                <w:bCs/>
                <w:color w:val="FFFFFF" w:themeColor="background1"/>
                <w:sz w:val="16"/>
                <w:szCs w:val="16"/>
                <w:lang w:val="en-US" w:eastAsia="it-IT"/>
              </w:rPr>
              <w:t xml:space="preserve"> </w:t>
            </w:r>
            <w:r>
              <w:rPr>
                <w:rFonts w:ascii="Arial Narrow" w:eastAsia="Times New Roman" w:hAnsi="Arial Narrow" w:cs="Times New Roman"/>
                <w:b/>
                <w:bCs/>
                <w:color w:val="FFFFFF" w:themeColor="background1"/>
                <w:sz w:val="16"/>
                <w:szCs w:val="16"/>
                <w:lang w:val="en-US" w:eastAsia="it-IT"/>
              </w:rPr>
              <w:t>agricultural</w:t>
            </w:r>
            <w:r w:rsidRPr="00191673">
              <w:rPr>
                <w:rFonts w:ascii="Arial Narrow" w:eastAsia="Times New Roman" w:hAnsi="Arial Narrow" w:cs="Times New Roman"/>
                <w:b/>
                <w:bCs/>
                <w:color w:val="FFFFFF" w:themeColor="background1"/>
                <w:sz w:val="16"/>
                <w:szCs w:val="16"/>
                <w:lang w:val="en-US" w:eastAsia="it-IT"/>
              </w:rPr>
              <w:t xml:space="preserve"> '</w:t>
            </w:r>
            <w:r w:rsidR="007158F3">
              <w:rPr>
                <w:rFonts w:ascii="Arial Narrow" w:eastAsia="Times New Roman" w:hAnsi="Arial Narrow" w:cs="Times New Roman"/>
                <w:b/>
                <w:bCs/>
                <w:color w:val="FFFFFF" w:themeColor="background1"/>
                <w:sz w:val="16"/>
                <w:szCs w:val="16"/>
                <w:lang w:val="en-US" w:eastAsia="it-IT"/>
              </w:rPr>
              <w:t>industry</w:t>
            </w:r>
            <w:r w:rsidRPr="00191673">
              <w:rPr>
                <w:rFonts w:ascii="Arial Narrow" w:eastAsia="Times New Roman" w:hAnsi="Arial Narrow" w:cs="Times New Roman"/>
                <w:b/>
                <w:bCs/>
                <w:color w:val="FFFFFF" w:themeColor="background1"/>
                <w:sz w:val="16"/>
                <w:szCs w:val="16"/>
                <w:lang w:val="en-US" w:eastAsia="it-IT"/>
              </w:rPr>
              <w:t>'</w:t>
            </w:r>
          </w:p>
        </w:tc>
        <w:tc>
          <w:tcPr>
            <w:tcW w:w="393" w:type="pct"/>
            <w:shd w:val="clear" w:color="auto" w:fill="17365D"/>
            <w:vAlign w:val="center"/>
            <w:hideMark/>
          </w:tcPr>
          <w:p w14:paraId="4EF8F7C2"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414.367</w:t>
            </w:r>
          </w:p>
        </w:tc>
        <w:tc>
          <w:tcPr>
            <w:tcW w:w="462" w:type="pct"/>
            <w:shd w:val="clear" w:color="auto" w:fill="17365D"/>
            <w:vAlign w:val="center"/>
            <w:hideMark/>
          </w:tcPr>
          <w:p w14:paraId="4045AD89"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-0,1</w:t>
            </w:r>
          </w:p>
        </w:tc>
        <w:tc>
          <w:tcPr>
            <w:tcW w:w="452" w:type="pct"/>
            <w:shd w:val="clear" w:color="auto" w:fill="17365D"/>
            <w:vAlign w:val="center"/>
            <w:hideMark/>
          </w:tcPr>
          <w:p w14:paraId="4C1F355D"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-1,0</w:t>
            </w:r>
          </w:p>
        </w:tc>
        <w:tc>
          <w:tcPr>
            <w:tcW w:w="470" w:type="pct"/>
            <w:shd w:val="clear" w:color="auto" w:fill="17365D"/>
            <w:vAlign w:val="center"/>
            <w:hideMark/>
          </w:tcPr>
          <w:p w14:paraId="644F0D65"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-1,1</w:t>
            </w:r>
          </w:p>
        </w:tc>
        <w:tc>
          <w:tcPr>
            <w:tcW w:w="111" w:type="pct"/>
            <w:tcBorders>
              <w:top w:val="nil"/>
              <w:bottom w:val="nil"/>
            </w:tcBorders>
            <w:shd w:val="clear" w:color="auto" w:fill="17365D"/>
            <w:vAlign w:val="center"/>
            <w:hideMark/>
          </w:tcPr>
          <w:p w14:paraId="47C1C903" w14:textId="77777777" w:rsidR="00CA0EC7" w:rsidRPr="000A4737" w:rsidRDefault="00CA0EC7" w:rsidP="00CC5A95">
            <w:pPr>
              <w:widowControl/>
              <w:autoSpaceDE/>
              <w:autoSpaceDN/>
              <w:spacing w:before="40" w:after="20"/>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 </w:t>
            </w:r>
          </w:p>
        </w:tc>
        <w:tc>
          <w:tcPr>
            <w:tcW w:w="393" w:type="pct"/>
            <w:shd w:val="clear" w:color="auto" w:fill="17365D"/>
            <w:vAlign w:val="center"/>
            <w:hideMark/>
          </w:tcPr>
          <w:p w14:paraId="70495273"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443.896</w:t>
            </w:r>
          </w:p>
        </w:tc>
        <w:tc>
          <w:tcPr>
            <w:tcW w:w="487" w:type="pct"/>
            <w:shd w:val="clear" w:color="auto" w:fill="17365D"/>
            <w:vAlign w:val="center"/>
            <w:hideMark/>
          </w:tcPr>
          <w:p w14:paraId="47ED083A"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-0,2</w:t>
            </w:r>
          </w:p>
        </w:tc>
        <w:tc>
          <w:tcPr>
            <w:tcW w:w="487" w:type="pct"/>
            <w:shd w:val="clear" w:color="auto" w:fill="17365D"/>
            <w:vAlign w:val="center"/>
            <w:hideMark/>
          </w:tcPr>
          <w:p w14:paraId="6B617C0C"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+7,4</w:t>
            </w:r>
          </w:p>
        </w:tc>
        <w:tc>
          <w:tcPr>
            <w:tcW w:w="478" w:type="pct"/>
            <w:shd w:val="clear" w:color="auto" w:fill="17365D"/>
            <w:vAlign w:val="center"/>
            <w:hideMark/>
          </w:tcPr>
          <w:p w14:paraId="15E0D68B"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+7,1</w:t>
            </w:r>
          </w:p>
        </w:tc>
      </w:tr>
      <w:tr w:rsidR="00CA0EC7" w:rsidRPr="00CA0EC7" w14:paraId="2EF261B0" w14:textId="77777777" w:rsidTr="002E4CB4">
        <w:trPr>
          <w:trHeight w:val="238"/>
        </w:trPr>
        <w:tc>
          <w:tcPr>
            <w:tcW w:w="1267" w:type="pct"/>
            <w:shd w:val="clear" w:color="000000" w:fill="FFFFFF"/>
            <w:vAlign w:val="center"/>
            <w:hideMark/>
          </w:tcPr>
          <w:p w14:paraId="4543BAE3" w14:textId="35138591" w:rsidR="00CA0EC7" w:rsidRPr="00CA0EC7" w:rsidRDefault="00A742F1" w:rsidP="00CC5A95">
            <w:pPr>
              <w:widowControl/>
              <w:autoSpaceDE/>
              <w:autoSpaceDN/>
              <w:spacing w:before="40" w:after="20"/>
              <w:rPr>
                <w:rFonts w:ascii="Arial Narrow" w:eastAsia="Times New Roman" w:hAnsi="Arial Narrow" w:cs="Times New Roman"/>
                <w:sz w:val="16"/>
                <w:szCs w:val="16"/>
                <w:lang w:eastAsia="it-IT"/>
              </w:rPr>
            </w:pPr>
            <w:r w:rsidRPr="00A742F1">
              <w:rPr>
                <w:rFonts w:ascii="Arial Narrow" w:eastAsia="Times New Roman" w:hAnsi="Arial Narrow" w:cs="Times New Roman"/>
                <w:sz w:val="16"/>
                <w:szCs w:val="16"/>
                <w:lang w:eastAsia="it-IT"/>
              </w:rPr>
              <w:t xml:space="preserve">Intermediate </w:t>
            </w:r>
            <w:proofErr w:type="spellStart"/>
            <w:r w:rsidRPr="00A742F1">
              <w:rPr>
                <w:rFonts w:ascii="Arial Narrow" w:eastAsia="Times New Roman" w:hAnsi="Arial Narrow" w:cs="Times New Roman"/>
                <w:sz w:val="16"/>
                <w:szCs w:val="16"/>
                <w:lang w:eastAsia="it-IT"/>
              </w:rPr>
              <w:t>consumption</w:t>
            </w:r>
            <w:proofErr w:type="spellEnd"/>
          </w:p>
        </w:tc>
        <w:tc>
          <w:tcPr>
            <w:tcW w:w="393" w:type="pct"/>
            <w:shd w:val="clear" w:color="auto" w:fill="D9D9D9" w:themeFill="background1" w:themeFillShade="D9"/>
            <w:vAlign w:val="center"/>
            <w:hideMark/>
          </w:tcPr>
          <w:p w14:paraId="52658116"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236.370</w:t>
            </w:r>
          </w:p>
        </w:tc>
        <w:tc>
          <w:tcPr>
            <w:tcW w:w="462" w:type="pct"/>
            <w:shd w:val="clear" w:color="000000" w:fill="FFFFFF"/>
            <w:vAlign w:val="center"/>
            <w:hideMark/>
          </w:tcPr>
          <w:p w14:paraId="1B16150B"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+0,8</w:t>
            </w:r>
          </w:p>
        </w:tc>
        <w:tc>
          <w:tcPr>
            <w:tcW w:w="452" w:type="pct"/>
            <w:shd w:val="clear" w:color="auto" w:fill="D9D9D9" w:themeFill="background1" w:themeFillShade="D9"/>
            <w:vAlign w:val="center"/>
            <w:hideMark/>
          </w:tcPr>
          <w:p w14:paraId="3931F7A0"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-1,6</w:t>
            </w:r>
          </w:p>
        </w:tc>
        <w:tc>
          <w:tcPr>
            <w:tcW w:w="470" w:type="pct"/>
            <w:shd w:val="clear" w:color="000000" w:fill="FFFFFF"/>
            <w:vAlign w:val="center"/>
            <w:hideMark/>
          </w:tcPr>
          <w:p w14:paraId="4CF58A8B"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-0,8</w:t>
            </w:r>
          </w:p>
        </w:tc>
        <w:tc>
          <w:tcPr>
            <w:tcW w:w="111" w:type="pct"/>
            <w:tcBorders>
              <w:top w:val="nil"/>
              <w:bottom w:val="nil"/>
            </w:tcBorders>
            <w:shd w:val="clear" w:color="auto" w:fill="FFFFFF" w:themeFill="background1"/>
            <w:vAlign w:val="center"/>
            <w:hideMark/>
          </w:tcPr>
          <w:p w14:paraId="02D0D309" w14:textId="77777777" w:rsidR="00CA0EC7" w:rsidRPr="00CA0EC7" w:rsidRDefault="00CA0EC7" w:rsidP="00CC5A95">
            <w:pPr>
              <w:widowControl/>
              <w:autoSpaceDE/>
              <w:autoSpaceDN/>
              <w:spacing w:before="40" w:after="20"/>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 </w:t>
            </w:r>
          </w:p>
        </w:tc>
        <w:tc>
          <w:tcPr>
            <w:tcW w:w="393" w:type="pct"/>
            <w:shd w:val="clear" w:color="auto" w:fill="D9D9D9" w:themeFill="background1" w:themeFillShade="D9"/>
            <w:vAlign w:val="center"/>
            <w:hideMark/>
          </w:tcPr>
          <w:p w14:paraId="203CC043"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259.611</w:t>
            </w:r>
          </w:p>
        </w:tc>
        <w:tc>
          <w:tcPr>
            <w:tcW w:w="487" w:type="pct"/>
            <w:shd w:val="clear" w:color="000000" w:fill="FFFFFF"/>
            <w:vAlign w:val="center"/>
            <w:hideMark/>
          </w:tcPr>
          <w:p w14:paraId="55A88276"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+0,6</w:t>
            </w:r>
          </w:p>
        </w:tc>
        <w:tc>
          <w:tcPr>
            <w:tcW w:w="487" w:type="pct"/>
            <w:shd w:val="clear" w:color="auto" w:fill="D9D9D9" w:themeFill="background1" w:themeFillShade="D9"/>
            <w:vAlign w:val="center"/>
            <w:hideMark/>
          </w:tcPr>
          <w:p w14:paraId="3CA1DB95"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+9,2</w:t>
            </w:r>
          </w:p>
        </w:tc>
        <w:tc>
          <w:tcPr>
            <w:tcW w:w="478" w:type="pct"/>
            <w:shd w:val="clear" w:color="auto" w:fill="FFFFFF" w:themeFill="background1"/>
            <w:vAlign w:val="center"/>
            <w:hideMark/>
          </w:tcPr>
          <w:p w14:paraId="2871C07E" w14:textId="77777777" w:rsidR="00CA0EC7" w:rsidRPr="00CA0EC7" w:rsidRDefault="00CA0EC7" w:rsidP="00CC5A95">
            <w:pPr>
              <w:widowControl/>
              <w:autoSpaceDE/>
              <w:autoSpaceDN/>
              <w:spacing w:before="40" w:after="20"/>
              <w:jc w:val="right"/>
              <w:rPr>
                <w:rFonts w:ascii="Arial Narrow" w:eastAsia="Times New Roman" w:hAnsi="Arial Narrow" w:cs="Times New Roman"/>
                <w:sz w:val="16"/>
                <w:szCs w:val="16"/>
                <w:lang w:eastAsia="it-IT"/>
              </w:rPr>
            </w:pPr>
            <w:r w:rsidRPr="00CA0EC7">
              <w:rPr>
                <w:rFonts w:ascii="Arial Narrow" w:eastAsia="Times New Roman" w:hAnsi="Arial Narrow" w:cs="Times New Roman"/>
                <w:sz w:val="16"/>
                <w:szCs w:val="16"/>
                <w:lang w:eastAsia="it-IT"/>
              </w:rPr>
              <w:t>+9,8</w:t>
            </w:r>
          </w:p>
        </w:tc>
      </w:tr>
      <w:tr w:rsidR="00CA0EC7" w:rsidRPr="00CA0EC7" w14:paraId="18AFBCCA" w14:textId="77777777" w:rsidTr="0003038B">
        <w:trPr>
          <w:trHeight w:val="238"/>
        </w:trPr>
        <w:tc>
          <w:tcPr>
            <w:tcW w:w="1267" w:type="pct"/>
            <w:shd w:val="clear" w:color="auto" w:fill="17365D"/>
            <w:vAlign w:val="center"/>
            <w:hideMark/>
          </w:tcPr>
          <w:p w14:paraId="239A7475" w14:textId="63A14473" w:rsidR="00CA0EC7" w:rsidRPr="007158F3" w:rsidRDefault="007158F3" w:rsidP="00CC5A95">
            <w:pPr>
              <w:widowControl/>
              <w:autoSpaceDE/>
              <w:autoSpaceDN/>
              <w:spacing w:before="40" w:after="20"/>
              <w:rPr>
                <w:rFonts w:ascii="Arial Narrow" w:eastAsia="Times New Roman" w:hAnsi="Arial Narrow" w:cs="Times New Roman"/>
                <w:b/>
                <w:bCs/>
                <w:color w:val="FFFFFF" w:themeColor="background1"/>
                <w:sz w:val="16"/>
                <w:szCs w:val="16"/>
                <w:lang w:val="en-US" w:eastAsia="it-IT"/>
              </w:rPr>
            </w:pPr>
            <w:r w:rsidRPr="007158F3">
              <w:rPr>
                <w:rFonts w:ascii="Arial Narrow" w:eastAsia="Times New Roman" w:hAnsi="Arial Narrow" w:cs="Times New Roman"/>
                <w:b/>
                <w:bCs/>
                <w:color w:val="FFFFFF" w:themeColor="background1"/>
                <w:sz w:val="16"/>
                <w:szCs w:val="16"/>
                <w:lang w:val="en-US" w:eastAsia="it-IT"/>
              </w:rPr>
              <w:t>Gross</w:t>
            </w:r>
            <w:r w:rsidR="00A742F1" w:rsidRPr="007158F3">
              <w:rPr>
                <w:rFonts w:ascii="Arial Narrow" w:eastAsia="Times New Roman" w:hAnsi="Arial Narrow" w:cs="Times New Roman"/>
                <w:b/>
                <w:bCs/>
                <w:color w:val="FFFFFF" w:themeColor="background1"/>
                <w:sz w:val="16"/>
                <w:szCs w:val="16"/>
                <w:lang w:val="en-US" w:eastAsia="it-IT"/>
              </w:rPr>
              <w:t xml:space="preserve"> value added</w:t>
            </w:r>
            <w:r w:rsidRPr="007158F3">
              <w:rPr>
                <w:rFonts w:ascii="Arial Narrow" w:eastAsia="Times New Roman" w:hAnsi="Arial Narrow" w:cs="Times New Roman"/>
                <w:b/>
                <w:bCs/>
                <w:color w:val="FFFFFF" w:themeColor="background1"/>
                <w:sz w:val="16"/>
                <w:szCs w:val="16"/>
                <w:lang w:val="en-US" w:eastAsia="it-IT"/>
              </w:rPr>
              <w:t xml:space="preserve"> at basic prices</w:t>
            </w:r>
          </w:p>
        </w:tc>
        <w:tc>
          <w:tcPr>
            <w:tcW w:w="393" w:type="pct"/>
            <w:shd w:val="clear" w:color="auto" w:fill="17365D"/>
            <w:vAlign w:val="center"/>
            <w:hideMark/>
          </w:tcPr>
          <w:p w14:paraId="777265F9"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177.997</w:t>
            </w:r>
          </w:p>
        </w:tc>
        <w:tc>
          <w:tcPr>
            <w:tcW w:w="462" w:type="pct"/>
            <w:shd w:val="clear" w:color="auto" w:fill="17365D"/>
            <w:vAlign w:val="center"/>
            <w:hideMark/>
          </w:tcPr>
          <w:p w14:paraId="7ABEE782"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-1,3</w:t>
            </w:r>
          </w:p>
        </w:tc>
        <w:tc>
          <w:tcPr>
            <w:tcW w:w="452" w:type="pct"/>
            <w:shd w:val="clear" w:color="auto" w:fill="17365D"/>
            <w:vAlign w:val="center"/>
            <w:hideMark/>
          </w:tcPr>
          <w:p w14:paraId="08C44F5B"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-0,2</w:t>
            </w:r>
          </w:p>
        </w:tc>
        <w:tc>
          <w:tcPr>
            <w:tcW w:w="470" w:type="pct"/>
            <w:shd w:val="clear" w:color="auto" w:fill="17365D"/>
            <w:vAlign w:val="center"/>
            <w:hideMark/>
          </w:tcPr>
          <w:p w14:paraId="6E25038A"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-1,5</w:t>
            </w:r>
          </w:p>
        </w:tc>
        <w:tc>
          <w:tcPr>
            <w:tcW w:w="111" w:type="pct"/>
            <w:tcBorders>
              <w:top w:val="nil"/>
              <w:bottom w:val="nil"/>
            </w:tcBorders>
            <w:shd w:val="clear" w:color="auto" w:fill="17365D"/>
            <w:vAlign w:val="center"/>
            <w:hideMark/>
          </w:tcPr>
          <w:p w14:paraId="1D05A8CA" w14:textId="77777777" w:rsidR="00CA0EC7" w:rsidRPr="000A4737" w:rsidRDefault="00CA0EC7" w:rsidP="00CC5A95">
            <w:pPr>
              <w:widowControl/>
              <w:autoSpaceDE/>
              <w:autoSpaceDN/>
              <w:spacing w:before="40" w:after="20"/>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 </w:t>
            </w:r>
          </w:p>
        </w:tc>
        <w:tc>
          <w:tcPr>
            <w:tcW w:w="393" w:type="pct"/>
            <w:shd w:val="clear" w:color="auto" w:fill="17365D"/>
            <w:vAlign w:val="center"/>
            <w:hideMark/>
          </w:tcPr>
          <w:p w14:paraId="7D291755"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184.285</w:t>
            </w:r>
          </w:p>
        </w:tc>
        <w:tc>
          <w:tcPr>
            <w:tcW w:w="487" w:type="pct"/>
            <w:shd w:val="clear" w:color="auto" w:fill="17365D"/>
            <w:vAlign w:val="center"/>
            <w:hideMark/>
          </w:tcPr>
          <w:p w14:paraId="2C7122CC"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-1,3</w:t>
            </w:r>
          </w:p>
        </w:tc>
        <w:tc>
          <w:tcPr>
            <w:tcW w:w="487" w:type="pct"/>
            <w:shd w:val="clear" w:color="auto" w:fill="17365D"/>
            <w:vAlign w:val="center"/>
            <w:hideMark/>
          </w:tcPr>
          <w:p w14:paraId="0B50BCF6"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+4,9</w:t>
            </w:r>
          </w:p>
        </w:tc>
        <w:tc>
          <w:tcPr>
            <w:tcW w:w="478" w:type="pct"/>
            <w:shd w:val="clear" w:color="auto" w:fill="17365D"/>
            <w:vAlign w:val="center"/>
            <w:hideMark/>
          </w:tcPr>
          <w:p w14:paraId="336DDC78" w14:textId="77777777" w:rsidR="00CA0EC7" w:rsidRPr="000A4737" w:rsidRDefault="00CA0EC7" w:rsidP="00CC5A95">
            <w:pPr>
              <w:widowControl/>
              <w:autoSpaceDE/>
              <w:autoSpaceDN/>
              <w:spacing w:before="40" w:after="20"/>
              <w:jc w:val="right"/>
              <w:rPr>
                <w:rFonts w:ascii="Arial Narrow" w:eastAsia="Times New Roman" w:hAnsi="Arial Narrow" w:cs="Times New Roman"/>
                <w:b/>
                <w:bCs/>
                <w:color w:val="FFFFFF" w:themeColor="background1"/>
                <w:sz w:val="16"/>
                <w:szCs w:val="16"/>
                <w:lang w:eastAsia="it-IT"/>
              </w:rPr>
            </w:pPr>
            <w:r w:rsidRPr="000A4737">
              <w:rPr>
                <w:rFonts w:ascii="Arial Narrow" w:eastAsia="Times New Roman" w:hAnsi="Arial Narrow" w:cs="Times New Roman"/>
                <w:b/>
                <w:bCs/>
                <w:color w:val="FFFFFF" w:themeColor="background1"/>
                <w:sz w:val="16"/>
                <w:szCs w:val="16"/>
                <w:lang w:eastAsia="it-IT"/>
              </w:rPr>
              <w:t>+3,5</w:t>
            </w:r>
          </w:p>
        </w:tc>
      </w:tr>
    </w:tbl>
    <w:p w14:paraId="3DFA332F" w14:textId="77777777" w:rsidR="002D13BD" w:rsidRDefault="002D13BD" w:rsidP="00CC5A95">
      <w:pPr>
        <w:widowControl/>
        <w:suppressAutoHyphens/>
        <w:autoSpaceDE/>
        <w:spacing w:after="120"/>
        <w:jc w:val="both"/>
        <w:textAlignment w:val="baseline"/>
        <w:rPr>
          <w:rFonts w:ascii="Trebuchet MS" w:eastAsia="Times New Roman" w:hAnsi="Trebuchet MS" w:cs="Arial"/>
          <w:color w:val="595959" w:themeColor="text1" w:themeTint="A6"/>
          <w:sz w:val="20"/>
          <w:szCs w:val="20"/>
          <w:lang w:eastAsia="it-IT"/>
        </w:rPr>
      </w:pPr>
    </w:p>
    <w:p w14:paraId="04364C8A" w14:textId="3F0A3241" w:rsidR="00F36834" w:rsidRPr="00E30C15" w:rsidRDefault="00E30C15" w:rsidP="00CC5A9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E30C15">
        <w:rPr>
          <w:rFonts w:ascii="Trebuchet MS" w:eastAsia="Times New Roman" w:hAnsi="Trebuchet MS" w:cs="Arial"/>
          <w:color w:val="595959" w:themeColor="text1" w:themeTint="A6"/>
          <w:sz w:val="20"/>
          <w:szCs w:val="20"/>
          <w:lang w:val="en-US" w:eastAsia="it-IT"/>
        </w:rPr>
        <w:t>Among the 27 states of the Union, 22 recorded a positive trend in the value of agricultural production in 2021. The greatest increases involved, among the main member countries, Romania (+ 29.5%), Spain (+ 7.8</w:t>
      </w:r>
      <w:r w:rsidR="00674666" w:rsidRPr="00E30C15">
        <w:rPr>
          <w:rFonts w:ascii="Trebuchet MS" w:eastAsia="Times New Roman" w:hAnsi="Trebuchet MS" w:cs="Arial"/>
          <w:color w:val="595959" w:themeColor="text1" w:themeTint="A6"/>
          <w:sz w:val="20"/>
          <w:szCs w:val="20"/>
          <w:lang w:val="en-US" w:eastAsia="it-IT"/>
        </w:rPr>
        <w:t>%)</w:t>
      </w:r>
      <w:r w:rsidRPr="00E30C15">
        <w:rPr>
          <w:rFonts w:ascii="Trebuchet MS" w:eastAsia="Times New Roman" w:hAnsi="Trebuchet MS" w:cs="Arial"/>
          <w:color w:val="595959" w:themeColor="text1" w:themeTint="A6"/>
          <w:sz w:val="20"/>
          <w:szCs w:val="20"/>
          <w:lang w:val="en-US" w:eastAsia="it-IT"/>
        </w:rPr>
        <w:t>, The Netherlands (+ 7.4%), Poland (+ 7%), France (+ 6.9%), Italy (+ 5.6%) and Germany (+ 3.1%).</w:t>
      </w:r>
    </w:p>
    <w:p w14:paraId="3222FB83" w14:textId="019BD14C" w:rsidR="00F36834" w:rsidRPr="00E14173" w:rsidRDefault="00E14173" w:rsidP="00CC5A9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E14173">
        <w:rPr>
          <w:rFonts w:ascii="Trebuchet MS" w:eastAsia="Times New Roman" w:hAnsi="Trebuchet MS" w:cs="Arial"/>
          <w:color w:val="595959" w:themeColor="text1" w:themeTint="A6"/>
          <w:sz w:val="20"/>
          <w:szCs w:val="20"/>
          <w:lang w:val="en-US" w:eastAsia="it-IT"/>
        </w:rPr>
        <w:t xml:space="preserve">The agricultural value added stood at 184 billion euros for the </w:t>
      </w:r>
      <w:proofErr w:type="gramStart"/>
      <w:r w:rsidRPr="00E14173">
        <w:rPr>
          <w:rFonts w:ascii="Trebuchet MS" w:eastAsia="Times New Roman" w:hAnsi="Trebuchet MS" w:cs="Arial"/>
          <w:color w:val="595959" w:themeColor="text1" w:themeTint="A6"/>
          <w:sz w:val="20"/>
          <w:szCs w:val="20"/>
          <w:lang w:val="en-US" w:eastAsia="it-IT"/>
        </w:rPr>
        <w:t>EU as a whole, marking</w:t>
      </w:r>
      <w:proofErr w:type="gramEnd"/>
      <w:r w:rsidRPr="00E14173">
        <w:rPr>
          <w:rFonts w:ascii="Trebuchet MS" w:eastAsia="Times New Roman" w:hAnsi="Trebuchet MS" w:cs="Arial"/>
          <w:color w:val="595959" w:themeColor="text1" w:themeTint="A6"/>
          <w:sz w:val="20"/>
          <w:szCs w:val="20"/>
          <w:lang w:val="en-US" w:eastAsia="it-IT"/>
        </w:rPr>
        <w:t xml:space="preserve"> an increase of 3.5% compared to 2020.</w:t>
      </w:r>
      <w:r w:rsidR="00F36834" w:rsidRPr="00E14173">
        <w:rPr>
          <w:rFonts w:ascii="Trebuchet MS" w:eastAsia="Times New Roman" w:hAnsi="Trebuchet MS" w:cs="Arial"/>
          <w:color w:val="595959" w:themeColor="text1" w:themeTint="A6"/>
          <w:sz w:val="20"/>
          <w:szCs w:val="20"/>
          <w:lang w:val="en-US" w:eastAsia="it-IT"/>
        </w:rPr>
        <w:t xml:space="preserve"> </w:t>
      </w:r>
      <w:r w:rsidRPr="00E14173">
        <w:rPr>
          <w:rFonts w:ascii="Trebuchet MS" w:eastAsia="Times New Roman" w:hAnsi="Trebuchet MS" w:cs="Arial"/>
          <w:color w:val="595959" w:themeColor="text1" w:themeTint="A6"/>
          <w:sz w:val="20"/>
          <w:szCs w:val="20"/>
          <w:lang w:val="en-US" w:eastAsia="it-IT"/>
        </w:rPr>
        <w:t>In this context, it should be mentioned the exploit of France (+ 12.7%) which, with 35.1 billion euros, reached first place in the ranking, overtaking Italy.</w:t>
      </w:r>
      <w:r w:rsidR="00F36834" w:rsidRPr="00E14173">
        <w:rPr>
          <w:rFonts w:ascii="Trebuchet MS" w:eastAsia="Times New Roman" w:hAnsi="Trebuchet MS" w:cs="Arial"/>
          <w:color w:val="595959" w:themeColor="text1" w:themeTint="A6"/>
          <w:sz w:val="20"/>
          <w:szCs w:val="20"/>
          <w:lang w:val="en-US" w:eastAsia="it-IT"/>
        </w:rPr>
        <w:t xml:space="preserve"> </w:t>
      </w:r>
      <w:r w:rsidRPr="00E14173">
        <w:rPr>
          <w:rFonts w:ascii="Trebuchet MS" w:eastAsia="Times New Roman" w:hAnsi="Trebuchet MS" w:cs="Arial"/>
          <w:color w:val="595959" w:themeColor="text1" w:themeTint="A6"/>
          <w:sz w:val="20"/>
          <w:szCs w:val="20"/>
          <w:lang w:val="en-US" w:eastAsia="it-IT"/>
        </w:rPr>
        <w:t xml:space="preserve">Despite having increased its agricultural </w:t>
      </w:r>
      <w:r w:rsidR="000D6E2A">
        <w:rPr>
          <w:rFonts w:ascii="Trebuchet MS" w:eastAsia="Times New Roman" w:hAnsi="Trebuchet MS" w:cs="Arial"/>
          <w:color w:val="595959" w:themeColor="text1" w:themeTint="A6"/>
          <w:sz w:val="20"/>
          <w:szCs w:val="20"/>
          <w:lang w:val="en-US" w:eastAsia="it-IT"/>
        </w:rPr>
        <w:t>value added</w:t>
      </w:r>
      <w:r w:rsidRPr="00E14173">
        <w:rPr>
          <w:rFonts w:ascii="Trebuchet MS" w:eastAsia="Times New Roman" w:hAnsi="Trebuchet MS" w:cs="Arial"/>
          <w:color w:val="595959" w:themeColor="text1" w:themeTint="A6"/>
          <w:sz w:val="20"/>
          <w:szCs w:val="20"/>
          <w:lang w:val="en-US" w:eastAsia="it-IT"/>
        </w:rPr>
        <w:t xml:space="preserve"> by 2.3%, our country stopped at 32.7 billion euros, losing a leadership that had lasted continuously since 2013. Spain (29.7 billion) and Germany (19.4 </w:t>
      </w:r>
      <w:r w:rsidR="00674666" w:rsidRPr="00E14173">
        <w:rPr>
          <w:rFonts w:ascii="Trebuchet MS" w:eastAsia="Times New Roman" w:hAnsi="Trebuchet MS" w:cs="Arial"/>
          <w:color w:val="595959" w:themeColor="text1" w:themeTint="A6"/>
          <w:sz w:val="20"/>
          <w:szCs w:val="20"/>
          <w:lang w:val="en-US" w:eastAsia="it-IT"/>
        </w:rPr>
        <w:t>billion)</w:t>
      </w:r>
      <w:r w:rsidRPr="00E14173">
        <w:rPr>
          <w:rFonts w:ascii="Trebuchet MS" w:eastAsia="Times New Roman" w:hAnsi="Trebuchet MS" w:cs="Arial"/>
          <w:color w:val="595959" w:themeColor="text1" w:themeTint="A6"/>
          <w:sz w:val="20"/>
          <w:szCs w:val="20"/>
          <w:lang w:val="en-US" w:eastAsia="it-IT"/>
        </w:rPr>
        <w:t xml:space="preserve"> appear in third and fourth position.</w:t>
      </w:r>
      <w:r w:rsidR="00F36834" w:rsidRPr="00E14173">
        <w:rPr>
          <w:rFonts w:ascii="Trebuchet MS" w:eastAsia="Times New Roman" w:hAnsi="Trebuchet MS" w:cs="Arial"/>
          <w:color w:val="595959" w:themeColor="text1" w:themeTint="A6"/>
          <w:sz w:val="20"/>
          <w:szCs w:val="20"/>
          <w:lang w:val="en-US" w:eastAsia="it-IT"/>
        </w:rPr>
        <w:t xml:space="preserve"> </w:t>
      </w:r>
    </w:p>
    <w:p w14:paraId="03179EF8" w14:textId="32A38BF1" w:rsidR="00F36834" w:rsidRPr="009210B0" w:rsidRDefault="009210B0" w:rsidP="00CC5A9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9210B0">
        <w:rPr>
          <w:rFonts w:ascii="Trebuchet MS" w:eastAsia="Times New Roman" w:hAnsi="Trebuchet MS" w:cs="Arial"/>
          <w:color w:val="595959" w:themeColor="text1" w:themeTint="A6"/>
          <w:sz w:val="20"/>
          <w:szCs w:val="20"/>
          <w:lang w:val="en-US" w:eastAsia="it-IT"/>
        </w:rPr>
        <w:t xml:space="preserve">Among the major producers, only Romania managed to outperform France (+ 23.3%), while for the other main Member States the increase in </w:t>
      </w:r>
      <w:r w:rsidR="000D6E2A">
        <w:rPr>
          <w:rFonts w:ascii="Trebuchet MS" w:eastAsia="Times New Roman" w:hAnsi="Trebuchet MS" w:cs="Arial"/>
          <w:color w:val="595959" w:themeColor="text1" w:themeTint="A6"/>
          <w:sz w:val="20"/>
          <w:szCs w:val="20"/>
          <w:lang w:val="en-US" w:eastAsia="it-IT"/>
        </w:rPr>
        <w:t>value added</w:t>
      </w:r>
      <w:r w:rsidRPr="009210B0">
        <w:rPr>
          <w:rFonts w:ascii="Trebuchet MS" w:eastAsia="Times New Roman" w:hAnsi="Trebuchet MS" w:cs="Arial"/>
          <w:color w:val="595959" w:themeColor="text1" w:themeTint="A6"/>
          <w:sz w:val="20"/>
          <w:szCs w:val="20"/>
          <w:lang w:val="en-US" w:eastAsia="it-IT"/>
        </w:rPr>
        <w:t xml:space="preserve"> was more contained (+ 3.8% for Spain, + 2.4% for the Netherlands, + 2.3% for Italy) and in some cases negative (Poland -17.8%, Germany</w:t>
      </w:r>
      <w:r w:rsidR="00CC5A95">
        <w:rPr>
          <w:rFonts w:ascii="Trebuchet MS" w:eastAsia="Times New Roman" w:hAnsi="Trebuchet MS" w:cs="Arial"/>
          <w:color w:val="595959" w:themeColor="text1" w:themeTint="A6"/>
          <w:sz w:val="20"/>
          <w:szCs w:val="20"/>
          <w:lang w:val="en-US" w:eastAsia="it-IT"/>
        </w:rPr>
        <w:t xml:space="preserve"> </w:t>
      </w:r>
      <w:r w:rsidRPr="009210B0">
        <w:rPr>
          <w:rFonts w:ascii="Trebuchet MS" w:eastAsia="Times New Roman" w:hAnsi="Trebuchet MS" w:cs="Arial"/>
          <w:color w:val="595959" w:themeColor="text1" w:themeTint="A6"/>
          <w:sz w:val="20"/>
          <w:szCs w:val="20"/>
          <w:lang w:val="en-US" w:eastAsia="it-IT"/>
        </w:rPr>
        <w:t>-6.1%).</w:t>
      </w:r>
    </w:p>
    <w:p w14:paraId="3C3A436C" w14:textId="59BDA5C9" w:rsidR="00F36834" w:rsidRPr="009210B0" w:rsidRDefault="009210B0" w:rsidP="00CC5A9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proofErr w:type="gramStart"/>
      <w:r w:rsidRPr="009210B0">
        <w:rPr>
          <w:rFonts w:ascii="Trebuchet MS" w:eastAsia="Times New Roman" w:hAnsi="Trebuchet MS" w:cs="Arial"/>
          <w:color w:val="595959" w:themeColor="text1" w:themeTint="A6"/>
          <w:sz w:val="20"/>
          <w:szCs w:val="20"/>
          <w:lang w:val="en-US" w:eastAsia="it-IT"/>
        </w:rPr>
        <w:t>With regard to</w:t>
      </w:r>
      <w:proofErr w:type="gramEnd"/>
      <w:r w:rsidRPr="009210B0">
        <w:rPr>
          <w:rFonts w:ascii="Trebuchet MS" w:eastAsia="Times New Roman" w:hAnsi="Trebuchet MS" w:cs="Arial"/>
          <w:color w:val="595959" w:themeColor="text1" w:themeTint="A6"/>
          <w:sz w:val="20"/>
          <w:szCs w:val="20"/>
          <w:lang w:val="en-US" w:eastAsia="it-IT"/>
        </w:rPr>
        <w:t xml:space="preserve"> EU agricultural inputs (intermediate consumption), after the slowdown in 2020 (-0.8% in value), in 2021 there was a significant increase in the value of costs (+ 9.8%), mainly due to the increase in the price of energy products and fertilizers</w:t>
      </w:r>
      <w:r w:rsidR="00F36834" w:rsidRPr="009210B0">
        <w:rPr>
          <w:rFonts w:ascii="Trebuchet MS" w:eastAsia="Times New Roman" w:hAnsi="Trebuchet MS" w:cs="Arial"/>
          <w:color w:val="595959" w:themeColor="text1" w:themeTint="A6"/>
          <w:sz w:val="20"/>
          <w:szCs w:val="20"/>
          <w:lang w:val="en-US" w:eastAsia="it-IT"/>
        </w:rPr>
        <w:t xml:space="preserve">. </w:t>
      </w:r>
      <w:r w:rsidRPr="009210B0">
        <w:rPr>
          <w:rFonts w:ascii="Trebuchet MS" w:eastAsia="Times New Roman" w:hAnsi="Trebuchet MS" w:cs="Arial"/>
          <w:color w:val="595959" w:themeColor="text1" w:themeTint="A6"/>
          <w:sz w:val="20"/>
          <w:szCs w:val="20"/>
          <w:lang w:val="en-US" w:eastAsia="it-IT"/>
        </w:rPr>
        <w:t>Prices (measured in terms of base price) showed a general consistent rise for the whole of the EU27 (+ 7.4%). The most marked increases were found in Romania (+ 10.8%), France (+ 8.6%), Greece (+ 7.9%), the Netherlands and Poland (+ 7.8%) and Spain (+ 7.6%).</w:t>
      </w:r>
    </w:p>
    <w:p w14:paraId="223949F9" w14:textId="765A2334" w:rsidR="00CC5A95" w:rsidRDefault="009210B0" w:rsidP="00CC5A9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r w:rsidRPr="009210B0">
        <w:rPr>
          <w:rFonts w:ascii="Trebuchet MS" w:eastAsia="Times New Roman" w:hAnsi="Trebuchet MS" w:cs="Arial"/>
          <w:color w:val="595959" w:themeColor="text1" w:themeTint="A6"/>
          <w:sz w:val="20"/>
          <w:szCs w:val="20"/>
          <w:lang w:val="en-US" w:eastAsia="it-IT"/>
        </w:rPr>
        <w:t>The agricultural income indicator A, which measures labor productivity in agriculture, grew by 1.5% at EU27 level but, among the main Member States, only Romania (+ 28%) and France (+16.3 %) recorded significant growth, while all the others were negative (Poland -18.9%, Germany -10.8%, Spain -5.2%, Greece -3.3%, Netherlands -2</w:t>
      </w:r>
      <w:r w:rsidR="00CC5A95">
        <w:rPr>
          <w:rFonts w:ascii="Trebuchet MS" w:eastAsia="Times New Roman" w:hAnsi="Trebuchet MS" w:cs="Arial"/>
          <w:color w:val="595959" w:themeColor="text1" w:themeTint="A6"/>
          <w:sz w:val="20"/>
          <w:szCs w:val="20"/>
          <w:lang w:val="en-US" w:eastAsia="it-IT"/>
        </w:rPr>
        <w:t>.</w:t>
      </w:r>
      <w:r w:rsidRPr="009210B0">
        <w:rPr>
          <w:rFonts w:ascii="Trebuchet MS" w:eastAsia="Times New Roman" w:hAnsi="Trebuchet MS" w:cs="Arial"/>
          <w:color w:val="595959" w:themeColor="text1" w:themeTint="A6"/>
          <w:sz w:val="20"/>
          <w:szCs w:val="20"/>
          <w:lang w:val="en-US" w:eastAsia="it-IT"/>
        </w:rPr>
        <w:t>8% and Italy -1.6%).</w:t>
      </w:r>
      <w:r w:rsidR="00CC5A95">
        <w:rPr>
          <w:rFonts w:ascii="Trebuchet MS" w:eastAsia="Times New Roman" w:hAnsi="Trebuchet MS" w:cs="Arial"/>
          <w:color w:val="595959" w:themeColor="text1" w:themeTint="A6"/>
          <w:sz w:val="20"/>
          <w:szCs w:val="20"/>
          <w:lang w:val="en-US" w:eastAsia="it-IT"/>
        </w:rPr>
        <w:br w:type="page"/>
      </w:r>
    </w:p>
    <w:p w14:paraId="7B0575F4" w14:textId="77777777" w:rsidR="00F36834" w:rsidRPr="009210B0" w:rsidRDefault="00F36834" w:rsidP="00CC5A95">
      <w:pPr>
        <w:widowControl/>
        <w:suppressAutoHyphens/>
        <w:autoSpaceDE/>
        <w:spacing w:after="120"/>
        <w:jc w:val="both"/>
        <w:textAlignment w:val="baseline"/>
        <w:rPr>
          <w:rFonts w:ascii="Trebuchet MS" w:eastAsia="Times New Roman" w:hAnsi="Trebuchet MS" w:cs="Arial"/>
          <w:color w:val="595959" w:themeColor="text1" w:themeTint="A6"/>
          <w:sz w:val="20"/>
          <w:szCs w:val="20"/>
          <w:lang w:val="en-US" w:eastAsia="it-IT"/>
        </w:rPr>
      </w:pPr>
    </w:p>
    <w:p w14:paraId="2197B8BA" w14:textId="77777777" w:rsidR="00906FA0" w:rsidRPr="009210B0" w:rsidRDefault="00906FA0" w:rsidP="00253432">
      <w:pPr>
        <w:widowControl/>
        <w:suppressAutoHyphens/>
        <w:autoSpaceDE/>
        <w:spacing w:after="120"/>
        <w:jc w:val="both"/>
        <w:textAlignment w:val="baseline"/>
        <w:rPr>
          <w:rFonts w:ascii="Trebuchet MS" w:eastAsia="Times New Roman" w:hAnsi="Trebuchet MS" w:cs="Arial"/>
          <w:color w:val="595959" w:themeColor="text1" w:themeTint="A6"/>
          <w:sz w:val="2"/>
          <w:szCs w:val="20"/>
          <w:lang w:val="en-US" w:eastAsia="it-IT"/>
        </w:rPr>
      </w:pPr>
    </w:p>
    <w:p w14:paraId="5496795B" w14:textId="46D51AA1" w:rsidR="00906FA0" w:rsidRPr="000A2517" w:rsidRDefault="000A2517" w:rsidP="00FF69E6">
      <w:pPr>
        <w:spacing w:after="120"/>
        <w:jc w:val="both"/>
        <w:outlineLvl w:val="1"/>
        <w:rPr>
          <w:rFonts w:ascii="Arial Narrow" w:hAnsi="Arial Narrow" w:cs="Arial"/>
          <w:iCs/>
          <w:noProof/>
          <w:color w:val="595959" w:themeColor="text1" w:themeTint="A6"/>
          <w:lang w:val="en-US"/>
        </w:rPr>
      </w:pPr>
      <w:r w:rsidRPr="000A2517">
        <w:rPr>
          <w:rFonts w:ascii="Arial Narrow" w:hAnsi="Arial Narrow" w:cs="Arial"/>
          <w:b/>
          <w:iCs/>
          <w:noProof/>
          <w:color w:val="595959" w:themeColor="text1" w:themeTint="A6"/>
          <w:lang w:val="en-US"/>
        </w:rPr>
        <w:t>TABLE</w:t>
      </w:r>
      <w:r w:rsidR="00F63715" w:rsidRPr="000A2517">
        <w:rPr>
          <w:rFonts w:ascii="Arial Narrow" w:hAnsi="Arial Narrow" w:cs="Arial"/>
          <w:b/>
          <w:iCs/>
          <w:noProof/>
          <w:color w:val="595959" w:themeColor="text1" w:themeTint="A6"/>
          <w:lang w:val="en-US"/>
        </w:rPr>
        <w:t xml:space="preserve"> </w:t>
      </w:r>
      <w:r w:rsidR="009E7529" w:rsidRPr="000A2517">
        <w:rPr>
          <w:rFonts w:ascii="Arial Narrow" w:hAnsi="Arial Narrow" w:cs="Arial"/>
          <w:b/>
          <w:iCs/>
          <w:noProof/>
          <w:color w:val="595959" w:themeColor="text1" w:themeTint="A6"/>
          <w:lang w:val="en-US"/>
        </w:rPr>
        <w:t>7</w:t>
      </w:r>
      <w:r w:rsidR="00DD51CA" w:rsidRPr="000A2517">
        <w:rPr>
          <w:rFonts w:ascii="Arial Narrow" w:hAnsi="Arial Narrow" w:cs="Arial"/>
          <w:b/>
          <w:iCs/>
          <w:noProof/>
          <w:color w:val="595959" w:themeColor="text1" w:themeTint="A6"/>
          <w:lang w:val="en-US"/>
        </w:rPr>
        <w:t xml:space="preserve">. </w:t>
      </w:r>
      <w:r w:rsidRPr="000A2517">
        <w:rPr>
          <w:rFonts w:ascii="Arial Narrow" w:hAnsi="Arial Narrow" w:cs="Arial"/>
          <w:b/>
          <w:iCs/>
          <w:noProof/>
          <w:color w:val="595959" w:themeColor="text1" w:themeTint="A6"/>
          <w:lang w:val="en-US"/>
        </w:rPr>
        <w:t>PRODUCTION, VALUE ADDED AND INDICATOR A IN AGRICULTURE FOR EU27 AND MEMBER STATES</w:t>
      </w:r>
      <w:r w:rsidR="00DD51CA" w:rsidRPr="000A2517">
        <w:rPr>
          <w:rFonts w:ascii="Arial Narrow" w:hAnsi="Arial Narrow" w:cs="Arial"/>
          <w:b/>
          <w:iCs/>
          <w:noProof/>
          <w:color w:val="595959" w:themeColor="text1" w:themeTint="A6"/>
          <w:lang w:val="en-US"/>
        </w:rPr>
        <w:t xml:space="preserve">. </w:t>
      </w:r>
      <w:r w:rsidRPr="000A2517">
        <w:rPr>
          <w:rFonts w:ascii="Arial Narrow" w:hAnsi="Arial Narrow" w:cs="Arial"/>
          <w:iCs/>
          <w:noProof/>
          <w:color w:val="595959" w:themeColor="text1" w:themeTint="A6"/>
          <w:lang w:val="en-US"/>
        </w:rPr>
        <w:t>Years 2020 and 2021, current values in millions of euros and percentage changes</w:t>
      </w:r>
    </w:p>
    <w:tbl>
      <w:tblPr>
        <w:tblW w:w="5249" w:type="pct"/>
        <w:tblCellMar>
          <w:left w:w="70" w:type="dxa"/>
          <w:right w:w="70" w:type="dxa"/>
        </w:tblCellMar>
        <w:tblLook w:val="04A0" w:firstRow="1" w:lastRow="0" w:firstColumn="1" w:lastColumn="0" w:noHBand="0" w:noVBand="1"/>
      </w:tblPr>
      <w:tblGrid>
        <w:gridCol w:w="1052"/>
        <w:gridCol w:w="556"/>
        <w:gridCol w:w="627"/>
        <w:gridCol w:w="648"/>
        <w:gridCol w:w="650"/>
        <w:gridCol w:w="556"/>
        <w:gridCol w:w="627"/>
        <w:gridCol w:w="785"/>
        <w:gridCol w:w="172"/>
        <w:gridCol w:w="556"/>
        <w:gridCol w:w="627"/>
        <w:gridCol w:w="648"/>
        <w:gridCol w:w="650"/>
        <w:gridCol w:w="556"/>
        <w:gridCol w:w="627"/>
        <w:gridCol w:w="785"/>
      </w:tblGrid>
      <w:tr w:rsidR="00A840CE" w:rsidRPr="002914BD" w14:paraId="21D82411" w14:textId="77777777" w:rsidTr="00DD51CA">
        <w:trPr>
          <w:trHeight w:val="227"/>
        </w:trPr>
        <w:tc>
          <w:tcPr>
            <w:tcW w:w="413" w:type="pct"/>
            <w:vMerge w:val="restart"/>
            <w:tcBorders>
              <w:top w:val="single" w:sz="4" w:space="0" w:color="auto"/>
              <w:left w:val="nil"/>
              <w:bottom w:val="nil"/>
              <w:right w:val="nil"/>
            </w:tcBorders>
            <w:shd w:val="clear" w:color="auto" w:fill="auto"/>
            <w:vAlign w:val="center"/>
            <w:hideMark/>
          </w:tcPr>
          <w:p w14:paraId="2A4FF8CC" w14:textId="4D005B93" w:rsidR="00A840CE" w:rsidRPr="002914BD" w:rsidRDefault="000A2517" w:rsidP="00DD51CA">
            <w:pPr>
              <w:widowControl/>
              <w:autoSpaceDE/>
              <w:autoSpaceDN/>
              <w:spacing w:before="40" w:after="20"/>
              <w:jc w:val="center"/>
              <w:rPr>
                <w:rFonts w:ascii="Arial Narrow" w:eastAsia="Times New Roman" w:hAnsi="Arial Narrow" w:cs="Times New Roman"/>
                <w:b/>
                <w:bCs/>
                <w:sz w:val="14"/>
                <w:szCs w:val="14"/>
                <w:lang w:eastAsia="it-IT"/>
              </w:rPr>
            </w:pPr>
            <w:r w:rsidRPr="000A2517">
              <w:rPr>
                <w:rFonts w:ascii="Arial Narrow" w:eastAsia="Times New Roman" w:hAnsi="Arial Narrow" w:cs="Times New Roman"/>
                <w:b/>
                <w:bCs/>
                <w:sz w:val="14"/>
                <w:szCs w:val="14"/>
                <w:lang w:eastAsia="it-IT"/>
              </w:rPr>
              <w:t>AGRICULTURAL ACTIVITIES</w:t>
            </w:r>
            <w:r w:rsidR="00C212E7">
              <w:rPr>
                <w:rFonts w:ascii="Arial Narrow" w:eastAsia="Times New Roman" w:hAnsi="Arial Narrow" w:cs="Times New Roman"/>
                <w:b/>
                <w:bCs/>
                <w:sz w:val="14"/>
                <w:szCs w:val="14"/>
                <w:lang w:eastAsia="it-IT"/>
              </w:rPr>
              <w:t xml:space="preserve"> (EAA)</w:t>
            </w:r>
          </w:p>
        </w:tc>
        <w:tc>
          <w:tcPr>
            <w:tcW w:w="2251" w:type="pct"/>
            <w:gridSpan w:val="7"/>
            <w:tcBorders>
              <w:top w:val="single" w:sz="4" w:space="0" w:color="auto"/>
              <w:left w:val="nil"/>
              <w:bottom w:val="single" w:sz="4" w:space="0" w:color="auto"/>
              <w:right w:val="nil"/>
            </w:tcBorders>
            <w:shd w:val="clear" w:color="auto" w:fill="D9D9D9" w:themeFill="background1" w:themeFillShade="D9"/>
            <w:noWrap/>
            <w:vAlign w:val="center"/>
            <w:hideMark/>
          </w:tcPr>
          <w:p w14:paraId="590876E9" w14:textId="77777777" w:rsidR="00A840CE" w:rsidRPr="002914BD" w:rsidRDefault="00A840CE" w:rsidP="00DD51CA">
            <w:pPr>
              <w:widowControl/>
              <w:autoSpaceDE/>
              <w:autoSpaceDN/>
              <w:spacing w:before="40" w:after="20"/>
              <w:jc w:val="center"/>
              <w:rPr>
                <w:rFonts w:ascii="Arial Narrow" w:eastAsia="Times New Roman" w:hAnsi="Arial Narrow" w:cs="Times New Roman"/>
                <w:b/>
                <w:bCs/>
                <w:sz w:val="14"/>
                <w:szCs w:val="14"/>
                <w:lang w:eastAsia="it-IT"/>
              </w:rPr>
            </w:pPr>
            <w:r w:rsidRPr="002914BD">
              <w:rPr>
                <w:rFonts w:ascii="Arial Narrow" w:eastAsia="Times New Roman" w:hAnsi="Arial Narrow" w:cs="Times New Roman"/>
                <w:b/>
                <w:bCs/>
                <w:sz w:val="14"/>
                <w:szCs w:val="14"/>
                <w:lang w:eastAsia="it-IT"/>
              </w:rPr>
              <w:t>2020</w:t>
            </w:r>
          </w:p>
        </w:tc>
        <w:tc>
          <w:tcPr>
            <w:tcW w:w="85" w:type="pct"/>
            <w:tcBorders>
              <w:top w:val="nil"/>
              <w:left w:val="nil"/>
              <w:bottom w:val="nil"/>
              <w:right w:val="nil"/>
            </w:tcBorders>
            <w:shd w:val="clear" w:color="auto" w:fill="auto"/>
            <w:noWrap/>
            <w:vAlign w:val="center"/>
            <w:hideMark/>
          </w:tcPr>
          <w:p w14:paraId="34C6A974" w14:textId="77777777" w:rsidR="00A840CE" w:rsidRPr="002914BD" w:rsidRDefault="00A840CE" w:rsidP="00DD51CA">
            <w:pPr>
              <w:widowControl/>
              <w:autoSpaceDE/>
              <w:autoSpaceDN/>
              <w:spacing w:before="40" w:after="20"/>
              <w:jc w:val="center"/>
              <w:rPr>
                <w:rFonts w:ascii="Arial Narrow" w:eastAsia="Times New Roman" w:hAnsi="Arial Narrow" w:cs="Times New Roman"/>
                <w:b/>
                <w:bCs/>
                <w:sz w:val="14"/>
                <w:szCs w:val="14"/>
                <w:lang w:eastAsia="it-IT"/>
              </w:rPr>
            </w:pPr>
          </w:p>
        </w:tc>
        <w:tc>
          <w:tcPr>
            <w:tcW w:w="2251" w:type="pct"/>
            <w:gridSpan w:val="7"/>
            <w:tcBorders>
              <w:top w:val="single" w:sz="4" w:space="0" w:color="auto"/>
              <w:left w:val="nil"/>
              <w:bottom w:val="single" w:sz="4" w:space="0" w:color="auto"/>
              <w:right w:val="nil"/>
            </w:tcBorders>
            <w:shd w:val="clear" w:color="auto" w:fill="D9D9D9" w:themeFill="background1" w:themeFillShade="D9"/>
            <w:noWrap/>
            <w:vAlign w:val="center"/>
            <w:hideMark/>
          </w:tcPr>
          <w:p w14:paraId="445F94B1" w14:textId="77777777" w:rsidR="00A840CE" w:rsidRPr="002914BD" w:rsidRDefault="00A840CE" w:rsidP="00DD51CA">
            <w:pPr>
              <w:widowControl/>
              <w:autoSpaceDE/>
              <w:autoSpaceDN/>
              <w:spacing w:before="40" w:after="20"/>
              <w:jc w:val="center"/>
              <w:rPr>
                <w:rFonts w:ascii="Arial Narrow" w:eastAsia="Times New Roman" w:hAnsi="Arial Narrow" w:cs="Times New Roman"/>
                <w:b/>
                <w:bCs/>
                <w:sz w:val="14"/>
                <w:szCs w:val="14"/>
                <w:lang w:eastAsia="it-IT"/>
              </w:rPr>
            </w:pPr>
            <w:r w:rsidRPr="002914BD">
              <w:rPr>
                <w:rFonts w:ascii="Arial Narrow" w:eastAsia="Times New Roman" w:hAnsi="Arial Narrow" w:cs="Times New Roman"/>
                <w:b/>
                <w:bCs/>
                <w:sz w:val="14"/>
                <w:szCs w:val="14"/>
                <w:lang w:eastAsia="it-IT"/>
              </w:rPr>
              <w:t>2021</w:t>
            </w:r>
          </w:p>
        </w:tc>
      </w:tr>
      <w:tr w:rsidR="00DD51CA" w:rsidRPr="002914BD" w14:paraId="12CD8DC8" w14:textId="77777777" w:rsidTr="00960EA8">
        <w:trPr>
          <w:trHeight w:val="227"/>
        </w:trPr>
        <w:tc>
          <w:tcPr>
            <w:tcW w:w="413" w:type="pct"/>
            <w:vMerge/>
            <w:tcBorders>
              <w:top w:val="single" w:sz="4" w:space="0" w:color="auto"/>
              <w:left w:val="nil"/>
              <w:bottom w:val="nil"/>
              <w:right w:val="nil"/>
            </w:tcBorders>
            <w:vAlign w:val="center"/>
            <w:hideMark/>
          </w:tcPr>
          <w:p w14:paraId="7BEC6AE0" w14:textId="77777777" w:rsidR="00DD51CA" w:rsidRPr="002914BD" w:rsidRDefault="00DD51CA" w:rsidP="00DD51CA">
            <w:pPr>
              <w:widowControl/>
              <w:autoSpaceDE/>
              <w:autoSpaceDN/>
              <w:spacing w:before="40" w:after="20"/>
              <w:rPr>
                <w:rFonts w:ascii="Arial Narrow" w:eastAsia="Times New Roman" w:hAnsi="Arial Narrow" w:cs="Times New Roman"/>
                <w:b/>
                <w:bCs/>
                <w:sz w:val="14"/>
                <w:szCs w:val="14"/>
                <w:lang w:eastAsia="it-IT"/>
              </w:rPr>
            </w:pPr>
          </w:p>
        </w:tc>
        <w:tc>
          <w:tcPr>
            <w:tcW w:w="1293" w:type="pct"/>
            <w:gridSpan w:val="4"/>
            <w:tcBorders>
              <w:top w:val="single" w:sz="4" w:space="0" w:color="auto"/>
              <w:left w:val="nil"/>
              <w:bottom w:val="single" w:sz="4" w:space="0" w:color="auto"/>
              <w:right w:val="nil"/>
            </w:tcBorders>
            <w:shd w:val="clear" w:color="auto" w:fill="D9D9D9" w:themeFill="background1" w:themeFillShade="D9"/>
            <w:vAlign w:val="center"/>
            <w:hideMark/>
          </w:tcPr>
          <w:p w14:paraId="37CD1740" w14:textId="0505FF37" w:rsidR="00DD51CA" w:rsidRPr="002914BD" w:rsidRDefault="003D2851" w:rsidP="00DD51CA">
            <w:pPr>
              <w:widowControl/>
              <w:autoSpaceDE/>
              <w:autoSpaceDN/>
              <w:spacing w:before="40" w:after="20"/>
              <w:jc w:val="center"/>
              <w:rPr>
                <w:rFonts w:ascii="Arial Narrow" w:eastAsia="Times New Roman" w:hAnsi="Arial Narrow" w:cs="Times New Roman"/>
                <w:b/>
                <w:bCs/>
                <w:sz w:val="14"/>
                <w:szCs w:val="14"/>
                <w:lang w:eastAsia="it-IT"/>
              </w:rPr>
            </w:pPr>
            <w:r w:rsidRPr="003D2851">
              <w:rPr>
                <w:rFonts w:ascii="Arial Narrow" w:eastAsia="Times New Roman" w:hAnsi="Arial Narrow" w:cs="Times New Roman"/>
                <w:b/>
                <w:bCs/>
                <w:sz w:val="14"/>
                <w:szCs w:val="14"/>
                <w:lang w:eastAsia="it-IT"/>
              </w:rPr>
              <w:t>PRODUCTION</w:t>
            </w:r>
          </w:p>
        </w:tc>
        <w:tc>
          <w:tcPr>
            <w:tcW w:w="618" w:type="pct"/>
            <w:gridSpan w:val="2"/>
            <w:tcBorders>
              <w:top w:val="single" w:sz="4" w:space="0" w:color="auto"/>
              <w:left w:val="nil"/>
              <w:bottom w:val="single" w:sz="4" w:space="0" w:color="auto"/>
              <w:right w:val="nil"/>
            </w:tcBorders>
            <w:shd w:val="clear" w:color="auto" w:fill="auto"/>
            <w:vAlign w:val="center"/>
            <w:hideMark/>
          </w:tcPr>
          <w:p w14:paraId="5201C01A" w14:textId="4FE1D3BB" w:rsidR="00DD51CA" w:rsidRPr="002914BD" w:rsidRDefault="003D2851" w:rsidP="00DD51CA">
            <w:pPr>
              <w:widowControl/>
              <w:autoSpaceDE/>
              <w:autoSpaceDN/>
              <w:spacing w:before="40" w:after="20"/>
              <w:jc w:val="center"/>
              <w:rPr>
                <w:rFonts w:ascii="Arial Narrow" w:eastAsia="Times New Roman" w:hAnsi="Arial Narrow" w:cs="Times New Roman"/>
                <w:b/>
                <w:bCs/>
                <w:sz w:val="14"/>
                <w:szCs w:val="14"/>
                <w:lang w:eastAsia="it-IT"/>
              </w:rPr>
            </w:pPr>
            <w:r w:rsidRPr="003D2851">
              <w:rPr>
                <w:rFonts w:ascii="Arial Narrow" w:eastAsia="Times New Roman" w:hAnsi="Arial Narrow" w:cs="Times New Roman"/>
                <w:b/>
                <w:bCs/>
                <w:sz w:val="14"/>
                <w:szCs w:val="14"/>
                <w:lang w:eastAsia="it-IT"/>
              </w:rPr>
              <w:t>VALUE ADDED</w:t>
            </w:r>
          </w:p>
        </w:tc>
        <w:tc>
          <w:tcPr>
            <w:tcW w:w="340" w:type="pct"/>
            <w:vMerge w:val="restart"/>
            <w:tcBorders>
              <w:top w:val="single" w:sz="4" w:space="0" w:color="auto"/>
              <w:left w:val="nil"/>
              <w:right w:val="nil"/>
            </w:tcBorders>
            <w:shd w:val="clear" w:color="auto" w:fill="auto"/>
            <w:vAlign w:val="center"/>
            <w:hideMark/>
          </w:tcPr>
          <w:p w14:paraId="283374B9" w14:textId="687BC0B6" w:rsidR="00DD51CA" w:rsidRPr="002914BD" w:rsidRDefault="003D2851" w:rsidP="00DD51CA">
            <w:pPr>
              <w:widowControl/>
              <w:autoSpaceDE/>
              <w:autoSpaceDN/>
              <w:spacing w:before="40" w:after="20"/>
              <w:jc w:val="right"/>
              <w:rPr>
                <w:rFonts w:ascii="Arial Narrow" w:eastAsia="Times New Roman" w:hAnsi="Arial Narrow" w:cs="Times New Roman"/>
                <w:b/>
                <w:bCs/>
                <w:sz w:val="14"/>
                <w:szCs w:val="14"/>
                <w:lang w:eastAsia="it-IT"/>
              </w:rPr>
            </w:pPr>
            <w:proofErr w:type="spellStart"/>
            <w:r w:rsidRPr="003D2851">
              <w:rPr>
                <w:rFonts w:ascii="Arial Narrow" w:eastAsia="Times New Roman" w:hAnsi="Arial Narrow" w:cs="Times New Roman"/>
                <w:b/>
                <w:bCs/>
                <w:sz w:val="14"/>
                <w:szCs w:val="14"/>
                <w:lang w:eastAsia="it-IT"/>
              </w:rPr>
              <w:t>Agricultural</w:t>
            </w:r>
            <w:proofErr w:type="spellEnd"/>
            <w:r w:rsidRPr="003D2851">
              <w:rPr>
                <w:rFonts w:ascii="Arial Narrow" w:eastAsia="Times New Roman" w:hAnsi="Arial Narrow" w:cs="Times New Roman"/>
                <w:b/>
                <w:bCs/>
                <w:sz w:val="14"/>
                <w:szCs w:val="14"/>
                <w:lang w:eastAsia="it-IT"/>
              </w:rPr>
              <w:t xml:space="preserve"> </w:t>
            </w:r>
            <w:proofErr w:type="spellStart"/>
            <w:r w:rsidRPr="003D2851">
              <w:rPr>
                <w:rFonts w:ascii="Arial Narrow" w:eastAsia="Times New Roman" w:hAnsi="Arial Narrow" w:cs="Times New Roman"/>
                <w:b/>
                <w:bCs/>
                <w:sz w:val="14"/>
                <w:szCs w:val="14"/>
                <w:lang w:eastAsia="it-IT"/>
              </w:rPr>
              <w:t>income</w:t>
            </w:r>
            <w:proofErr w:type="spellEnd"/>
            <w:r w:rsidRPr="003D2851">
              <w:rPr>
                <w:rFonts w:ascii="Arial Narrow" w:eastAsia="Times New Roman" w:hAnsi="Arial Narrow" w:cs="Times New Roman"/>
                <w:b/>
                <w:bCs/>
                <w:sz w:val="14"/>
                <w:szCs w:val="14"/>
                <w:lang w:eastAsia="it-IT"/>
              </w:rPr>
              <w:t xml:space="preserve"> </w:t>
            </w:r>
            <w:proofErr w:type="spellStart"/>
            <w:r w:rsidRPr="003D2851">
              <w:rPr>
                <w:rFonts w:ascii="Arial Narrow" w:eastAsia="Times New Roman" w:hAnsi="Arial Narrow" w:cs="Times New Roman"/>
                <w:b/>
                <w:bCs/>
                <w:sz w:val="14"/>
                <w:szCs w:val="14"/>
                <w:lang w:eastAsia="it-IT"/>
              </w:rPr>
              <w:t>indicator</w:t>
            </w:r>
            <w:proofErr w:type="spellEnd"/>
            <w:r w:rsidRPr="003D2851">
              <w:rPr>
                <w:rFonts w:ascii="Arial Narrow" w:eastAsia="Times New Roman" w:hAnsi="Arial Narrow" w:cs="Times New Roman"/>
                <w:b/>
                <w:bCs/>
                <w:sz w:val="14"/>
                <w:szCs w:val="14"/>
                <w:lang w:eastAsia="it-IT"/>
              </w:rPr>
              <w:t xml:space="preserve"> A</w:t>
            </w:r>
          </w:p>
        </w:tc>
        <w:tc>
          <w:tcPr>
            <w:tcW w:w="85" w:type="pct"/>
            <w:tcBorders>
              <w:top w:val="nil"/>
              <w:left w:val="nil"/>
              <w:bottom w:val="nil"/>
              <w:right w:val="nil"/>
            </w:tcBorders>
            <w:shd w:val="clear" w:color="auto" w:fill="auto"/>
            <w:vAlign w:val="center"/>
            <w:hideMark/>
          </w:tcPr>
          <w:p w14:paraId="5911976D" w14:textId="77777777" w:rsidR="00DD51CA" w:rsidRPr="002914BD" w:rsidRDefault="00DD51CA" w:rsidP="00DD51CA">
            <w:pPr>
              <w:widowControl/>
              <w:autoSpaceDE/>
              <w:autoSpaceDN/>
              <w:spacing w:before="40" w:after="20"/>
              <w:rPr>
                <w:rFonts w:ascii="Arial Narrow" w:eastAsia="Times New Roman" w:hAnsi="Arial Narrow" w:cs="Times New Roman"/>
                <w:b/>
                <w:bCs/>
                <w:sz w:val="14"/>
                <w:szCs w:val="14"/>
                <w:lang w:eastAsia="it-IT"/>
              </w:rPr>
            </w:pPr>
          </w:p>
        </w:tc>
        <w:tc>
          <w:tcPr>
            <w:tcW w:w="1293" w:type="pct"/>
            <w:gridSpan w:val="4"/>
            <w:tcBorders>
              <w:top w:val="single" w:sz="4" w:space="0" w:color="auto"/>
              <w:left w:val="nil"/>
              <w:bottom w:val="single" w:sz="4" w:space="0" w:color="auto"/>
              <w:right w:val="nil"/>
            </w:tcBorders>
            <w:shd w:val="clear" w:color="auto" w:fill="D9D9D9" w:themeFill="background1" w:themeFillShade="D9"/>
            <w:vAlign w:val="center"/>
            <w:hideMark/>
          </w:tcPr>
          <w:p w14:paraId="12EB0F9C" w14:textId="1C5CA5C4" w:rsidR="00DD51CA" w:rsidRPr="002914BD" w:rsidRDefault="003D2851" w:rsidP="00DD51CA">
            <w:pPr>
              <w:widowControl/>
              <w:autoSpaceDE/>
              <w:autoSpaceDN/>
              <w:spacing w:before="40" w:after="20"/>
              <w:jc w:val="center"/>
              <w:rPr>
                <w:rFonts w:ascii="Arial Narrow" w:eastAsia="Times New Roman" w:hAnsi="Arial Narrow" w:cs="Times New Roman"/>
                <w:b/>
                <w:bCs/>
                <w:sz w:val="14"/>
                <w:szCs w:val="14"/>
                <w:lang w:eastAsia="it-IT"/>
              </w:rPr>
            </w:pPr>
            <w:r w:rsidRPr="003D2851">
              <w:rPr>
                <w:rFonts w:ascii="Arial Narrow" w:eastAsia="Times New Roman" w:hAnsi="Arial Narrow" w:cs="Times New Roman"/>
                <w:b/>
                <w:bCs/>
                <w:sz w:val="14"/>
                <w:szCs w:val="14"/>
                <w:lang w:eastAsia="it-IT"/>
              </w:rPr>
              <w:t>PRODUCTION</w:t>
            </w:r>
          </w:p>
        </w:tc>
        <w:tc>
          <w:tcPr>
            <w:tcW w:w="618" w:type="pct"/>
            <w:gridSpan w:val="2"/>
            <w:tcBorders>
              <w:top w:val="nil"/>
              <w:left w:val="nil"/>
              <w:bottom w:val="single" w:sz="4" w:space="0" w:color="auto"/>
              <w:right w:val="nil"/>
            </w:tcBorders>
            <w:shd w:val="clear" w:color="auto" w:fill="auto"/>
            <w:vAlign w:val="center"/>
            <w:hideMark/>
          </w:tcPr>
          <w:p w14:paraId="5EC2936F" w14:textId="6B23F3D8" w:rsidR="00DD51CA" w:rsidRPr="002914BD" w:rsidRDefault="003D2851" w:rsidP="00DD51CA">
            <w:pPr>
              <w:widowControl/>
              <w:autoSpaceDE/>
              <w:autoSpaceDN/>
              <w:spacing w:before="40" w:after="20"/>
              <w:jc w:val="center"/>
              <w:rPr>
                <w:rFonts w:ascii="Arial Narrow" w:eastAsia="Times New Roman" w:hAnsi="Arial Narrow" w:cs="Times New Roman"/>
                <w:b/>
                <w:bCs/>
                <w:sz w:val="14"/>
                <w:szCs w:val="14"/>
                <w:lang w:eastAsia="it-IT"/>
              </w:rPr>
            </w:pPr>
            <w:r w:rsidRPr="003D2851">
              <w:rPr>
                <w:rFonts w:ascii="Arial Narrow" w:eastAsia="Times New Roman" w:hAnsi="Arial Narrow" w:cs="Times New Roman"/>
                <w:b/>
                <w:bCs/>
                <w:sz w:val="14"/>
                <w:szCs w:val="14"/>
                <w:lang w:eastAsia="it-IT"/>
              </w:rPr>
              <w:t>VALUE ADDED</w:t>
            </w:r>
          </w:p>
        </w:tc>
        <w:tc>
          <w:tcPr>
            <w:tcW w:w="340" w:type="pct"/>
            <w:vMerge w:val="restart"/>
            <w:tcBorders>
              <w:top w:val="nil"/>
              <w:left w:val="nil"/>
              <w:right w:val="nil"/>
            </w:tcBorders>
            <w:shd w:val="clear" w:color="auto" w:fill="auto"/>
            <w:vAlign w:val="center"/>
            <w:hideMark/>
          </w:tcPr>
          <w:p w14:paraId="699EF944" w14:textId="1EED84D1" w:rsidR="00DD51CA" w:rsidRPr="002914BD" w:rsidRDefault="003D2851" w:rsidP="00DD51CA">
            <w:pPr>
              <w:widowControl/>
              <w:autoSpaceDE/>
              <w:autoSpaceDN/>
              <w:spacing w:before="40" w:after="20"/>
              <w:jc w:val="right"/>
              <w:rPr>
                <w:rFonts w:ascii="Arial Narrow" w:eastAsia="Times New Roman" w:hAnsi="Arial Narrow" w:cs="Times New Roman"/>
                <w:b/>
                <w:bCs/>
                <w:sz w:val="14"/>
                <w:szCs w:val="14"/>
                <w:lang w:eastAsia="it-IT"/>
              </w:rPr>
            </w:pPr>
            <w:proofErr w:type="spellStart"/>
            <w:r w:rsidRPr="003D2851">
              <w:rPr>
                <w:rFonts w:ascii="Arial Narrow" w:eastAsia="Times New Roman" w:hAnsi="Arial Narrow" w:cs="Times New Roman"/>
                <w:b/>
                <w:bCs/>
                <w:sz w:val="14"/>
                <w:szCs w:val="14"/>
                <w:lang w:eastAsia="it-IT"/>
              </w:rPr>
              <w:t>Agricultural</w:t>
            </w:r>
            <w:proofErr w:type="spellEnd"/>
            <w:r w:rsidRPr="003D2851">
              <w:rPr>
                <w:rFonts w:ascii="Arial Narrow" w:eastAsia="Times New Roman" w:hAnsi="Arial Narrow" w:cs="Times New Roman"/>
                <w:b/>
                <w:bCs/>
                <w:sz w:val="14"/>
                <w:szCs w:val="14"/>
                <w:lang w:eastAsia="it-IT"/>
              </w:rPr>
              <w:t xml:space="preserve"> </w:t>
            </w:r>
            <w:proofErr w:type="spellStart"/>
            <w:r w:rsidRPr="003D2851">
              <w:rPr>
                <w:rFonts w:ascii="Arial Narrow" w:eastAsia="Times New Roman" w:hAnsi="Arial Narrow" w:cs="Times New Roman"/>
                <w:b/>
                <w:bCs/>
                <w:sz w:val="14"/>
                <w:szCs w:val="14"/>
                <w:lang w:eastAsia="it-IT"/>
              </w:rPr>
              <w:t>income</w:t>
            </w:r>
            <w:proofErr w:type="spellEnd"/>
            <w:r w:rsidRPr="003D2851">
              <w:rPr>
                <w:rFonts w:ascii="Arial Narrow" w:eastAsia="Times New Roman" w:hAnsi="Arial Narrow" w:cs="Times New Roman"/>
                <w:b/>
                <w:bCs/>
                <w:sz w:val="14"/>
                <w:szCs w:val="14"/>
                <w:lang w:eastAsia="it-IT"/>
              </w:rPr>
              <w:t xml:space="preserve"> </w:t>
            </w:r>
            <w:proofErr w:type="spellStart"/>
            <w:r w:rsidRPr="003D2851">
              <w:rPr>
                <w:rFonts w:ascii="Arial Narrow" w:eastAsia="Times New Roman" w:hAnsi="Arial Narrow" w:cs="Times New Roman"/>
                <w:b/>
                <w:bCs/>
                <w:sz w:val="14"/>
                <w:szCs w:val="14"/>
                <w:lang w:eastAsia="it-IT"/>
              </w:rPr>
              <w:t>indicator</w:t>
            </w:r>
            <w:proofErr w:type="spellEnd"/>
            <w:r w:rsidRPr="003D2851">
              <w:rPr>
                <w:rFonts w:ascii="Arial Narrow" w:eastAsia="Times New Roman" w:hAnsi="Arial Narrow" w:cs="Times New Roman"/>
                <w:b/>
                <w:bCs/>
                <w:sz w:val="14"/>
                <w:szCs w:val="14"/>
                <w:lang w:eastAsia="it-IT"/>
              </w:rPr>
              <w:t xml:space="preserve"> A</w:t>
            </w:r>
          </w:p>
        </w:tc>
      </w:tr>
      <w:tr w:rsidR="00DD51CA" w:rsidRPr="002914BD" w14:paraId="629F0460" w14:textId="77777777" w:rsidTr="00960EA8">
        <w:trPr>
          <w:trHeight w:val="227"/>
        </w:trPr>
        <w:tc>
          <w:tcPr>
            <w:tcW w:w="413" w:type="pct"/>
            <w:tcBorders>
              <w:top w:val="nil"/>
              <w:left w:val="nil"/>
              <w:bottom w:val="single" w:sz="4" w:space="0" w:color="auto"/>
              <w:right w:val="nil"/>
            </w:tcBorders>
            <w:shd w:val="clear" w:color="auto" w:fill="auto"/>
            <w:vAlign w:val="center"/>
            <w:hideMark/>
          </w:tcPr>
          <w:p w14:paraId="72C4F098" w14:textId="3D5AB3EB" w:rsidR="00DD51CA" w:rsidRPr="002914BD" w:rsidRDefault="00C212E7" w:rsidP="00DD51CA">
            <w:pPr>
              <w:widowControl/>
              <w:autoSpaceDE/>
              <w:autoSpaceDN/>
              <w:spacing w:before="40" w:after="20"/>
              <w:rPr>
                <w:rFonts w:ascii="Arial Narrow" w:eastAsia="Times New Roman" w:hAnsi="Arial Narrow" w:cs="Times New Roman"/>
                <w:b/>
                <w:bCs/>
                <w:sz w:val="14"/>
                <w:szCs w:val="14"/>
                <w:lang w:eastAsia="it-IT"/>
              </w:rPr>
            </w:pPr>
            <w:proofErr w:type="spellStart"/>
            <w:r w:rsidRPr="00C212E7">
              <w:rPr>
                <w:rFonts w:ascii="Arial Narrow" w:eastAsia="Times New Roman" w:hAnsi="Arial Narrow" w:cs="Times New Roman"/>
                <w:b/>
                <w:bCs/>
                <w:sz w:val="14"/>
                <w:szCs w:val="14"/>
                <w:lang w:eastAsia="it-IT"/>
              </w:rPr>
              <w:t>Member</w:t>
            </w:r>
            <w:proofErr w:type="spellEnd"/>
            <w:r w:rsidRPr="00C212E7">
              <w:rPr>
                <w:rFonts w:ascii="Arial Narrow" w:eastAsia="Times New Roman" w:hAnsi="Arial Narrow" w:cs="Times New Roman"/>
                <w:b/>
                <w:bCs/>
                <w:sz w:val="14"/>
                <w:szCs w:val="14"/>
                <w:lang w:eastAsia="it-IT"/>
              </w:rPr>
              <w:t xml:space="preserve"> </w:t>
            </w:r>
            <w:proofErr w:type="spellStart"/>
            <w:r w:rsidRPr="00C212E7">
              <w:rPr>
                <w:rFonts w:ascii="Arial Narrow" w:eastAsia="Times New Roman" w:hAnsi="Arial Narrow" w:cs="Times New Roman"/>
                <w:b/>
                <w:bCs/>
                <w:sz w:val="14"/>
                <w:szCs w:val="14"/>
                <w:lang w:eastAsia="it-IT"/>
              </w:rPr>
              <w:t>states</w:t>
            </w:r>
            <w:proofErr w:type="spellEnd"/>
          </w:p>
        </w:tc>
        <w:tc>
          <w:tcPr>
            <w:tcW w:w="281" w:type="pct"/>
            <w:tcBorders>
              <w:top w:val="nil"/>
              <w:left w:val="nil"/>
              <w:bottom w:val="single" w:sz="4" w:space="0" w:color="auto"/>
              <w:right w:val="nil"/>
            </w:tcBorders>
            <w:shd w:val="clear" w:color="auto" w:fill="auto"/>
            <w:vAlign w:val="center"/>
            <w:hideMark/>
          </w:tcPr>
          <w:p w14:paraId="084EE73E" w14:textId="5820EC3F" w:rsidR="00DD51CA" w:rsidRPr="003D2851" w:rsidRDefault="003D2851" w:rsidP="00DD51CA">
            <w:pPr>
              <w:widowControl/>
              <w:autoSpaceDE/>
              <w:autoSpaceDN/>
              <w:spacing w:before="40" w:after="20"/>
              <w:jc w:val="right"/>
              <w:rPr>
                <w:rFonts w:ascii="Arial Narrow" w:eastAsia="Times New Roman" w:hAnsi="Arial Narrow" w:cs="Times New Roman"/>
                <w:b/>
                <w:bCs/>
                <w:sz w:val="14"/>
                <w:szCs w:val="14"/>
                <w:lang w:val="en-US" w:eastAsia="it-IT"/>
              </w:rPr>
            </w:pPr>
            <w:r w:rsidRPr="003D2851">
              <w:rPr>
                <w:rFonts w:ascii="Arial Narrow" w:eastAsia="Times New Roman" w:hAnsi="Arial Narrow" w:cs="Times New Roman"/>
                <w:b/>
                <w:bCs/>
                <w:sz w:val="14"/>
                <w:szCs w:val="14"/>
                <w:lang w:val="en-US" w:eastAsia="it-IT"/>
              </w:rPr>
              <w:t>Million euro in current values</w:t>
            </w:r>
          </w:p>
        </w:tc>
        <w:tc>
          <w:tcPr>
            <w:tcW w:w="337" w:type="pct"/>
            <w:tcBorders>
              <w:top w:val="nil"/>
              <w:left w:val="nil"/>
              <w:bottom w:val="single" w:sz="4" w:space="0" w:color="auto"/>
              <w:right w:val="nil"/>
            </w:tcBorders>
            <w:shd w:val="clear" w:color="auto" w:fill="auto"/>
            <w:vAlign w:val="center"/>
            <w:hideMark/>
          </w:tcPr>
          <w:p w14:paraId="5609D7EA" w14:textId="00FFE993" w:rsidR="00DD51CA" w:rsidRPr="002914BD" w:rsidRDefault="003D2851" w:rsidP="00DD51CA">
            <w:pPr>
              <w:widowControl/>
              <w:autoSpaceDE/>
              <w:autoSpaceDN/>
              <w:spacing w:before="40" w:after="20"/>
              <w:jc w:val="right"/>
              <w:rPr>
                <w:rFonts w:ascii="Arial Narrow" w:eastAsia="Times New Roman" w:hAnsi="Arial Narrow" w:cs="Times New Roman"/>
                <w:b/>
                <w:bCs/>
                <w:sz w:val="14"/>
                <w:szCs w:val="14"/>
                <w:lang w:eastAsia="it-IT"/>
              </w:rPr>
            </w:pPr>
            <w:r w:rsidRPr="003D2851">
              <w:rPr>
                <w:rFonts w:ascii="Arial Narrow" w:eastAsia="Times New Roman" w:hAnsi="Arial Narrow" w:cs="Times New Roman"/>
                <w:b/>
                <w:bCs/>
                <w:sz w:val="14"/>
                <w:szCs w:val="14"/>
                <w:lang w:eastAsia="it-IT"/>
              </w:rPr>
              <w:t xml:space="preserve">% Volume </w:t>
            </w:r>
            <w:proofErr w:type="spellStart"/>
            <w:r w:rsidRPr="003D2851">
              <w:rPr>
                <w:rFonts w:ascii="Arial Narrow" w:eastAsia="Times New Roman" w:hAnsi="Arial Narrow" w:cs="Times New Roman"/>
                <w:b/>
                <w:bCs/>
                <w:sz w:val="14"/>
                <w:szCs w:val="14"/>
                <w:lang w:eastAsia="it-IT"/>
              </w:rPr>
              <w:t>changes</w:t>
            </w:r>
            <w:proofErr w:type="spellEnd"/>
          </w:p>
        </w:tc>
        <w:tc>
          <w:tcPr>
            <w:tcW w:w="337" w:type="pct"/>
            <w:tcBorders>
              <w:top w:val="nil"/>
              <w:left w:val="nil"/>
              <w:bottom w:val="single" w:sz="4" w:space="0" w:color="auto"/>
              <w:right w:val="nil"/>
            </w:tcBorders>
            <w:shd w:val="clear" w:color="auto" w:fill="auto"/>
            <w:vAlign w:val="center"/>
            <w:hideMark/>
          </w:tcPr>
          <w:p w14:paraId="52AD1428" w14:textId="5EF5C0FB" w:rsidR="00DD51CA" w:rsidRPr="002914BD" w:rsidRDefault="003D2851" w:rsidP="00DD51CA">
            <w:pPr>
              <w:widowControl/>
              <w:autoSpaceDE/>
              <w:autoSpaceDN/>
              <w:spacing w:before="40" w:after="20"/>
              <w:jc w:val="right"/>
              <w:rPr>
                <w:rFonts w:ascii="Arial Narrow" w:eastAsia="Times New Roman" w:hAnsi="Arial Narrow" w:cs="Times New Roman"/>
                <w:b/>
                <w:bCs/>
                <w:sz w:val="14"/>
                <w:szCs w:val="14"/>
                <w:lang w:eastAsia="it-IT"/>
              </w:rPr>
            </w:pPr>
            <w:r w:rsidRPr="003D2851">
              <w:rPr>
                <w:rFonts w:ascii="Arial Narrow" w:eastAsia="Times New Roman" w:hAnsi="Arial Narrow" w:cs="Times New Roman"/>
                <w:b/>
                <w:bCs/>
                <w:sz w:val="14"/>
                <w:szCs w:val="14"/>
                <w:lang w:eastAsia="it-IT"/>
              </w:rPr>
              <w:t xml:space="preserve">% Price </w:t>
            </w:r>
            <w:proofErr w:type="spellStart"/>
            <w:r w:rsidRPr="003D2851">
              <w:rPr>
                <w:rFonts w:ascii="Arial Narrow" w:eastAsia="Times New Roman" w:hAnsi="Arial Narrow" w:cs="Times New Roman"/>
                <w:b/>
                <w:bCs/>
                <w:sz w:val="14"/>
                <w:szCs w:val="14"/>
                <w:lang w:eastAsia="it-IT"/>
              </w:rPr>
              <w:t>changes</w:t>
            </w:r>
            <w:proofErr w:type="spellEnd"/>
          </w:p>
        </w:tc>
        <w:tc>
          <w:tcPr>
            <w:tcW w:w="337" w:type="pct"/>
            <w:tcBorders>
              <w:top w:val="nil"/>
              <w:left w:val="nil"/>
              <w:bottom w:val="single" w:sz="4" w:space="0" w:color="auto"/>
              <w:right w:val="nil"/>
            </w:tcBorders>
            <w:shd w:val="clear" w:color="auto" w:fill="auto"/>
            <w:vAlign w:val="center"/>
            <w:hideMark/>
          </w:tcPr>
          <w:p w14:paraId="54EB2ECD" w14:textId="63A237EA" w:rsidR="00DD51CA" w:rsidRPr="002914BD" w:rsidRDefault="003D2851" w:rsidP="00DD51CA">
            <w:pPr>
              <w:widowControl/>
              <w:autoSpaceDE/>
              <w:autoSpaceDN/>
              <w:spacing w:before="40" w:after="20"/>
              <w:jc w:val="right"/>
              <w:rPr>
                <w:rFonts w:ascii="Arial Narrow" w:eastAsia="Times New Roman" w:hAnsi="Arial Narrow" w:cs="Times New Roman"/>
                <w:b/>
                <w:bCs/>
                <w:sz w:val="14"/>
                <w:szCs w:val="14"/>
                <w:lang w:eastAsia="it-IT"/>
              </w:rPr>
            </w:pPr>
            <w:r w:rsidRPr="003D2851">
              <w:rPr>
                <w:rFonts w:ascii="Arial Narrow" w:eastAsia="Times New Roman" w:hAnsi="Arial Narrow" w:cs="Times New Roman"/>
                <w:b/>
                <w:bCs/>
                <w:sz w:val="14"/>
                <w:szCs w:val="14"/>
                <w:lang w:eastAsia="it-IT"/>
              </w:rPr>
              <w:t xml:space="preserve">% Value </w:t>
            </w:r>
            <w:proofErr w:type="spellStart"/>
            <w:r w:rsidRPr="003D2851">
              <w:rPr>
                <w:rFonts w:ascii="Arial Narrow" w:eastAsia="Times New Roman" w:hAnsi="Arial Narrow" w:cs="Times New Roman"/>
                <w:b/>
                <w:bCs/>
                <w:sz w:val="14"/>
                <w:szCs w:val="14"/>
                <w:lang w:eastAsia="it-IT"/>
              </w:rPr>
              <w:t>changes</w:t>
            </w:r>
            <w:proofErr w:type="spellEnd"/>
          </w:p>
        </w:tc>
        <w:tc>
          <w:tcPr>
            <w:tcW w:w="281" w:type="pct"/>
            <w:tcBorders>
              <w:top w:val="nil"/>
              <w:left w:val="nil"/>
              <w:bottom w:val="single" w:sz="4" w:space="0" w:color="auto"/>
              <w:right w:val="nil"/>
            </w:tcBorders>
            <w:shd w:val="clear" w:color="auto" w:fill="auto"/>
            <w:vAlign w:val="center"/>
            <w:hideMark/>
          </w:tcPr>
          <w:p w14:paraId="5D6F5A5E" w14:textId="0602CCBE" w:rsidR="00DD51CA" w:rsidRPr="003D2851" w:rsidRDefault="003D2851" w:rsidP="00DD51CA">
            <w:pPr>
              <w:widowControl/>
              <w:autoSpaceDE/>
              <w:autoSpaceDN/>
              <w:spacing w:before="40" w:after="20"/>
              <w:jc w:val="right"/>
              <w:rPr>
                <w:rFonts w:ascii="Arial Narrow" w:eastAsia="Times New Roman" w:hAnsi="Arial Narrow" w:cs="Times New Roman"/>
                <w:b/>
                <w:bCs/>
                <w:sz w:val="14"/>
                <w:szCs w:val="14"/>
                <w:lang w:val="en-US" w:eastAsia="it-IT"/>
              </w:rPr>
            </w:pPr>
            <w:r w:rsidRPr="003D2851">
              <w:rPr>
                <w:rFonts w:ascii="Arial Narrow" w:eastAsia="Times New Roman" w:hAnsi="Arial Narrow" w:cs="Times New Roman"/>
                <w:b/>
                <w:bCs/>
                <w:sz w:val="14"/>
                <w:szCs w:val="14"/>
                <w:lang w:val="en-US" w:eastAsia="it-IT"/>
              </w:rPr>
              <w:t>Million euro in current values</w:t>
            </w:r>
          </w:p>
        </w:tc>
        <w:tc>
          <w:tcPr>
            <w:tcW w:w="337" w:type="pct"/>
            <w:tcBorders>
              <w:top w:val="nil"/>
              <w:left w:val="nil"/>
              <w:bottom w:val="single" w:sz="4" w:space="0" w:color="auto"/>
              <w:right w:val="nil"/>
            </w:tcBorders>
            <w:shd w:val="clear" w:color="auto" w:fill="auto"/>
            <w:vAlign w:val="center"/>
            <w:hideMark/>
          </w:tcPr>
          <w:p w14:paraId="13EAB792" w14:textId="045F0019" w:rsidR="00DD51CA" w:rsidRPr="002914BD" w:rsidRDefault="003D2851" w:rsidP="00DD51CA">
            <w:pPr>
              <w:widowControl/>
              <w:autoSpaceDE/>
              <w:autoSpaceDN/>
              <w:spacing w:before="40" w:after="20"/>
              <w:jc w:val="right"/>
              <w:rPr>
                <w:rFonts w:ascii="Arial Narrow" w:eastAsia="Times New Roman" w:hAnsi="Arial Narrow" w:cs="Times New Roman"/>
                <w:b/>
                <w:bCs/>
                <w:sz w:val="14"/>
                <w:szCs w:val="14"/>
                <w:lang w:eastAsia="it-IT"/>
              </w:rPr>
            </w:pPr>
            <w:r w:rsidRPr="003D2851">
              <w:rPr>
                <w:rFonts w:ascii="Arial Narrow" w:eastAsia="Times New Roman" w:hAnsi="Arial Narrow" w:cs="Times New Roman"/>
                <w:b/>
                <w:bCs/>
                <w:sz w:val="14"/>
                <w:szCs w:val="14"/>
                <w:lang w:eastAsia="it-IT"/>
              </w:rPr>
              <w:t xml:space="preserve">% Volume </w:t>
            </w:r>
            <w:proofErr w:type="spellStart"/>
            <w:r w:rsidRPr="003D2851">
              <w:rPr>
                <w:rFonts w:ascii="Arial Narrow" w:eastAsia="Times New Roman" w:hAnsi="Arial Narrow" w:cs="Times New Roman"/>
                <w:b/>
                <w:bCs/>
                <w:sz w:val="14"/>
                <w:szCs w:val="14"/>
                <w:lang w:eastAsia="it-IT"/>
              </w:rPr>
              <w:t>changes</w:t>
            </w:r>
            <w:proofErr w:type="spellEnd"/>
          </w:p>
        </w:tc>
        <w:tc>
          <w:tcPr>
            <w:tcW w:w="340" w:type="pct"/>
            <w:vMerge/>
            <w:tcBorders>
              <w:left w:val="nil"/>
              <w:bottom w:val="single" w:sz="4" w:space="0" w:color="auto"/>
              <w:right w:val="nil"/>
            </w:tcBorders>
            <w:shd w:val="clear" w:color="auto" w:fill="auto"/>
            <w:vAlign w:val="center"/>
            <w:hideMark/>
          </w:tcPr>
          <w:p w14:paraId="2E911356" w14:textId="2BA6F47D" w:rsidR="00DD51CA" w:rsidRPr="002914BD" w:rsidRDefault="00DD51CA" w:rsidP="00DD51CA">
            <w:pPr>
              <w:widowControl/>
              <w:autoSpaceDE/>
              <w:autoSpaceDN/>
              <w:spacing w:before="40" w:after="20"/>
              <w:jc w:val="right"/>
              <w:rPr>
                <w:rFonts w:ascii="Arial Narrow" w:eastAsia="Times New Roman" w:hAnsi="Arial Narrow" w:cs="Times New Roman"/>
                <w:b/>
                <w:bCs/>
                <w:sz w:val="14"/>
                <w:szCs w:val="14"/>
                <w:lang w:eastAsia="it-IT"/>
              </w:rPr>
            </w:pPr>
          </w:p>
        </w:tc>
        <w:tc>
          <w:tcPr>
            <w:tcW w:w="85" w:type="pct"/>
            <w:tcBorders>
              <w:top w:val="nil"/>
              <w:left w:val="nil"/>
              <w:bottom w:val="nil"/>
              <w:right w:val="nil"/>
            </w:tcBorders>
            <w:shd w:val="clear" w:color="auto" w:fill="auto"/>
            <w:vAlign w:val="center"/>
            <w:hideMark/>
          </w:tcPr>
          <w:p w14:paraId="0E9FA608" w14:textId="77777777" w:rsidR="00DD51CA" w:rsidRPr="002914BD" w:rsidRDefault="00DD51CA" w:rsidP="00DD51CA">
            <w:pPr>
              <w:widowControl/>
              <w:autoSpaceDE/>
              <w:autoSpaceDN/>
              <w:spacing w:before="40" w:after="20"/>
              <w:jc w:val="right"/>
              <w:rPr>
                <w:rFonts w:ascii="Arial Narrow" w:eastAsia="Times New Roman" w:hAnsi="Arial Narrow" w:cs="Times New Roman"/>
                <w:b/>
                <w:bCs/>
                <w:sz w:val="14"/>
                <w:szCs w:val="14"/>
                <w:lang w:eastAsia="it-IT"/>
              </w:rPr>
            </w:pPr>
          </w:p>
        </w:tc>
        <w:tc>
          <w:tcPr>
            <w:tcW w:w="281" w:type="pct"/>
            <w:tcBorders>
              <w:top w:val="nil"/>
              <w:left w:val="nil"/>
              <w:bottom w:val="single" w:sz="4" w:space="0" w:color="auto"/>
              <w:right w:val="nil"/>
            </w:tcBorders>
            <w:shd w:val="clear" w:color="auto" w:fill="auto"/>
            <w:vAlign w:val="center"/>
            <w:hideMark/>
          </w:tcPr>
          <w:p w14:paraId="1DB147F1" w14:textId="01F7B0CE" w:rsidR="00DD51CA" w:rsidRPr="003D2851" w:rsidRDefault="003D2851" w:rsidP="00DD51CA">
            <w:pPr>
              <w:widowControl/>
              <w:autoSpaceDE/>
              <w:autoSpaceDN/>
              <w:spacing w:before="40" w:after="20"/>
              <w:jc w:val="right"/>
              <w:rPr>
                <w:rFonts w:ascii="Arial Narrow" w:eastAsia="Times New Roman" w:hAnsi="Arial Narrow" w:cs="Times New Roman"/>
                <w:b/>
                <w:bCs/>
                <w:sz w:val="14"/>
                <w:szCs w:val="14"/>
                <w:lang w:val="en-US" w:eastAsia="it-IT"/>
              </w:rPr>
            </w:pPr>
            <w:r w:rsidRPr="003D2851">
              <w:rPr>
                <w:rFonts w:ascii="Arial Narrow" w:eastAsia="Times New Roman" w:hAnsi="Arial Narrow" w:cs="Times New Roman"/>
                <w:b/>
                <w:bCs/>
                <w:sz w:val="14"/>
                <w:szCs w:val="14"/>
                <w:lang w:val="en-US" w:eastAsia="it-IT"/>
              </w:rPr>
              <w:t>Million euro in current values</w:t>
            </w:r>
          </w:p>
        </w:tc>
        <w:tc>
          <w:tcPr>
            <w:tcW w:w="337" w:type="pct"/>
            <w:tcBorders>
              <w:top w:val="nil"/>
              <w:left w:val="nil"/>
              <w:bottom w:val="single" w:sz="4" w:space="0" w:color="auto"/>
              <w:right w:val="nil"/>
            </w:tcBorders>
            <w:shd w:val="clear" w:color="auto" w:fill="auto"/>
            <w:vAlign w:val="center"/>
            <w:hideMark/>
          </w:tcPr>
          <w:p w14:paraId="3521A385" w14:textId="2CD99D93" w:rsidR="00DD51CA" w:rsidRPr="002914BD" w:rsidRDefault="003D2851" w:rsidP="00DD51CA">
            <w:pPr>
              <w:widowControl/>
              <w:autoSpaceDE/>
              <w:autoSpaceDN/>
              <w:spacing w:before="40" w:after="20"/>
              <w:jc w:val="right"/>
              <w:rPr>
                <w:rFonts w:ascii="Arial Narrow" w:eastAsia="Times New Roman" w:hAnsi="Arial Narrow" w:cs="Times New Roman"/>
                <w:b/>
                <w:bCs/>
                <w:sz w:val="14"/>
                <w:szCs w:val="14"/>
                <w:lang w:eastAsia="it-IT"/>
              </w:rPr>
            </w:pPr>
            <w:r w:rsidRPr="003D2851">
              <w:rPr>
                <w:rFonts w:ascii="Arial Narrow" w:eastAsia="Times New Roman" w:hAnsi="Arial Narrow" w:cs="Times New Roman"/>
                <w:b/>
                <w:bCs/>
                <w:sz w:val="14"/>
                <w:szCs w:val="14"/>
                <w:lang w:eastAsia="it-IT"/>
              </w:rPr>
              <w:t xml:space="preserve">% Volume </w:t>
            </w:r>
            <w:proofErr w:type="spellStart"/>
            <w:r w:rsidRPr="003D2851">
              <w:rPr>
                <w:rFonts w:ascii="Arial Narrow" w:eastAsia="Times New Roman" w:hAnsi="Arial Narrow" w:cs="Times New Roman"/>
                <w:b/>
                <w:bCs/>
                <w:sz w:val="14"/>
                <w:szCs w:val="14"/>
                <w:lang w:eastAsia="it-IT"/>
              </w:rPr>
              <w:t>changes</w:t>
            </w:r>
            <w:proofErr w:type="spellEnd"/>
          </w:p>
        </w:tc>
        <w:tc>
          <w:tcPr>
            <w:tcW w:w="337" w:type="pct"/>
            <w:tcBorders>
              <w:top w:val="nil"/>
              <w:left w:val="nil"/>
              <w:bottom w:val="single" w:sz="4" w:space="0" w:color="auto"/>
              <w:right w:val="nil"/>
            </w:tcBorders>
            <w:shd w:val="clear" w:color="auto" w:fill="auto"/>
            <w:vAlign w:val="center"/>
            <w:hideMark/>
          </w:tcPr>
          <w:p w14:paraId="668AFD48" w14:textId="460A794D" w:rsidR="00DD51CA" w:rsidRPr="002914BD" w:rsidRDefault="003D2851" w:rsidP="00DD51CA">
            <w:pPr>
              <w:widowControl/>
              <w:autoSpaceDE/>
              <w:autoSpaceDN/>
              <w:spacing w:before="40" w:after="20"/>
              <w:jc w:val="right"/>
              <w:rPr>
                <w:rFonts w:ascii="Arial Narrow" w:eastAsia="Times New Roman" w:hAnsi="Arial Narrow" w:cs="Times New Roman"/>
                <w:b/>
                <w:bCs/>
                <w:sz w:val="14"/>
                <w:szCs w:val="14"/>
                <w:lang w:eastAsia="it-IT"/>
              </w:rPr>
            </w:pPr>
            <w:r w:rsidRPr="003D2851">
              <w:rPr>
                <w:rFonts w:ascii="Arial Narrow" w:eastAsia="Times New Roman" w:hAnsi="Arial Narrow" w:cs="Times New Roman"/>
                <w:b/>
                <w:bCs/>
                <w:sz w:val="14"/>
                <w:szCs w:val="14"/>
                <w:lang w:eastAsia="it-IT"/>
              </w:rPr>
              <w:t xml:space="preserve">% Price </w:t>
            </w:r>
            <w:proofErr w:type="spellStart"/>
            <w:r w:rsidRPr="003D2851">
              <w:rPr>
                <w:rFonts w:ascii="Arial Narrow" w:eastAsia="Times New Roman" w:hAnsi="Arial Narrow" w:cs="Times New Roman"/>
                <w:b/>
                <w:bCs/>
                <w:sz w:val="14"/>
                <w:szCs w:val="14"/>
                <w:lang w:eastAsia="it-IT"/>
              </w:rPr>
              <w:t>changes</w:t>
            </w:r>
            <w:proofErr w:type="spellEnd"/>
          </w:p>
        </w:tc>
        <w:tc>
          <w:tcPr>
            <w:tcW w:w="337" w:type="pct"/>
            <w:tcBorders>
              <w:top w:val="nil"/>
              <w:left w:val="nil"/>
              <w:bottom w:val="single" w:sz="4" w:space="0" w:color="auto"/>
              <w:right w:val="nil"/>
            </w:tcBorders>
            <w:shd w:val="clear" w:color="auto" w:fill="auto"/>
            <w:vAlign w:val="center"/>
            <w:hideMark/>
          </w:tcPr>
          <w:p w14:paraId="7D23966F" w14:textId="2E83912F" w:rsidR="00DD51CA" w:rsidRPr="002914BD" w:rsidRDefault="003D2851" w:rsidP="00DD51CA">
            <w:pPr>
              <w:widowControl/>
              <w:autoSpaceDE/>
              <w:autoSpaceDN/>
              <w:spacing w:before="40" w:after="20"/>
              <w:jc w:val="right"/>
              <w:rPr>
                <w:rFonts w:ascii="Arial Narrow" w:eastAsia="Times New Roman" w:hAnsi="Arial Narrow" w:cs="Times New Roman"/>
                <w:b/>
                <w:bCs/>
                <w:sz w:val="14"/>
                <w:szCs w:val="14"/>
                <w:lang w:eastAsia="it-IT"/>
              </w:rPr>
            </w:pPr>
            <w:r w:rsidRPr="003D2851">
              <w:rPr>
                <w:rFonts w:ascii="Arial Narrow" w:eastAsia="Times New Roman" w:hAnsi="Arial Narrow" w:cs="Times New Roman"/>
                <w:b/>
                <w:bCs/>
                <w:sz w:val="14"/>
                <w:szCs w:val="14"/>
                <w:lang w:eastAsia="it-IT"/>
              </w:rPr>
              <w:t xml:space="preserve">% Value </w:t>
            </w:r>
            <w:proofErr w:type="spellStart"/>
            <w:r w:rsidRPr="003D2851">
              <w:rPr>
                <w:rFonts w:ascii="Arial Narrow" w:eastAsia="Times New Roman" w:hAnsi="Arial Narrow" w:cs="Times New Roman"/>
                <w:b/>
                <w:bCs/>
                <w:sz w:val="14"/>
                <w:szCs w:val="14"/>
                <w:lang w:eastAsia="it-IT"/>
              </w:rPr>
              <w:t>changes</w:t>
            </w:r>
            <w:proofErr w:type="spellEnd"/>
          </w:p>
        </w:tc>
        <w:tc>
          <w:tcPr>
            <w:tcW w:w="281" w:type="pct"/>
            <w:tcBorders>
              <w:top w:val="nil"/>
              <w:left w:val="nil"/>
              <w:bottom w:val="single" w:sz="4" w:space="0" w:color="auto"/>
              <w:right w:val="nil"/>
            </w:tcBorders>
            <w:shd w:val="clear" w:color="auto" w:fill="auto"/>
            <w:vAlign w:val="center"/>
            <w:hideMark/>
          </w:tcPr>
          <w:p w14:paraId="594F1403" w14:textId="1A25C006" w:rsidR="00DD51CA" w:rsidRPr="003D2851" w:rsidRDefault="003D2851" w:rsidP="00DD51CA">
            <w:pPr>
              <w:widowControl/>
              <w:autoSpaceDE/>
              <w:autoSpaceDN/>
              <w:spacing w:before="40" w:after="20"/>
              <w:jc w:val="right"/>
              <w:rPr>
                <w:rFonts w:ascii="Arial Narrow" w:eastAsia="Times New Roman" w:hAnsi="Arial Narrow" w:cs="Times New Roman"/>
                <w:b/>
                <w:bCs/>
                <w:sz w:val="14"/>
                <w:szCs w:val="14"/>
                <w:lang w:val="en-US" w:eastAsia="it-IT"/>
              </w:rPr>
            </w:pPr>
            <w:r w:rsidRPr="003D2851">
              <w:rPr>
                <w:rFonts w:ascii="Arial Narrow" w:eastAsia="Times New Roman" w:hAnsi="Arial Narrow" w:cs="Times New Roman"/>
                <w:b/>
                <w:bCs/>
                <w:sz w:val="14"/>
                <w:szCs w:val="14"/>
                <w:lang w:val="en-US" w:eastAsia="it-IT"/>
              </w:rPr>
              <w:t>Million euro in current values</w:t>
            </w:r>
          </w:p>
        </w:tc>
        <w:tc>
          <w:tcPr>
            <w:tcW w:w="337" w:type="pct"/>
            <w:tcBorders>
              <w:top w:val="nil"/>
              <w:left w:val="nil"/>
              <w:bottom w:val="single" w:sz="4" w:space="0" w:color="auto"/>
              <w:right w:val="nil"/>
            </w:tcBorders>
            <w:shd w:val="clear" w:color="auto" w:fill="auto"/>
            <w:vAlign w:val="center"/>
            <w:hideMark/>
          </w:tcPr>
          <w:p w14:paraId="49BFA250" w14:textId="29BF3425" w:rsidR="00DD51CA" w:rsidRPr="002914BD" w:rsidRDefault="003D2851" w:rsidP="00DD51CA">
            <w:pPr>
              <w:widowControl/>
              <w:autoSpaceDE/>
              <w:autoSpaceDN/>
              <w:spacing w:before="40" w:after="20"/>
              <w:jc w:val="right"/>
              <w:rPr>
                <w:rFonts w:ascii="Arial Narrow" w:eastAsia="Times New Roman" w:hAnsi="Arial Narrow" w:cs="Times New Roman"/>
                <w:b/>
                <w:bCs/>
                <w:sz w:val="14"/>
                <w:szCs w:val="14"/>
                <w:lang w:eastAsia="it-IT"/>
              </w:rPr>
            </w:pPr>
            <w:r w:rsidRPr="003D2851">
              <w:rPr>
                <w:rFonts w:ascii="Arial Narrow" w:eastAsia="Times New Roman" w:hAnsi="Arial Narrow" w:cs="Times New Roman"/>
                <w:b/>
                <w:bCs/>
                <w:sz w:val="14"/>
                <w:szCs w:val="14"/>
                <w:lang w:eastAsia="it-IT"/>
              </w:rPr>
              <w:t xml:space="preserve">% Volume </w:t>
            </w:r>
            <w:proofErr w:type="spellStart"/>
            <w:r w:rsidRPr="003D2851">
              <w:rPr>
                <w:rFonts w:ascii="Arial Narrow" w:eastAsia="Times New Roman" w:hAnsi="Arial Narrow" w:cs="Times New Roman"/>
                <w:b/>
                <w:bCs/>
                <w:sz w:val="14"/>
                <w:szCs w:val="14"/>
                <w:lang w:eastAsia="it-IT"/>
              </w:rPr>
              <w:t>changes</w:t>
            </w:r>
            <w:proofErr w:type="spellEnd"/>
          </w:p>
        </w:tc>
        <w:tc>
          <w:tcPr>
            <w:tcW w:w="340" w:type="pct"/>
            <w:vMerge/>
            <w:tcBorders>
              <w:left w:val="nil"/>
              <w:bottom w:val="single" w:sz="4" w:space="0" w:color="auto"/>
              <w:right w:val="nil"/>
            </w:tcBorders>
            <w:shd w:val="clear" w:color="auto" w:fill="auto"/>
            <w:vAlign w:val="center"/>
            <w:hideMark/>
          </w:tcPr>
          <w:p w14:paraId="57C2AE21" w14:textId="7E5C5A59" w:rsidR="00DD51CA" w:rsidRPr="002914BD" w:rsidRDefault="00DD51CA" w:rsidP="00DD51CA">
            <w:pPr>
              <w:widowControl/>
              <w:autoSpaceDE/>
              <w:autoSpaceDN/>
              <w:spacing w:before="40" w:after="20"/>
              <w:jc w:val="right"/>
              <w:rPr>
                <w:rFonts w:ascii="Arial Narrow" w:eastAsia="Times New Roman" w:hAnsi="Arial Narrow" w:cs="Times New Roman"/>
                <w:b/>
                <w:bCs/>
                <w:sz w:val="14"/>
                <w:szCs w:val="14"/>
                <w:lang w:eastAsia="it-IT"/>
              </w:rPr>
            </w:pPr>
          </w:p>
        </w:tc>
      </w:tr>
      <w:tr w:rsidR="00A840CE" w:rsidRPr="002914BD" w14:paraId="6C312C32" w14:textId="77777777" w:rsidTr="0003038B">
        <w:trPr>
          <w:trHeight w:val="227"/>
        </w:trPr>
        <w:tc>
          <w:tcPr>
            <w:tcW w:w="413" w:type="pct"/>
            <w:tcBorders>
              <w:top w:val="nil"/>
              <w:left w:val="nil"/>
              <w:bottom w:val="single" w:sz="4" w:space="0" w:color="auto"/>
              <w:right w:val="nil"/>
            </w:tcBorders>
            <w:shd w:val="clear" w:color="auto" w:fill="17365D"/>
            <w:vAlign w:val="center"/>
            <w:hideMark/>
          </w:tcPr>
          <w:p w14:paraId="0977AF4B" w14:textId="126F8FA9" w:rsidR="00A840CE" w:rsidRPr="002914BD" w:rsidRDefault="00C212E7" w:rsidP="00A840CE">
            <w:pPr>
              <w:widowControl/>
              <w:autoSpaceDE/>
              <w:autoSpaceDN/>
              <w:rPr>
                <w:rFonts w:ascii="Arial Narrow" w:eastAsia="Times New Roman" w:hAnsi="Arial Narrow" w:cs="Times New Roman"/>
                <w:b/>
                <w:bCs/>
                <w:color w:val="FFFFFF" w:themeColor="background1"/>
                <w:sz w:val="14"/>
                <w:szCs w:val="14"/>
                <w:lang w:eastAsia="it-IT"/>
              </w:rPr>
            </w:pPr>
            <w:r w:rsidRPr="00C212E7">
              <w:rPr>
                <w:rFonts w:ascii="Arial Narrow" w:eastAsia="Times New Roman" w:hAnsi="Arial Narrow" w:cs="Times New Roman"/>
                <w:b/>
                <w:bCs/>
                <w:color w:val="FFFFFF" w:themeColor="background1"/>
                <w:sz w:val="14"/>
                <w:szCs w:val="14"/>
                <w:lang w:eastAsia="it-IT"/>
              </w:rPr>
              <w:t>EU27</w:t>
            </w:r>
          </w:p>
        </w:tc>
        <w:tc>
          <w:tcPr>
            <w:tcW w:w="281" w:type="pct"/>
            <w:tcBorders>
              <w:top w:val="nil"/>
              <w:left w:val="nil"/>
              <w:bottom w:val="nil"/>
              <w:right w:val="nil"/>
            </w:tcBorders>
            <w:shd w:val="clear" w:color="auto" w:fill="17365D"/>
            <w:vAlign w:val="center"/>
            <w:hideMark/>
          </w:tcPr>
          <w:p w14:paraId="4F8C909C" w14:textId="77777777" w:rsidR="00A840CE" w:rsidRPr="002914BD" w:rsidRDefault="00A840CE" w:rsidP="00A840CE">
            <w:pPr>
              <w:widowControl/>
              <w:autoSpaceDE/>
              <w:autoSpaceDN/>
              <w:jc w:val="right"/>
              <w:rPr>
                <w:rFonts w:ascii="Arial Narrow" w:eastAsia="Times New Roman" w:hAnsi="Arial Narrow" w:cs="Times New Roman"/>
                <w:b/>
                <w:bCs/>
                <w:color w:val="FFFFFF" w:themeColor="background1"/>
                <w:sz w:val="14"/>
                <w:szCs w:val="14"/>
                <w:lang w:eastAsia="it-IT"/>
              </w:rPr>
            </w:pPr>
            <w:r w:rsidRPr="002914BD">
              <w:rPr>
                <w:rFonts w:ascii="Arial Narrow" w:eastAsia="Times New Roman" w:hAnsi="Arial Narrow" w:cs="Times New Roman"/>
                <w:b/>
                <w:bCs/>
                <w:color w:val="FFFFFF" w:themeColor="background1"/>
                <w:sz w:val="14"/>
                <w:szCs w:val="14"/>
                <w:lang w:eastAsia="it-IT"/>
              </w:rPr>
              <w:t>414.367</w:t>
            </w:r>
          </w:p>
        </w:tc>
        <w:tc>
          <w:tcPr>
            <w:tcW w:w="337" w:type="pct"/>
            <w:tcBorders>
              <w:top w:val="nil"/>
              <w:left w:val="nil"/>
              <w:bottom w:val="nil"/>
              <w:right w:val="nil"/>
            </w:tcBorders>
            <w:shd w:val="clear" w:color="auto" w:fill="17365D"/>
            <w:vAlign w:val="center"/>
            <w:hideMark/>
          </w:tcPr>
          <w:p w14:paraId="5E948BA2" w14:textId="77777777" w:rsidR="00A840CE" w:rsidRPr="002914BD" w:rsidRDefault="00A840CE" w:rsidP="00A840CE">
            <w:pPr>
              <w:widowControl/>
              <w:autoSpaceDE/>
              <w:autoSpaceDN/>
              <w:jc w:val="right"/>
              <w:rPr>
                <w:rFonts w:ascii="Arial Narrow" w:eastAsia="Times New Roman" w:hAnsi="Arial Narrow" w:cs="Times New Roman"/>
                <w:b/>
                <w:bCs/>
                <w:color w:val="FFFFFF" w:themeColor="background1"/>
                <w:sz w:val="14"/>
                <w:szCs w:val="14"/>
                <w:lang w:eastAsia="it-IT"/>
              </w:rPr>
            </w:pPr>
            <w:r w:rsidRPr="002914BD">
              <w:rPr>
                <w:rFonts w:ascii="Arial Narrow" w:eastAsia="Times New Roman" w:hAnsi="Arial Narrow" w:cs="Times New Roman"/>
                <w:b/>
                <w:bCs/>
                <w:color w:val="FFFFFF" w:themeColor="background1"/>
                <w:sz w:val="14"/>
                <w:szCs w:val="14"/>
                <w:lang w:eastAsia="it-IT"/>
              </w:rPr>
              <w:t>-0,1</w:t>
            </w:r>
          </w:p>
        </w:tc>
        <w:tc>
          <w:tcPr>
            <w:tcW w:w="337" w:type="pct"/>
            <w:tcBorders>
              <w:top w:val="nil"/>
              <w:left w:val="nil"/>
              <w:bottom w:val="nil"/>
              <w:right w:val="nil"/>
            </w:tcBorders>
            <w:shd w:val="clear" w:color="auto" w:fill="17365D"/>
            <w:vAlign w:val="center"/>
            <w:hideMark/>
          </w:tcPr>
          <w:p w14:paraId="03BDB353" w14:textId="77777777" w:rsidR="00A840CE" w:rsidRPr="002914BD" w:rsidRDefault="00A840CE" w:rsidP="00A840CE">
            <w:pPr>
              <w:widowControl/>
              <w:autoSpaceDE/>
              <w:autoSpaceDN/>
              <w:jc w:val="right"/>
              <w:rPr>
                <w:rFonts w:ascii="Arial Narrow" w:eastAsia="Times New Roman" w:hAnsi="Arial Narrow" w:cs="Times New Roman"/>
                <w:b/>
                <w:bCs/>
                <w:color w:val="FFFFFF" w:themeColor="background1"/>
                <w:sz w:val="14"/>
                <w:szCs w:val="14"/>
                <w:lang w:eastAsia="it-IT"/>
              </w:rPr>
            </w:pPr>
            <w:r w:rsidRPr="002914BD">
              <w:rPr>
                <w:rFonts w:ascii="Arial Narrow" w:eastAsia="Times New Roman" w:hAnsi="Arial Narrow" w:cs="Times New Roman"/>
                <w:b/>
                <w:bCs/>
                <w:color w:val="FFFFFF" w:themeColor="background1"/>
                <w:sz w:val="14"/>
                <w:szCs w:val="14"/>
                <w:lang w:eastAsia="it-IT"/>
              </w:rPr>
              <w:t>-1,0</w:t>
            </w:r>
          </w:p>
        </w:tc>
        <w:tc>
          <w:tcPr>
            <w:tcW w:w="337" w:type="pct"/>
            <w:tcBorders>
              <w:top w:val="nil"/>
              <w:left w:val="nil"/>
              <w:bottom w:val="nil"/>
              <w:right w:val="nil"/>
            </w:tcBorders>
            <w:shd w:val="clear" w:color="auto" w:fill="17365D"/>
            <w:vAlign w:val="center"/>
            <w:hideMark/>
          </w:tcPr>
          <w:p w14:paraId="1F953917" w14:textId="77777777" w:rsidR="00A840CE" w:rsidRPr="002914BD" w:rsidRDefault="00A840CE" w:rsidP="00A840CE">
            <w:pPr>
              <w:widowControl/>
              <w:autoSpaceDE/>
              <w:autoSpaceDN/>
              <w:jc w:val="right"/>
              <w:rPr>
                <w:rFonts w:ascii="Arial Narrow" w:eastAsia="Times New Roman" w:hAnsi="Arial Narrow" w:cs="Times New Roman"/>
                <w:b/>
                <w:bCs/>
                <w:color w:val="FFFFFF" w:themeColor="background1"/>
                <w:sz w:val="14"/>
                <w:szCs w:val="14"/>
                <w:lang w:eastAsia="it-IT"/>
              </w:rPr>
            </w:pPr>
            <w:r w:rsidRPr="002914BD">
              <w:rPr>
                <w:rFonts w:ascii="Arial Narrow" w:eastAsia="Times New Roman" w:hAnsi="Arial Narrow" w:cs="Times New Roman"/>
                <w:b/>
                <w:bCs/>
                <w:color w:val="FFFFFF" w:themeColor="background1"/>
                <w:sz w:val="14"/>
                <w:szCs w:val="14"/>
                <w:lang w:eastAsia="it-IT"/>
              </w:rPr>
              <w:t>-1,1</w:t>
            </w:r>
          </w:p>
        </w:tc>
        <w:tc>
          <w:tcPr>
            <w:tcW w:w="281" w:type="pct"/>
            <w:tcBorders>
              <w:top w:val="nil"/>
              <w:left w:val="nil"/>
              <w:bottom w:val="nil"/>
              <w:right w:val="nil"/>
            </w:tcBorders>
            <w:shd w:val="clear" w:color="auto" w:fill="17365D"/>
            <w:vAlign w:val="center"/>
            <w:hideMark/>
          </w:tcPr>
          <w:p w14:paraId="3ABBFB33" w14:textId="77777777" w:rsidR="00A840CE" w:rsidRPr="002914BD" w:rsidRDefault="00A840CE" w:rsidP="00A840CE">
            <w:pPr>
              <w:widowControl/>
              <w:autoSpaceDE/>
              <w:autoSpaceDN/>
              <w:jc w:val="right"/>
              <w:rPr>
                <w:rFonts w:ascii="Arial Narrow" w:eastAsia="Times New Roman" w:hAnsi="Arial Narrow" w:cs="Times New Roman"/>
                <w:b/>
                <w:bCs/>
                <w:color w:val="FFFFFF" w:themeColor="background1"/>
                <w:sz w:val="14"/>
                <w:szCs w:val="14"/>
                <w:lang w:eastAsia="it-IT"/>
              </w:rPr>
            </w:pPr>
            <w:r w:rsidRPr="002914BD">
              <w:rPr>
                <w:rFonts w:ascii="Arial Narrow" w:eastAsia="Times New Roman" w:hAnsi="Arial Narrow" w:cs="Times New Roman"/>
                <w:b/>
                <w:bCs/>
                <w:color w:val="FFFFFF" w:themeColor="background1"/>
                <w:sz w:val="14"/>
                <w:szCs w:val="14"/>
                <w:lang w:eastAsia="it-IT"/>
              </w:rPr>
              <w:t>177.997</w:t>
            </w:r>
          </w:p>
        </w:tc>
        <w:tc>
          <w:tcPr>
            <w:tcW w:w="337" w:type="pct"/>
            <w:tcBorders>
              <w:top w:val="nil"/>
              <w:left w:val="nil"/>
              <w:bottom w:val="nil"/>
              <w:right w:val="nil"/>
            </w:tcBorders>
            <w:shd w:val="clear" w:color="auto" w:fill="17365D"/>
            <w:vAlign w:val="center"/>
            <w:hideMark/>
          </w:tcPr>
          <w:p w14:paraId="58A0B72E" w14:textId="77777777" w:rsidR="00A840CE" w:rsidRPr="002914BD" w:rsidRDefault="00A840CE" w:rsidP="00A840CE">
            <w:pPr>
              <w:widowControl/>
              <w:autoSpaceDE/>
              <w:autoSpaceDN/>
              <w:jc w:val="right"/>
              <w:rPr>
                <w:rFonts w:ascii="Arial Narrow" w:eastAsia="Times New Roman" w:hAnsi="Arial Narrow" w:cs="Times New Roman"/>
                <w:b/>
                <w:bCs/>
                <w:color w:val="FFFFFF" w:themeColor="background1"/>
                <w:sz w:val="14"/>
                <w:szCs w:val="14"/>
                <w:lang w:eastAsia="it-IT"/>
              </w:rPr>
            </w:pPr>
            <w:r w:rsidRPr="002914BD">
              <w:rPr>
                <w:rFonts w:ascii="Arial Narrow" w:eastAsia="Times New Roman" w:hAnsi="Arial Narrow" w:cs="Times New Roman"/>
                <w:b/>
                <w:bCs/>
                <w:color w:val="FFFFFF" w:themeColor="background1"/>
                <w:sz w:val="14"/>
                <w:szCs w:val="14"/>
                <w:lang w:eastAsia="it-IT"/>
              </w:rPr>
              <w:t>-1,5</w:t>
            </w:r>
          </w:p>
        </w:tc>
        <w:tc>
          <w:tcPr>
            <w:tcW w:w="340" w:type="pct"/>
            <w:tcBorders>
              <w:top w:val="nil"/>
              <w:left w:val="nil"/>
              <w:bottom w:val="nil"/>
              <w:right w:val="nil"/>
            </w:tcBorders>
            <w:shd w:val="clear" w:color="auto" w:fill="17365D"/>
            <w:vAlign w:val="center"/>
            <w:hideMark/>
          </w:tcPr>
          <w:p w14:paraId="28A04FE1" w14:textId="77777777" w:rsidR="00A840CE" w:rsidRPr="002914BD" w:rsidRDefault="00A840CE" w:rsidP="00A840CE">
            <w:pPr>
              <w:widowControl/>
              <w:autoSpaceDE/>
              <w:autoSpaceDN/>
              <w:jc w:val="right"/>
              <w:rPr>
                <w:rFonts w:ascii="Arial Narrow" w:eastAsia="Times New Roman" w:hAnsi="Arial Narrow" w:cs="Times New Roman"/>
                <w:b/>
                <w:bCs/>
                <w:color w:val="FFFFFF" w:themeColor="background1"/>
                <w:sz w:val="14"/>
                <w:szCs w:val="14"/>
                <w:lang w:eastAsia="it-IT"/>
              </w:rPr>
            </w:pPr>
            <w:r w:rsidRPr="002914BD">
              <w:rPr>
                <w:rFonts w:ascii="Arial Narrow" w:eastAsia="Times New Roman" w:hAnsi="Arial Narrow" w:cs="Times New Roman"/>
                <w:b/>
                <w:bCs/>
                <w:color w:val="FFFFFF" w:themeColor="background1"/>
                <w:sz w:val="14"/>
                <w:szCs w:val="14"/>
                <w:lang w:eastAsia="it-IT"/>
              </w:rPr>
              <w:t>+1,8</w:t>
            </w:r>
          </w:p>
        </w:tc>
        <w:tc>
          <w:tcPr>
            <w:tcW w:w="85" w:type="pct"/>
            <w:tcBorders>
              <w:top w:val="nil"/>
              <w:left w:val="nil"/>
              <w:bottom w:val="nil"/>
              <w:right w:val="nil"/>
            </w:tcBorders>
            <w:shd w:val="clear" w:color="auto" w:fill="17365D"/>
            <w:vAlign w:val="center"/>
            <w:hideMark/>
          </w:tcPr>
          <w:p w14:paraId="2925415B" w14:textId="77777777" w:rsidR="00A840CE" w:rsidRPr="002914BD" w:rsidRDefault="00A840CE" w:rsidP="00A840CE">
            <w:pPr>
              <w:widowControl/>
              <w:autoSpaceDE/>
              <w:autoSpaceDN/>
              <w:jc w:val="right"/>
              <w:rPr>
                <w:rFonts w:ascii="Arial Narrow" w:eastAsia="Times New Roman" w:hAnsi="Arial Narrow" w:cs="Times New Roman"/>
                <w:b/>
                <w:bCs/>
                <w:sz w:val="14"/>
                <w:szCs w:val="14"/>
                <w:lang w:eastAsia="it-IT"/>
              </w:rPr>
            </w:pPr>
            <w:r w:rsidRPr="002914BD">
              <w:rPr>
                <w:rFonts w:ascii="Arial Narrow" w:eastAsia="Times New Roman" w:hAnsi="Arial Narrow" w:cs="Times New Roman"/>
                <w:b/>
                <w:bCs/>
                <w:sz w:val="14"/>
                <w:szCs w:val="14"/>
                <w:lang w:eastAsia="it-IT"/>
              </w:rPr>
              <w:t> </w:t>
            </w:r>
          </w:p>
        </w:tc>
        <w:tc>
          <w:tcPr>
            <w:tcW w:w="281" w:type="pct"/>
            <w:tcBorders>
              <w:top w:val="nil"/>
              <w:left w:val="nil"/>
              <w:bottom w:val="nil"/>
              <w:right w:val="nil"/>
            </w:tcBorders>
            <w:shd w:val="clear" w:color="auto" w:fill="17365D"/>
            <w:vAlign w:val="center"/>
            <w:hideMark/>
          </w:tcPr>
          <w:p w14:paraId="15491900" w14:textId="77777777" w:rsidR="00A840CE" w:rsidRPr="002914BD" w:rsidRDefault="00A840CE" w:rsidP="00A840CE">
            <w:pPr>
              <w:widowControl/>
              <w:autoSpaceDE/>
              <w:autoSpaceDN/>
              <w:jc w:val="right"/>
              <w:rPr>
                <w:rFonts w:ascii="Arial Narrow" w:eastAsia="Times New Roman" w:hAnsi="Arial Narrow" w:cs="Times New Roman"/>
                <w:b/>
                <w:bCs/>
                <w:sz w:val="14"/>
                <w:szCs w:val="14"/>
                <w:lang w:eastAsia="it-IT"/>
              </w:rPr>
            </w:pPr>
            <w:r w:rsidRPr="002914BD">
              <w:rPr>
                <w:rFonts w:ascii="Arial Narrow" w:eastAsia="Times New Roman" w:hAnsi="Arial Narrow" w:cs="Times New Roman"/>
                <w:b/>
                <w:bCs/>
                <w:sz w:val="14"/>
                <w:szCs w:val="14"/>
                <w:lang w:eastAsia="it-IT"/>
              </w:rPr>
              <w:t>443.896</w:t>
            </w:r>
          </w:p>
        </w:tc>
        <w:tc>
          <w:tcPr>
            <w:tcW w:w="337" w:type="pct"/>
            <w:tcBorders>
              <w:top w:val="nil"/>
              <w:left w:val="nil"/>
              <w:bottom w:val="nil"/>
              <w:right w:val="nil"/>
            </w:tcBorders>
            <w:shd w:val="clear" w:color="auto" w:fill="17365D"/>
            <w:vAlign w:val="center"/>
            <w:hideMark/>
          </w:tcPr>
          <w:p w14:paraId="3050DFC8" w14:textId="77777777" w:rsidR="00A840CE" w:rsidRPr="002914BD" w:rsidRDefault="00A840CE" w:rsidP="00A840CE">
            <w:pPr>
              <w:widowControl/>
              <w:autoSpaceDE/>
              <w:autoSpaceDN/>
              <w:jc w:val="right"/>
              <w:rPr>
                <w:rFonts w:ascii="Arial Narrow" w:eastAsia="Times New Roman" w:hAnsi="Arial Narrow" w:cs="Times New Roman"/>
                <w:b/>
                <w:bCs/>
                <w:sz w:val="14"/>
                <w:szCs w:val="14"/>
                <w:lang w:eastAsia="it-IT"/>
              </w:rPr>
            </w:pPr>
            <w:r w:rsidRPr="002914BD">
              <w:rPr>
                <w:rFonts w:ascii="Arial Narrow" w:eastAsia="Times New Roman" w:hAnsi="Arial Narrow" w:cs="Times New Roman"/>
                <w:b/>
                <w:bCs/>
                <w:sz w:val="14"/>
                <w:szCs w:val="14"/>
                <w:lang w:eastAsia="it-IT"/>
              </w:rPr>
              <w:t>-0,2</w:t>
            </w:r>
          </w:p>
        </w:tc>
        <w:tc>
          <w:tcPr>
            <w:tcW w:w="337" w:type="pct"/>
            <w:tcBorders>
              <w:top w:val="nil"/>
              <w:left w:val="nil"/>
              <w:bottom w:val="nil"/>
              <w:right w:val="nil"/>
            </w:tcBorders>
            <w:shd w:val="clear" w:color="auto" w:fill="17365D"/>
            <w:vAlign w:val="center"/>
            <w:hideMark/>
          </w:tcPr>
          <w:p w14:paraId="29A5B9C6" w14:textId="77777777" w:rsidR="00A840CE" w:rsidRPr="002914BD" w:rsidRDefault="00A840CE" w:rsidP="00A840CE">
            <w:pPr>
              <w:widowControl/>
              <w:autoSpaceDE/>
              <w:autoSpaceDN/>
              <w:jc w:val="right"/>
              <w:rPr>
                <w:rFonts w:ascii="Arial Narrow" w:eastAsia="Times New Roman" w:hAnsi="Arial Narrow" w:cs="Times New Roman"/>
                <w:b/>
                <w:bCs/>
                <w:sz w:val="14"/>
                <w:szCs w:val="14"/>
                <w:lang w:eastAsia="it-IT"/>
              </w:rPr>
            </w:pPr>
            <w:r w:rsidRPr="002914BD">
              <w:rPr>
                <w:rFonts w:ascii="Arial Narrow" w:eastAsia="Times New Roman" w:hAnsi="Arial Narrow" w:cs="Times New Roman"/>
                <w:b/>
                <w:bCs/>
                <w:sz w:val="14"/>
                <w:szCs w:val="14"/>
                <w:lang w:eastAsia="it-IT"/>
              </w:rPr>
              <w:t>+7,4</w:t>
            </w:r>
          </w:p>
        </w:tc>
        <w:tc>
          <w:tcPr>
            <w:tcW w:w="337" w:type="pct"/>
            <w:tcBorders>
              <w:top w:val="nil"/>
              <w:left w:val="nil"/>
              <w:bottom w:val="nil"/>
              <w:right w:val="nil"/>
            </w:tcBorders>
            <w:shd w:val="clear" w:color="auto" w:fill="17365D"/>
            <w:vAlign w:val="center"/>
            <w:hideMark/>
          </w:tcPr>
          <w:p w14:paraId="55D4AAA8" w14:textId="77777777" w:rsidR="00A840CE" w:rsidRPr="002914BD" w:rsidRDefault="00A840CE" w:rsidP="00A840CE">
            <w:pPr>
              <w:widowControl/>
              <w:autoSpaceDE/>
              <w:autoSpaceDN/>
              <w:jc w:val="right"/>
              <w:rPr>
                <w:rFonts w:ascii="Arial Narrow" w:eastAsia="Times New Roman" w:hAnsi="Arial Narrow" w:cs="Times New Roman"/>
                <w:b/>
                <w:bCs/>
                <w:sz w:val="14"/>
                <w:szCs w:val="14"/>
                <w:lang w:eastAsia="it-IT"/>
              </w:rPr>
            </w:pPr>
            <w:r w:rsidRPr="002914BD">
              <w:rPr>
                <w:rFonts w:ascii="Arial Narrow" w:eastAsia="Times New Roman" w:hAnsi="Arial Narrow" w:cs="Times New Roman"/>
                <w:b/>
                <w:bCs/>
                <w:sz w:val="14"/>
                <w:szCs w:val="14"/>
                <w:lang w:eastAsia="it-IT"/>
              </w:rPr>
              <w:t>+7,1</w:t>
            </w:r>
          </w:p>
        </w:tc>
        <w:tc>
          <w:tcPr>
            <w:tcW w:w="281" w:type="pct"/>
            <w:tcBorders>
              <w:top w:val="nil"/>
              <w:left w:val="nil"/>
              <w:bottom w:val="nil"/>
              <w:right w:val="nil"/>
            </w:tcBorders>
            <w:shd w:val="clear" w:color="auto" w:fill="17365D"/>
            <w:vAlign w:val="center"/>
            <w:hideMark/>
          </w:tcPr>
          <w:p w14:paraId="5AA3E50B" w14:textId="77777777" w:rsidR="00A840CE" w:rsidRPr="002914BD" w:rsidRDefault="00A840CE" w:rsidP="00A840CE">
            <w:pPr>
              <w:widowControl/>
              <w:autoSpaceDE/>
              <w:autoSpaceDN/>
              <w:jc w:val="right"/>
              <w:rPr>
                <w:rFonts w:ascii="Arial Narrow" w:eastAsia="Times New Roman" w:hAnsi="Arial Narrow" w:cs="Times New Roman"/>
                <w:b/>
                <w:bCs/>
                <w:sz w:val="14"/>
                <w:szCs w:val="14"/>
                <w:lang w:eastAsia="it-IT"/>
              </w:rPr>
            </w:pPr>
            <w:r w:rsidRPr="002914BD">
              <w:rPr>
                <w:rFonts w:ascii="Arial Narrow" w:eastAsia="Times New Roman" w:hAnsi="Arial Narrow" w:cs="Times New Roman"/>
                <w:b/>
                <w:bCs/>
                <w:sz w:val="14"/>
                <w:szCs w:val="14"/>
                <w:lang w:eastAsia="it-IT"/>
              </w:rPr>
              <w:t>184.285</w:t>
            </w:r>
          </w:p>
        </w:tc>
        <w:tc>
          <w:tcPr>
            <w:tcW w:w="337" w:type="pct"/>
            <w:tcBorders>
              <w:top w:val="nil"/>
              <w:left w:val="nil"/>
              <w:bottom w:val="nil"/>
              <w:right w:val="nil"/>
            </w:tcBorders>
            <w:shd w:val="clear" w:color="auto" w:fill="17365D"/>
            <w:vAlign w:val="center"/>
            <w:hideMark/>
          </w:tcPr>
          <w:p w14:paraId="5C96B40E" w14:textId="77777777" w:rsidR="00A840CE" w:rsidRPr="002914BD" w:rsidRDefault="00A840CE" w:rsidP="00A840CE">
            <w:pPr>
              <w:widowControl/>
              <w:autoSpaceDE/>
              <w:autoSpaceDN/>
              <w:jc w:val="right"/>
              <w:rPr>
                <w:rFonts w:ascii="Arial Narrow" w:eastAsia="Times New Roman" w:hAnsi="Arial Narrow" w:cs="Times New Roman"/>
                <w:b/>
                <w:bCs/>
                <w:sz w:val="14"/>
                <w:szCs w:val="14"/>
                <w:lang w:eastAsia="it-IT"/>
              </w:rPr>
            </w:pPr>
            <w:r w:rsidRPr="002914BD">
              <w:rPr>
                <w:rFonts w:ascii="Arial Narrow" w:eastAsia="Times New Roman" w:hAnsi="Arial Narrow" w:cs="Times New Roman"/>
                <w:b/>
                <w:bCs/>
                <w:sz w:val="14"/>
                <w:szCs w:val="14"/>
                <w:lang w:eastAsia="it-IT"/>
              </w:rPr>
              <w:t>+3,5</w:t>
            </w:r>
          </w:p>
        </w:tc>
        <w:tc>
          <w:tcPr>
            <w:tcW w:w="340" w:type="pct"/>
            <w:tcBorders>
              <w:top w:val="nil"/>
              <w:left w:val="nil"/>
              <w:bottom w:val="nil"/>
              <w:right w:val="nil"/>
            </w:tcBorders>
            <w:shd w:val="clear" w:color="auto" w:fill="17365D"/>
            <w:vAlign w:val="center"/>
            <w:hideMark/>
          </w:tcPr>
          <w:p w14:paraId="1C866DDB" w14:textId="77777777" w:rsidR="00A840CE" w:rsidRPr="002914BD" w:rsidRDefault="00A840CE" w:rsidP="00A840CE">
            <w:pPr>
              <w:widowControl/>
              <w:autoSpaceDE/>
              <w:autoSpaceDN/>
              <w:jc w:val="right"/>
              <w:rPr>
                <w:rFonts w:ascii="Arial Narrow" w:eastAsia="Times New Roman" w:hAnsi="Arial Narrow" w:cs="Times New Roman"/>
                <w:b/>
                <w:bCs/>
                <w:sz w:val="14"/>
                <w:szCs w:val="14"/>
                <w:lang w:eastAsia="it-IT"/>
              </w:rPr>
            </w:pPr>
            <w:r w:rsidRPr="002914BD">
              <w:rPr>
                <w:rFonts w:ascii="Arial Narrow" w:eastAsia="Times New Roman" w:hAnsi="Arial Narrow" w:cs="Times New Roman"/>
                <w:b/>
                <w:bCs/>
                <w:sz w:val="14"/>
                <w:szCs w:val="14"/>
                <w:lang w:eastAsia="it-IT"/>
              </w:rPr>
              <w:t>+1,5</w:t>
            </w:r>
          </w:p>
        </w:tc>
      </w:tr>
      <w:tr w:rsidR="00A840CE" w:rsidRPr="002914BD" w14:paraId="4B10D81C"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35795880" w14:textId="4C1BF7CB" w:rsidR="00A840CE" w:rsidRPr="002914BD" w:rsidRDefault="00C212E7" w:rsidP="00A840CE">
            <w:pPr>
              <w:widowControl/>
              <w:autoSpaceDE/>
              <w:autoSpaceDN/>
              <w:rPr>
                <w:rFonts w:ascii="Arial Narrow" w:eastAsia="Times New Roman" w:hAnsi="Arial Narrow" w:cs="Times New Roman"/>
                <w:b/>
                <w:sz w:val="14"/>
                <w:szCs w:val="14"/>
                <w:lang w:eastAsia="it-IT"/>
              </w:rPr>
            </w:pPr>
            <w:proofErr w:type="spellStart"/>
            <w:r w:rsidRPr="00C212E7">
              <w:rPr>
                <w:rFonts w:ascii="Arial Narrow" w:eastAsia="Times New Roman" w:hAnsi="Arial Narrow" w:cs="Times New Roman"/>
                <w:b/>
                <w:sz w:val="14"/>
                <w:szCs w:val="14"/>
                <w:lang w:eastAsia="it-IT"/>
              </w:rPr>
              <w:t>Belgium</w:t>
            </w:r>
            <w:proofErr w:type="spellEnd"/>
          </w:p>
        </w:tc>
        <w:tc>
          <w:tcPr>
            <w:tcW w:w="281" w:type="pct"/>
            <w:tcBorders>
              <w:top w:val="single" w:sz="4" w:space="0" w:color="auto"/>
              <w:left w:val="nil"/>
              <w:bottom w:val="nil"/>
              <w:right w:val="nil"/>
            </w:tcBorders>
            <w:shd w:val="clear" w:color="auto" w:fill="D9D9D9" w:themeFill="background1" w:themeFillShade="D9"/>
            <w:vAlign w:val="center"/>
            <w:hideMark/>
          </w:tcPr>
          <w:p w14:paraId="0B44F45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8.965</w:t>
            </w:r>
          </w:p>
        </w:tc>
        <w:tc>
          <w:tcPr>
            <w:tcW w:w="337" w:type="pct"/>
            <w:tcBorders>
              <w:top w:val="single" w:sz="4" w:space="0" w:color="auto"/>
              <w:left w:val="nil"/>
              <w:bottom w:val="nil"/>
              <w:right w:val="nil"/>
            </w:tcBorders>
            <w:shd w:val="clear" w:color="000000" w:fill="FFFFFF"/>
            <w:vAlign w:val="center"/>
            <w:hideMark/>
          </w:tcPr>
          <w:p w14:paraId="6F5EEFF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+0,6</w:t>
            </w:r>
          </w:p>
        </w:tc>
        <w:tc>
          <w:tcPr>
            <w:tcW w:w="337" w:type="pct"/>
            <w:tcBorders>
              <w:top w:val="single" w:sz="4" w:space="0" w:color="auto"/>
              <w:left w:val="nil"/>
              <w:bottom w:val="nil"/>
              <w:right w:val="nil"/>
            </w:tcBorders>
            <w:shd w:val="clear" w:color="auto" w:fill="D9D9D9" w:themeFill="background1" w:themeFillShade="D9"/>
            <w:vAlign w:val="center"/>
            <w:hideMark/>
          </w:tcPr>
          <w:p w14:paraId="2828DDA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+0,6</w:t>
            </w:r>
          </w:p>
        </w:tc>
        <w:tc>
          <w:tcPr>
            <w:tcW w:w="337" w:type="pct"/>
            <w:tcBorders>
              <w:top w:val="single" w:sz="4" w:space="0" w:color="auto"/>
              <w:left w:val="nil"/>
              <w:bottom w:val="nil"/>
              <w:right w:val="nil"/>
            </w:tcBorders>
            <w:shd w:val="clear" w:color="000000" w:fill="FFFFFF"/>
            <w:vAlign w:val="center"/>
            <w:hideMark/>
          </w:tcPr>
          <w:p w14:paraId="42CD14E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w:t>
            </w:r>
          </w:p>
        </w:tc>
        <w:tc>
          <w:tcPr>
            <w:tcW w:w="281" w:type="pct"/>
            <w:tcBorders>
              <w:top w:val="single" w:sz="4" w:space="0" w:color="auto"/>
              <w:left w:val="nil"/>
              <w:bottom w:val="nil"/>
              <w:right w:val="nil"/>
            </w:tcBorders>
            <w:shd w:val="clear" w:color="auto" w:fill="D9D9D9" w:themeFill="background1" w:themeFillShade="D9"/>
            <w:vAlign w:val="center"/>
            <w:hideMark/>
          </w:tcPr>
          <w:p w14:paraId="50A8DB8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2.673</w:t>
            </w:r>
          </w:p>
        </w:tc>
        <w:tc>
          <w:tcPr>
            <w:tcW w:w="337" w:type="pct"/>
            <w:tcBorders>
              <w:top w:val="single" w:sz="4" w:space="0" w:color="auto"/>
              <w:left w:val="nil"/>
              <w:bottom w:val="nil"/>
              <w:right w:val="nil"/>
            </w:tcBorders>
            <w:shd w:val="clear" w:color="000000" w:fill="FFFFFF"/>
            <w:vAlign w:val="center"/>
            <w:hideMark/>
          </w:tcPr>
          <w:p w14:paraId="78FBC26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w:t>
            </w:r>
          </w:p>
        </w:tc>
        <w:tc>
          <w:tcPr>
            <w:tcW w:w="340" w:type="pct"/>
            <w:tcBorders>
              <w:top w:val="single" w:sz="4" w:space="0" w:color="auto"/>
              <w:left w:val="nil"/>
              <w:bottom w:val="nil"/>
              <w:right w:val="nil"/>
            </w:tcBorders>
            <w:shd w:val="clear" w:color="auto" w:fill="D9D9D9" w:themeFill="background1" w:themeFillShade="D9"/>
            <w:vAlign w:val="center"/>
            <w:hideMark/>
          </w:tcPr>
          <w:p w14:paraId="6D5DF83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+0,7</w:t>
            </w:r>
          </w:p>
        </w:tc>
        <w:tc>
          <w:tcPr>
            <w:tcW w:w="85" w:type="pct"/>
            <w:tcBorders>
              <w:top w:val="nil"/>
              <w:left w:val="nil"/>
              <w:bottom w:val="nil"/>
              <w:right w:val="nil"/>
            </w:tcBorders>
            <w:shd w:val="clear" w:color="000000" w:fill="FFFFFF"/>
            <w:vAlign w:val="center"/>
            <w:hideMark/>
          </w:tcPr>
          <w:p w14:paraId="4908D15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7254C63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9.781</w:t>
            </w:r>
          </w:p>
        </w:tc>
        <w:tc>
          <w:tcPr>
            <w:tcW w:w="337" w:type="pct"/>
            <w:tcBorders>
              <w:top w:val="single" w:sz="4" w:space="0" w:color="auto"/>
              <w:left w:val="nil"/>
              <w:bottom w:val="nil"/>
              <w:right w:val="nil"/>
            </w:tcBorders>
            <w:shd w:val="clear" w:color="000000" w:fill="FFFFFF"/>
            <w:vAlign w:val="center"/>
            <w:hideMark/>
          </w:tcPr>
          <w:p w14:paraId="3944CEE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+0,9</w:t>
            </w:r>
          </w:p>
        </w:tc>
        <w:tc>
          <w:tcPr>
            <w:tcW w:w="337" w:type="pct"/>
            <w:tcBorders>
              <w:top w:val="single" w:sz="4" w:space="0" w:color="auto"/>
              <w:left w:val="nil"/>
              <w:bottom w:val="nil"/>
              <w:right w:val="nil"/>
            </w:tcBorders>
            <w:shd w:val="clear" w:color="auto" w:fill="D9D9D9" w:themeFill="background1" w:themeFillShade="D9"/>
            <w:vAlign w:val="center"/>
            <w:hideMark/>
          </w:tcPr>
          <w:p w14:paraId="1FC219E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+8,1</w:t>
            </w:r>
          </w:p>
        </w:tc>
        <w:tc>
          <w:tcPr>
            <w:tcW w:w="337" w:type="pct"/>
            <w:tcBorders>
              <w:top w:val="single" w:sz="4" w:space="0" w:color="auto"/>
              <w:left w:val="nil"/>
              <w:bottom w:val="nil"/>
              <w:right w:val="nil"/>
            </w:tcBorders>
            <w:shd w:val="clear" w:color="000000" w:fill="FFFFFF"/>
            <w:vAlign w:val="center"/>
            <w:hideMark/>
          </w:tcPr>
          <w:p w14:paraId="7468B6A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+9,1</w:t>
            </w:r>
          </w:p>
        </w:tc>
        <w:tc>
          <w:tcPr>
            <w:tcW w:w="281" w:type="pct"/>
            <w:tcBorders>
              <w:top w:val="single" w:sz="4" w:space="0" w:color="auto"/>
              <w:left w:val="nil"/>
              <w:bottom w:val="nil"/>
              <w:right w:val="nil"/>
            </w:tcBorders>
            <w:shd w:val="clear" w:color="auto" w:fill="D9D9D9" w:themeFill="background1" w:themeFillShade="D9"/>
            <w:vAlign w:val="center"/>
            <w:hideMark/>
          </w:tcPr>
          <w:p w14:paraId="703397D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2.538</w:t>
            </w:r>
          </w:p>
        </w:tc>
        <w:tc>
          <w:tcPr>
            <w:tcW w:w="337" w:type="pct"/>
            <w:tcBorders>
              <w:top w:val="single" w:sz="4" w:space="0" w:color="auto"/>
              <w:left w:val="nil"/>
              <w:bottom w:val="nil"/>
              <w:right w:val="nil"/>
            </w:tcBorders>
            <w:shd w:val="clear" w:color="000000" w:fill="FFFFFF"/>
            <w:vAlign w:val="center"/>
            <w:hideMark/>
          </w:tcPr>
          <w:p w14:paraId="0655842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-5,0</w:t>
            </w:r>
          </w:p>
        </w:tc>
        <w:tc>
          <w:tcPr>
            <w:tcW w:w="340" w:type="pct"/>
            <w:tcBorders>
              <w:top w:val="single" w:sz="4" w:space="0" w:color="auto"/>
              <w:left w:val="nil"/>
              <w:bottom w:val="nil"/>
              <w:right w:val="nil"/>
            </w:tcBorders>
            <w:shd w:val="clear" w:color="auto" w:fill="D9D9D9" w:themeFill="background1" w:themeFillShade="D9"/>
            <w:vAlign w:val="center"/>
            <w:hideMark/>
          </w:tcPr>
          <w:p w14:paraId="19BB8CA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-9,2</w:t>
            </w:r>
          </w:p>
        </w:tc>
      </w:tr>
      <w:tr w:rsidR="00A840CE" w:rsidRPr="002914BD" w14:paraId="212D2962"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603F8F66" w14:textId="77777777" w:rsidR="00A840CE" w:rsidRPr="002914BD" w:rsidRDefault="00A840CE" w:rsidP="00A840CE">
            <w:pPr>
              <w:widowControl/>
              <w:autoSpaceDE/>
              <w:autoSpaceDN/>
              <w:rPr>
                <w:rFonts w:ascii="Arial Narrow" w:eastAsia="Times New Roman" w:hAnsi="Arial Narrow" w:cs="Times New Roman"/>
                <w:b/>
                <w:sz w:val="14"/>
                <w:szCs w:val="14"/>
                <w:lang w:eastAsia="it-IT"/>
              </w:rPr>
            </w:pPr>
            <w:r w:rsidRPr="002914BD">
              <w:rPr>
                <w:rFonts w:ascii="Arial Narrow" w:eastAsia="Times New Roman" w:hAnsi="Arial Narrow" w:cs="Times New Roman"/>
                <w:b/>
                <w:sz w:val="14"/>
                <w:szCs w:val="14"/>
                <w:lang w:eastAsia="it-IT"/>
              </w:rPr>
              <w:t>Bulgaria</w:t>
            </w:r>
          </w:p>
        </w:tc>
        <w:tc>
          <w:tcPr>
            <w:tcW w:w="281" w:type="pct"/>
            <w:tcBorders>
              <w:top w:val="single" w:sz="4" w:space="0" w:color="auto"/>
              <w:left w:val="nil"/>
              <w:bottom w:val="nil"/>
              <w:right w:val="nil"/>
            </w:tcBorders>
            <w:shd w:val="clear" w:color="auto" w:fill="D9D9D9" w:themeFill="background1" w:themeFillShade="D9"/>
            <w:vAlign w:val="center"/>
            <w:hideMark/>
          </w:tcPr>
          <w:p w14:paraId="016D251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4.022</w:t>
            </w:r>
          </w:p>
        </w:tc>
        <w:tc>
          <w:tcPr>
            <w:tcW w:w="337" w:type="pct"/>
            <w:tcBorders>
              <w:top w:val="single" w:sz="4" w:space="0" w:color="auto"/>
              <w:left w:val="nil"/>
              <w:bottom w:val="nil"/>
              <w:right w:val="nil"/>
            </w:tcBorders>
            <w:shd w:val="clear" w:color="000000" w:fill="FFFFFF"/>
            <w:vAlign w:val="center"/>
            <w:hideMark/>
          </w:tcPr>
          <w:p w14:paraId="5335499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-11,0</w:t>
            </w:r>
          </w:p>
        </w:tc>
        <w:tc>
          <w:tcPr>
            <w:tcW w:w="337" w:type="pct"/>
            <w:tcBorders>
              <w:top w:val="single" w:sz="4" w:space="0" w:color="auto"/>
              <w:left w:val="nil"/>
              <w:bottom w:val="nil"/>
              <w:right w:val="nil"/>
            </w:tcBorders>
            <w:shd w:val="clear" w:color="auto" w:fill="D9D9D9" w:themeFill="background1" w:themeFillShade="D9"/>
            <w:vAlign w:val="center"/>
            <w:hideMark/>
          </w:tcPr>
          <w:p w14:paraId="3E55C67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+7,3</w:t>
            </w:r>
          </w:p>
        </w:tc>
        <w:tc>
          <w:tcPr>
            <w:tcW w:w="337" w:type="pct"/>
            <w:tcBorders>
              <w:top w:val="single" w:sz="4" w:space="0" w:color="auto"/>
              <w:left w:val="nil"/>
              <w:bottom w:val="nil"/>
              <w:right w:val="nil"/>
            </w:tcBorders>
            <w:shd w:val="clear" w:color="000000" w:fill="FFFFFF"/>
            <w:vAlign w:val="center"/>
            <w:hideMark/>
          </w:tcPr>
          <w:p w14:paraId="7BAC35B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-4,5</w:t>
            </w:r>
          </w:p>
        </w:tc>
        <w:tc>
          <w:tcPr>
            <w:tcW w:w="281" w:type="pct"/>
            <w:tcBorders>
              <w:top w:val="single" w:sz="4" w:space="0" w:color="auto"/>
              <w:left w:val="nil"/>
              <w:bottom w:val="nil"/>
              <w:right w:val="nil"/>
            </w:tcBorders>
            <w:shd w:val="clear" w:color="auto" w:fill="D9D9D9" w:themeFill="background1" w:themeFillShade="D9"/>
            <w:vAlign w:val="center"/>
            <w:hideMark/>
          </w:tcPr>
          <w:p w14:paraId="1894E5C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1.748</w:t>
            </w:r>
          </w:p>
        </w:tc>
        <w:tc>
          <w:tcPr>
            <w:tcW w:w="337" w:type="pct"/>
            <w:tcBorders>
              <w:top w:val="single" w:sz="4" w:space="0" w:color="auto"/>
              <w:left w:val="nil"/>
              <w:bottom w:val="nil"/>
              <w:right w:val="nil"/>
            </w:tcBorders>
            <w:shd w:val="clear" w:color="000000" w:fill="FFFFFF"/>
            <w:vAlign w:val="center"/>
            <w:hideMark/>
          </w:tcPr>
          <w:p w14:paraId="233FBD5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w:t>
            </w:r>
          </w:p>
        </w:tc>
        <w:tc>
          <w:tcPr>
            <w:tcW w:w="340" w:type="pct"/>
            <w:tcBorders>
              <w:top w:val="single" w:sz="4" w:space="0" w:color="auto"/>
              <w:left w:val="nil"/>
              <w:bottom w:val="nil"/>
              <w:right w:val="nil"/>
            </w:tcBorders>
            <w:shd w:val="clear" w:color="auto" w:fill="D9D9D9" w:themeFill="background1" w:themeFillShade="D9"/>
            <w:vAlign w:val="center"/>
            <w:hideMark/>
          </w:tcPr>
          <w:p w14:paraId="5F5069D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+2,2</w:t>
            </w:r>
          </w:p>
        </w:tc>
        <w:tc>
          <w:tcPr>
            <w:tcW w:w="85" w:type="pct"/>
            <w:tcBorders>
              <w:top w:val="nil"/>
              <w:left w:val="nil"/>
              <w:bottom w:val="nil"/>
              <w:right w:val="nil"/>
            </w:tcBorders>
            <w:shd w:val="clear" w:color="000000" w:fill="FFFFFF"/>
            <w:vAlign w:val="center"/>
            <w:hideMark/>
          </w:tcPr>
          <w:p w14:paraId="2AF9E4E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4FD0474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5.329</w:t>
            </w:r>
          </w:p>
        </w:tc>
        <w:tc>
          <w:tcPr>
            <w:tcW w:w="337" w:type="pct"/>
            <w:tcBorders>
              <w:top w:val="single" w:sz="4" w:space="0" w:color="auto"/>
              <w:left w:val="nil"/>
              <w:bottom w:val="nil"/>
              <w:right w:val="nil"/>
            </w:tcBorders>
            <w:shd w:val="clear" w:color="000000" w:fill="FFFFFF"/>
            <w:vAlign w:val="center"/>
            <w:hideMark/>
          </w:tcPr>
          <w:p w14:paraId="044BD10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+17,5</w:t>
            </w:r>
          </w:p>
        </w:tc>
        <w:tc>
          <w:tcPr>
            <w:tcW w:w="337" w:type="pct"/>
            <w:tcBorders>
              <w:top w:val="single" w:sz="4" w:space="0" w:color="auto"/>
              <w:left w:val="nil"/>
              <w:bottom w:val="nil"/>
              <w:right w:val="nil"/>
            </w:tcBorders>
            <w:shd w:val="clear" w:color="auto" w:fill="D9D9D9" w:themeFill="background1" w:themeFillShade="D9"/>
            <w:vAlign w:val="center"/>
            <w:hideMark/>
          </w:tcPr>
          <w:p w14:paraId="6B9DD52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+12,7</w:t>
            </w:r>
          </w:p>
        </w:tc>
        <w:tc>
          <w:tcPr>
            <w:tcW w:w="337" w:type="pct"/>
            <w:tcBorders>
              <w:top w:val="single" w:sz="4" w:space="0" w:color="auto"/>
              <w:left w:val="nil"/>
              <w:bottom w:val="nil"/>
              <w:right w:val="nil"/>
            </w:tcBorders>
            <w:shd w:val="clear" w:color="000000" w:fill="FFFFFF"/>
            <w:vAlign w:val="center"/>
            <w:hideMark/>
          </w:tcPr>
          <w:p w14:paraId="2106FF1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+32,5</w:t>
            </w:r>
          </w:p>
        </w:tc>
        <w:tc>
          <w:tcPr>
            <w:tcW w:w="281" w:type="pct"/>
            <w:tcBorders>
              <w:top w:val="single" w:sz="4" w:space="0" w:color="auto"/>
              <w:left w:val="nil"/>
              <w:bottom w:val="nil"/>
              <w:right w:val="nil"/>
            </w:tcBorders>
            <w:shd w:val="clear" w:color="auto" w:fill="D9D9D9" w:themeFill="background1" w:themeFillShade="D9"/>
            <w:vAlign w:val="center"/>
            <w:hideMark/>
          </w:tcPr>
          <w:p w14:paraId="247467E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2.530</w:t>
            </w:r>
          </w:p>
        </w:tc>
        <w:tc>
          <w:tcPr>
            <w:tcW w:w="337" w:type="pct"/>
            <w:tcBorders>
              <w:top w:val="single" w:sz="4" w:space="0" w:color="auto"/>
              <w:left w:val="nil"/>
              <w:bottom w:val="nil"/>
              <w:right w:val="nil"/>
            </w:tcBorders>
            <w:shd w:val="clear" w:color="000000" w:fill="FFFFFF"/>
            <w:vAlign w:val="center"/>
            <w:hideMark/>
          </w:tcPr>
          <w:p w14:paraId="20C1CC6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+44,7</w:t>
            </w:r>
          </w:p>
        </w:tc>
        <w:tc>
          <w:tcPr>
            <w:tcW w:w="340" w:type="pct"/>
            <w:tcBorders>
              <w:top w:val="single" w:sz="4" w:space="0" w:color="auto"/>
              <w:left w:val="nil"/>
              <w:bottom w:val="nil"/>
              <w:right w:val="nil"/>
            </w:tcBorders>
            <w:shd w:val="clear" w:color="auto" w:fill="D9D9D9" w:themeFill="background1" w:themeFillShade="D9"/>
            <w:vAlign w:val="center"/>
            <w:hideMark/>
          </w:tcPr>
          <w:p w14:paraId="45CB3E9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+32,9</w:t>
            </w:r>
          </w:p>
        </w:tc>
      </w:tr>
      <w:tr w:rsidR="00A840CE" w:rsidRPr="002914BD" w14:paraId="34B5296B"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5C99581C" w14:textId="0E12B875" w:rsidR="00A840CE" w:rsidRPr="002914BD" w:rsidRDefault="00C212E7" w:rsidP="00A840CE">
            <w:pPr>
              <w:widowControl/>
              <w:autoSpaceDE/>
              <w:autoSpaceDN/>
              <w:rPr>
                <w:rFonts w:ascii="Arial Narrow" w:eastAsia="Times New Roman" w:hAnsi="Arial Narrow" w:cs="Times New Roman"/>
                <w:b/>
                <w:sz w:val="14"/>
                <w:szCs w:val="14"/>
                <w:lang w:eastAsia="it-IT"/>
              </w:rPr>
            </w:pPr>
            <w:proofErr w:type="spellStart"/>
            <w:r w:rsidRPr="00C212E7">
              <w:rPr>
                <w:rFonts w:ascii="Arial Narrow" w:eastAsia="Times New Roman" w:hAnsi="Arial Narrow" w:cs="Times New Roman"/>
                <w:b/>
                <w:sz w:val="14"/>
                <w:szCs w:val="14"/>
                <w:lang w:eastAsia="it-IT"/>
              </w:rPr>
              <w:t>Czech</w:t>
            </w:r>
            <w:proofErr w:type="spellEnd"/>
            <w:r w:rsidRPr="00C212E7">
              <w:rPr>
                <w:rFonts w:ascii="Arial Narrow" w:eastAsia="Times New Roman" w:hAnsi="Arial Narrow" w:cs="Times New Roman"/>
                <w:b/>
                <w:sz w:val="14"/>
                <w:szCs w:val="14"/>
                <w:lang w:eastAsia="it-IT"/>
              </w:rPr>
              <w:t xml:space="preserve"> Republic</w:t>
            </w:r>
          </w:p>
        </w:tc>
        <w:tc>
          <w:tcPr>
            <w:tcW w:w="281" w:type="pct"/>
            <w:tcBorders>
              <w:top w:val="single" w:sz="4" w:space="0" w:color="auto"/>
              <w:left w:val="nil"/>
              <w:bottom w:val="nil"/>
              <w:right w:val="nil"/>
            </w:tcBorders>
            <w:shd w:val="clear" w:color="auto" w:fill="D9D9D9" w:themeFill="background1" w:themeFillShade="D9"/>
            <w:vAlign w:val="center"/>
            <w:hideMark/>
          </w:tcPr>
          <w:p w14:paraId="01D61D4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5.631</w:t>
            </w:r>
          </w:p>
        </w:tc>
        <w:tc>
          <w:tcPr>
            <w:tcW w:w="337" w:type="pct"/>
            <w:tcBorders>
              <w:top w:val="single" w:sz="4" w:space="0" w:color="auto"/>
              <w:left w:val="nil"/>
              <w:bottom w:val="nil"/>
              <w:right w:val="nil"/>
            </w:tcBorders>
            <w:shd w:val="clear" w:color="000000" w:fill="FFFFFF"/>
            <w:vAlign w:val="center"/>
            <w:hideMark/>
          </w:tcPr>
          <w:p w14:paraId="0E2D6D2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+5,1</w:t>
            </w:r>
          </w:p>
        </w:tc>
        <w:tc>
          <w:tcPr>
            <w:tcW w:w="337" w:type="pct"/>
            <w:tcBorders>
              <w:top w:val="single" w:sz="4" w:space="0" w:color="auto"/>
              <w:left w:val="nil"/>
              <w:bottom w:val="nil"/>
              <w:right w:val="nil"/>
            </w:tcBorders>
            <w:shd w:val="clear" w:color="auto" w:fill="D9D9D9" w:themeFill="background1" w:themeFillShade="D9"/>
            <w:vAlign w:val="center"/>
            <w:hideMark/>
          </w:tcPr>
          <w:p w14:paraId="7FC24F6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+0,4</w:t>
            </w:r>
          </w:p>
        </w:tc>
        <w:tc>
          <w:tcPr>
            <w:tcW w:w="337" w:type="pct"/>
            <w:tcBorders>
              <w:top w:val="single" w:sz="4" w:space="0" w:color="auto"/>
              <w:left w:val="nil"/>
              <w:bottom w:val="nil"/>
              <w:right w:val="nil"/>
            </w:tcBorders>
            <w:shd w:val="clear" w:color="000000" w:fill="FFFFFF"/>
            <w:vAlign w:val="center"/>
            <w:hideMark/>
          </w:tcPr>
          <w:p w14:paraId="5C6C52F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+5,6</w:t>
            </w:r>
          </w:p>
        </w:tc>
        <w:tc>
          <w:tcPr>
            <w:tcW w:w="281" w:type="pct"/>
            <w:tcBorders>
              <w:top w:val="single" w:sz="4" w:space="0" w:color="auto"/>
              <w:left w:val="nil"/>
              <w:bottom w:val="nil"/>
              <w:right w:val="nil"/>
            </w:tcBorders>
            <w:shd w:val="clear" w:color="auto" w:fill="D9D9D9" w:themeFill="background1" w:themeFillShade="D9"/>
            <w:vAlign w:val="center"/>
            <w:hideMark/>
          </w:tcPr>
          <w:p w14:paraId="42B8C5C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1.935</w:t>
            </w:r>
          </w:p>
        </w:tc>
        <w:tc>
          <w:tcPr>
            <w:tcW w:w="337" w:type="pct"/>
            <w:tcBorders>
              <w:top w:val="single" w:sz="4" w:space="0" w:color="auto"/>
              <w:left w:val="nil"/>
              <w:bottom w:val="nil"/>
              <w:right w:val="nil"/>
            </w:tcBorders>
            <w:shd w:val="clear" w:color="000000" w:fill="FFFFFF"/>
            <w:vAlign w:val="center"/>
            <w:hideMark/>
          </w:tcPr>
          <w:p w14:paraId="4588EFB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+10,5</w:t>
            </w:r>
          </w:p>
        </w:tc>
        <w:tc>
          <w:tcPr>
            <w:tcW w:w="340" w:type="pct"/>
            <w:tcBorders>
              <w:top w:val="single" w:sz="4" w:space="0" w:color="auto"/>
              <w:left w:val="nil"/>
              <w:bottom w:val="nil"/>
              <w:right w:val="nil"/>
            </w:tcBorders>
            <w:shd w:val="clear" w:color="auto" w:fill="D9D9D9" w:themeFill="background1" w:themeFillShade="D9"/>
            <w:vAlign w:val="center"/>
            <w:hideMark/>
          </w:tcPr>
          <w:p w14:paraId="315FFED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+9,9</w:t>
            </w:r>
          </w:p>
        </w:tc>
        <w:tc>
          <w:tcPr>
            <w:tcW w:w="85" w:type="pct"/>
            <w:tcBorders>
              <w:top w:val="nil"/>
              <w:left w:val="nil"/>
              <w:bottom w:val="nil"/>
              <w:right w:val="nil"/>
            </w:tcBorders>
            <w:shd w:val="clear" w:color="000000" w:fill="FFFFFF"/>
            <w:vAlign w:val="center"/>
            <w:hideMark/>
          </w:tcPr>
          <w:p w14:paraId="4AC0580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4FFD907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6.050</w:t>
            </w:r>
          </w:p>
        </w:tc>
        <w:tc>
          <w:tcPr>
            <w:tcW w:w="337" w:type="pct"/>
            <w:tcBorders>
              <w:top w:val="single" w:sz="4" w:space="0" w:color="auto"/>
              <w:left w:val="nil"/>
              <w:bottom w:val="single" w:sz="4" w:space="0" w:color="auto"/>
              <w:right w:val="nil"/>
            </w:tcBorders>
            <w:shd w:val="clear" w:color="000000" w:fill="FFFFFF"/>
            <w:vAlign w:val="center"/>
            <w:hideMark/>
          </w:tcPr>
          <w:p w14:paraId="4D9BADC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w:t>
            </w:r>
          </w:p>
        </w:tc>
        <w:tc>
          <w:tcPr>
            <w:tcW w:w="337" w:type="pct"/>
            <w:tcBorders>
              <w:top w:val="single" w:sz="4" w:space="0" w:color="auto"/>
              <w:left w:val="nil"/>
              <w:bottom w:val="nil"/>
              <w:right w:val="nil"/>
            </w:tcBorders>
            <w:shd w:val="clear" w:color="auto" w:fill="D9D9D9" w:themeFill="background1" w:themeFillShade="D9"/>
            <w:vAlign w:val="center"/>
            <w:hideMark/>
          </w:tcPr>
          <w:p w14:paraId="6866538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+5,2</w:t>
            </w:r>
          </w:p>
        </w:tc>
        <w:tc>
          <w:tcPr>
            <w:tcW w:w="337" w:type="pct"/>
            <w:tcBorders>
              <w:top w:val="single" w:sz="4" w:space="0" w:color="auto"/>
              <w:left w:val="nil"/>
              <w:bottom w:val="nil"/>
              <w:right w:val="nil"/>
            </w:tcBorders>
            <w:shd w:val="clear" w:color="000000" w:fill="FFFFFF"/>
            <w:vAlign w:val="center"/>
            <w:hideMark/>
          </w:tcPr>
          <w:p w14:paraId="389F50A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+4,1</w:t>
            </w:r>
          </w:p>
        </w:tc>
        <w:tc>
          <w:tcPr>
            <w:tcW w:w="281" w:type="pct"/>
            <w:tcBorders>
              <w:top w:val="single" w:sz="4" w:space="0" w:color="auto"/>
              <w:left w:val="nil"/>
              <w:bottom w:val="nil"/>
              <w:right w:val="nil"/>
            </w:tcBorders>
            <w:shd w:val="clear" w:color="auto" w:fill="D9D9D9" w:themeFill="background1" w:themeFillShade="D9"/>
            <w:vAlign w:val="center"/>
            <w:hideMark/>
          </w:tcPr>
          <w:p w14:paraId="52E55AF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2.013</w:t>
            </w:r>
          </w:p>
        </w:tc>
        <w:tc>
          <w:tcPr>
            <w:tcW w:w="337" w:type="pct"/>
            <w:tcBorders>
              <w:top w:val="single" w:sz="4" w:space="0" w:color="auto"/>
              <w:left w:val="nil"/>
              <w:bottom w:val="nil"/>
              <w:right w:val="nil"/>
            </w:tcBorders>
            <w:shd w:val="clear" w:color="000000" w:fill="FFFFFF"/>
            <w:vAlign w:val="center"/>
            <w:hideMark/>
          </w:tcPr>
          <w:p w14:paraId="43DEFF0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+4,0</w:t>
            </w:r>
          </w:p>
        </w:tc>
        <w:tc>
          <w:tcPr>
            <w:tcW w:w="340" w:type="pct"/>
            <w:tcBorders>
              <w:top w:val="single" w:sz="4" w:space="0" w:color="auto"/>
              <w:left w:val="nil"/>
              <w:bottom w:val="nil"/>
              <w:right w:val="nil"/>
            </w:tcBorders>
            <w:shd w:val="clear" w:color="auto" w:fill="D9D9D9" w:themeFill="background1" w:themeFillShade="D9"/>
            <w:vAlign w:val="center"/>
            <w:hideMark/>
          </w:tcPr>
          <w:p w14:paraId="5CEABF2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+1,9</w:t>
            </w:r>
          </w:p>
        </w:tc>
      </w:tr>
      <w:tr w:rsidR="00A840CE" w:rsidRPr="002914BD" w14:paraId="36AE9DAE" w14:textId="77777777" w:rsidTr="00DD51CA">
        <w:trPr>
          <w:trHeight w:val="227"/>
        </w:trPr>
        <w:tc>
          <w:tcPr>
            <w:tcW w:w="413" w:type="pct"/>
            <w:tcBorders>
              <w:top w:val="nil"/>
              <w:left w:val="nil"/>
              <w:bottom w:val="nil"/>
              <w:right w:val="nil"/>
            </w:tcBorders>
            <w:shd w:val="clear" w:color="000000" w:fill="FFFFFF"/>
            <w:vAlign w:val="center"/>
            <w:hideMark/>
          </w:tcPr>
          <w:p w14:paraId="2502C251" w14:textId="5BE5577A" w:rsidR="00A840CE" w:rsidRPr="002914BD" w:rsidRDefault="00C212E7" w:rsidP="00A840CE">
            <w:pPr>
              <w:widowControl/>
              <w:autoSpaceDE/>
              <w:autoSpaceDN/>
              <w:rPr>
                <w:rFonts w:ascii="Arial Narrow" w:eastAsia="Times New Roman" w:hAnsi="Arial Narrow" w:cs="Times New Roman"/>
                <w:b/>
                <w:sz w:val="14"/>
                <w:szCs w:val="14"/>
                <w:lang w:eastAsia="it-IT"/>
              </w:rPr>
            </w:pPr>
            <w:proofErr w:type="spellStart"/>
            <w:r w:rsidRPr="00C212E7">
              <w:rPr>
                <w:rFonts w:ascii="Arial Narrow" w:eastAsia="Times New Roman" w:hAnsi="Arial Narrow" w:cs="Times New Roman"/>
                <w:b/>
                <w:sz w:val="14"/>
                <w:szCs w:val="14"/>
                <w:lang w:eastAsia="it-IT"/>
              </w:rPr>
              <w:t>Denmark</w:t>
            </w:r>
            <w:proofErr w:type="spellEnd"/>
          </w:p>
        </w:tc>
        <w:tc>
          <w:tcPr>
            <w:tcW w:w="281" w:type="pct"/>
            <w:tcBorders>
              <w:top w:val="single" w:sz="4" w:space="0" w:color="auto"/>
              <w:left w:val="nil"/>
              <w:bottom w:val="nil"/>
              <w:right w:val="nil"/>
            </w:tcBorders>
            <w:shd w:val="clear" w:color="auto" w:fill="D9D9D9" w:themeFill="background1" w:themeFillShade="D9"/>
            <w:vAlign w:val="center"/>
            <w:hideMark/>
          </w:tcPr>
          <w:p w14:paraId="75E56C1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11.698</w:t>
            </w:r>
          </w:p>
        </w:tc>
        <w:tc>
          <w:tcPr>
            <w:tcW w:w="337" w:type="pct"/>
            <w:tcBorders>
              <w:top w:val="single" w:sz="4" w:space="0" w:color="auto"/>
              <w:left w:val="nil"/>
              <w:bottom w:val="nil"/>
              <w:right w:val="nil"/>
            </w:tcBorders>
            <w:shd w:val="clear" w:color="000000" w:fill="FFFFFF"/>
            <w:vAlign w:val="center"/>
            <w:hideMark/>
          </w:tcPr>
          <w:p w14:paraId="7D70F0A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+0,9</w:t>
            </w:r>
          </w:p>
        </w:tc>
        <w:tc>
          <w:tcPr>
            <w:tcW w:w="337" w:type="pct"/>
            <w:tcBorders>
              <w:top w:val="single" w:sz="4" w:space="0" w:color="auto"/>
              <w:left w:val="nil"/>
              <w:bottom w:val="nil"/>
              <w:right w:val="nil"/>
            </w:tcBorders>
            <w:shd w:val="clear" w:color="auto" w:fill="D9D9D9" w:themeFill="background1" w:themeFillShade="D9"/>
            <w:vAlign w:val="center"/>
            <w:hideMark/>
          </w:tcPr>
          <w:p w14:paraId="70CCC3A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+2,9</w:t>
            </w:r>
          </w:p>
        </w:tc>
        <w:tc>
          <w:tcPr>
            <w:tcW w:w="337" w:type="pct"/>
            <w:tcBorders>
              <w:top w:val="single" w:sz="4" w:space="0" w:color="auto"/>
              <w:left w:val="nil"/>
              <w:bottom w:val="nil"/>
              <w:right w:val="nil"/>
            </w:tcBorders>
            <w:shd w:val="clear" w:color="000000" w:fill="FFFFFF"/>
            <w:vAlign w:val="center"/>
            <w:hideMark/>
          </w:tcPr>
          <w:p w14:paraId="7A79E1A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+3,8</w:t>
            </w:r>
          </w:p>
        </w:tc>
        <w:tc>
          <w:tcPr>
            <w:tcW w:w="281" w:type="pct"/>
            <w:tcBorders>
              <w:top w:val="single" w:sz="4" w:space="0" w:color="auto"/>
              <w:left w:val="nil"/>
              <w:bottom w:val="nil"/>
              <w:right w:val="nil"/>
            </w:tcBorders>
            <w:shd w:val="clear" w:color="auto" w:fill="D9D9D9" w:themeFill="background1" w:themeFillShade="D9"/>
            <w:vAlign w:val="center"/>
            <w:hideMark/>
          </w:tcPr>
          <w:p w14:paraId="30D2F91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2.702</w:t>
            </w:r>
          </w:p>
        </w:tc>
        <w:tc>
          <w:tcPr>
            <w:tcW w:w="337" w:type="pct"/>
            <w:tcBorders>
              <w:top w:val="single" w:sz="4" w:space="0" w:color="auto"/>
              <w:left w:val="nil"/>
              <w:bottom w:val="nil"/>
              <w:right w:val="nil"/>
            </w:tcBorders>
            <w:shd w:val="clear" w:color="000000" w:fill="FFFFFF"/>
            <w:vAlign w:val="center"/>
            <w:hideMark/>
          </w:tcPr>
          <w:p w14:paraId="28A9F7F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-13,0</w:t>
            </w:r>
          </w:p>
        </w:tc>
        <w:tc>
          <w:tcPr>
            <w:tcW w:w="340" w:type="pct"/>
            <w:tcBorders>
              <w:top w:val="single" w:sz="4" w:space="0" w:color="auto"/>
              <w:left w:val="nil"/>
              <w:bottom w:val="nil"/>
              <w:right w:val="nil"/>
            </w:tcBorders>
            <w:shd w:val="clear" w:color="auto" w:fill="D9D9D9" w:themeFill="background1" w:themeFillShade="D9"/>
            <w:vAlign w:val="center"/>
            <w:hideMark/>
          </w:tcPr>
          <w:p w14:paraId="1B99883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-31,6</w:t>
            </w:r>
          </w:p>
        </w:tc>
        <w:tc>
          <w:tcPr>
            <w:tcW w:w="85" w:type="pct"/>
            <w:tcBorders>
              <w:top w:val="nil"/>
              <w:left w:val="nil"/>
              <w:bottom w:val="nil"/>
              <w:right w:val="nil"/>
            </w:tcBorders>
            <w:shd w:val="clear" w:color="000000" w:fill="FFFFFF"/>
            <w:vAlign w:val="center"/>
            <w:hideMark/>
          </w:tcPr>
          <w:p w14:paraId="6C0B20C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01F690F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11.528</w:t>
            </w:r>
          </w:p>
        </w:tc>
        <w:tc>
          <w:tcPr>
            <w:tcW w:w="337" w:type="pct"/>
            <w:tcBorders>
              <w:top w:val="nil"/>
              <w:left w:val="nil"/>
              <w:bottom w:val="nil"/>
              <w:right w:val="nil"/>
            </w:tcBorders>
            <w:shd w:val="clear" w:color="000000" w:fill="FFFFFF"/>
            <w:vAlign w:val="center"/>
            <w:hideMark/>
          </w:tcPr>
          <w:p w14:paraId="6B23758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-0,3</w:t>
            </w:r>
          </w:p>
        </w:tc>
        <w:tc>
          <w:tcPr>
            <w:tcW w:w="337" w:type="pct"/>
            <w:tcBorders>
              <w:top w:val="single" w:sz="4" w:space="0" w:color="auto"/>
              <w:left w:val="nil"/>
              <w:bottom w:val="nil"/>
              <w:right w:val="nil"/>
            </w:tcBorders>
            <w:shd w:val="clear" w:color="auto" w:fill="D9D9D9" w:themeFill="background1" w:themeFillShade="D9"/>
            <w:vAlign w:val="center"/>
            <w:hideMark/>
          </w:tcPr>
          <w:p w14:paraId="4A61495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-1,4</w:t>
            </w:r>
          </w:p>
        </w:tc>
        <w:tc>
          <w:tcPr>
            <w:tcW w:w="337" w:type="pct"/>
            <w:tcBorders>
              <w:top w:val="single" w:sz="4" w:space="0" w:color="auto"/>
              <w:left w:val="nil"/>
              <w:bottom w:val="nil"/>
              <w:right w:val="nil"/>
            </w:tcBorders>
            <w:shd w:val="clear" w:color="000000" w:fill="FFFFFF"/>
            <w:vAlign w:val="center"/>
            <w:hideMark/>
          </w:tcPr>
          <w:p w14:paraId="1147521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w:t>
            </w:r>
          </w:p>
        </w:tc>
        <w:tc>
          <w:tcPr>
            <w:tcW w:w="281" w:type="pct"/>
            <w:tcBorders>
              <w:top w:val="single" w:sz="4" w:space="0" w:color="auto"/>
              <w:left w:val="nil"/>
              <w:bottom w:val="nil"/>
              <w:right w:val="nil"/>
            </w:tcBorders>
            <w:shd w:val="clear" w:color="auto" w:fill="D9D9D9" w:themeFill="background1" w:themeFillShade="D9"/>
            <w:vAlign w:val="center"/>
            <w:hideMark/>
          </w:tcPr>
          <w:p w14:paraId="7826159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1.965</w:t>
            </w:r>
          </w:p>
        </w:tc>
        <w:tc>
          <w:tcPr>
            <w:tcW w:w="337" w:type="pct"/>
            <w:tcBorders>
              <w:top w:val="single" w:sz="4" w:space="0" w:color="auto"/>
              <w:left w:val="nil"/>
              <w:bottom w:val="nil"/>
              <w:right w:val="nil"/>
            </w:tcBorders>
            <w:shd w:val="clear" w:color="000000" w:fill="FFFFFF"/>
            <w:vAlign w:val="center"/>
            <w:hideMark/>
          </w:tcPr>
          <w:p w14:paraId="681874F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-27,3</w:t>
            </w:r>
          </w:p>
        </w:tc>
        <w:tc>
          <w:tcPr>
            <w:tcW w:w="340" w:type="pct"/>
            <w:tcBorders>
              <w:top w:val="single" w:sz="4" w:space="0" w:color="auto"/>
              <w:left w:val="nil"/>
              <w:bottom w:val="nil"/>
              <w:right w:val="nil"/>
            </w:tcBorders>
            <w:shd w:val="clear" w:color="auto" w:fill="D9D9D9" w:themeFill="background1" w:themeFillShade="D9"/>
            <w:vAlign w:val="center"/>
            <w:hideMark/>
          </w:tcPr>
          <w:p w14:paraId="0D4BF97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-33,6</w:t>
            </w:r>
          </w:p>
        </w:tc>
      </w:tr>
      <w:tr w:rsidR="00A840CE" w:rsidRPr="002914BD" w14:paraId="59964E53" w14:textId="77777777" w:rsidTr="00DD51CA">
        <w:trPr>
          <w:trHeight w:val="227"/>
        </w:trPr>
        <w:tc>
          <w:tcPr>
            <w:tcW w:w="413" w:type="pct"/>
            <w:tcBorders>
              <w:top w:val="single" w:sz="4" w:space="0" w:color="auto"/>
              <w:left w:val="nil"/>
              <w:bottom w:val="nil"/>
              <w:right w:val="nil"/>
            </w:tcBorders>
            <w:shd w:val="clear" w:color="000000" w:fill="FFFFFF"/>
            <w:vAlign w:val="center"/>
            <w:hideMark/>
          </w:tcPr>
          <w:p w14:paraId="63E3E650" w14:textId="63B09174" w:rsidR="00A840CE" w:rsidRPr="002914BD" w:rsidRDefault="00C212E7" w:rsidP="00A840CE">
            <w:pPr>
              <w:widowControl/>
              <w:autoSpaceDE/>
              <w:autoSpaceDN/>
              <w:rPr>
                <w:rFonts w:ascii="Arial Narrow" w:eastAsia="Times New Roman" w:hAnsi="Arial Narrow" w:cs="Times New Roman"/>
                <w:b/>
                <w:sz w:val="14"/>
                <w:szCs w:val="14"/>
                <w:lang w:eastAsia="it-IT"/>
              </w:rPr>
            </w:pPr>
            <w:r w:rsidRPr="00C212E7">
              <w:rPr>
                <w:rFonts w:ascii="Arial Narrow" w:eastAsia="Times New Roman" w:hAnsi="Arial Narrow" w:cs="Times New Roman"/>
                <w:b/>
                <w:sz w:val="14"/>
                <w:szCs w:val="14"/>
                <w:lang w:eastAsia="it-IT"/>
              </w:rPr>
              <w:t>Germany</w:t>
            </w:r>
          </w:p>
        </w:tc>
        <w:tc>
          <w:tcPr>
            <w:tcW w:w="281" w:type="pct"/>
            <w:tcBorders>
              <w:top w:val="single" w:sz="4" w:space="0" w:color="auto"/>
              <w:left w:val="nil"/>
              <w:bottom w:val="nil"/>
              <w:right w:val="nil"/>
            </w:tcBorders>
            <w:shd w:val="clear" w:color="auto" w:fill="D9D9D9" w:themeFill="background1" w:themeFillShade="D9"/>
            <w:vAlign w:val="center"/>
            <w:hideMark/>
          </w:tcPr>
          <w:p w14:paraId="39077D8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57.590</w:t>
            </w:r>
          </w:p>
        </w:tc>
        <w:tc>
          <w:tcPr>
            <w:tcW w:w="337" w:type="pct"/>
            <w:tcBorders>
              <w:top w:val="single" w:sz="4" w:space="0" w:color="auto"/>
              <w:left w:val="nil"/>
              <w:bottom w:val="nil"/>
              <w:right w:val="nil"/>
            </w:tcBorders>
            <w:shd w:val="clear" w:color="000000" w:fill="FFFFFF"/>
            <w:vAlign w:val="center"/>
            <w:hideMark/>
          </w:tcPr>
          <w:p w14:paraId="6F68790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+3,9</w:t>
            </w:r>
          </w:p>
        </w:tc>
        <w:tc>
          <w:tcPr>
            <w:tcW w:w="337" w:type="pct"/>
            <w:tcBorders>
              <w:top w:val="single" w:sz="4" w:space="0" w:color="auto"/>
              <w:left w:val="nil"/>
              <w:bottom w:val="nil"/>
              <w:right w:val="nil"/>
            </w:tcBorders>
            <w:shd w:val="clear" w:color="auto" w:fill="D9D9D9" w:themeFill="background1" w:themeFillShade="D9"/>
            <w:vAlign w:val="center"/>
            <w:hideMark/>
          </w:tcPr>
          <w:p w14:paraId="15F8674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-5,3</w:t>
            </w:r>
          </w:p>
        </w:tc>
        <w:tc>
          <w:tcPr>
            <w:tcW w:w="337" w:type="pct"/>
            <w:tcBorders>
              <w:top w:val="single" w:sz="4" w:space="0" w:color="auto"/>
              <w:left w:val="nil"/>
              <w:bottom w:val="nil"/>
              <w:right w:val="nil"/>
            </w:tcBorders>
            <w:shd w:val="clear" w:color="000000" w:fill="FFFFFF"/>
            <w:vAlign w:val="center"/>
            <w:hideMark/>
          </w:tcPr>
          <w:p w14:paraId="759EBEF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-1,6</w:t>
            </w:r>
          </w:p>
        </w:tc>
        <w:tc>
          <w:tcPr>
            <w:tcW w:w="281" w:type="pct"/>
            <w:tcBorders>
              <w:top w:val="single" w:sz="4" w:space="0" w:color="auto"/>
              <w:left w:val="nil"/>
              <w:bottom w:val="nil"/>
              <w:right w:val="nil"/>
            </w:tcBorders>
            <w:shd w:val="clear" w:color="auto" w:fill="D9D9D9" w:themeFill="background1" w:themeFillShade="D9"/>
            <w:vAlign w:val="center"/>
            <w:hideMark/>
          </w:tcPr>
          <w:p w14:paraId="6611286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20.618</w:t>
            </w:r>
          </w:p>
        </w:tc>
        <w:tc>
          <w:tcPr>
            <w:tcW w:w="337" w:type="pct"/>
            <w:tcBorders>
              <w:top w:val="single" w:sz="4" w:space="0" w:color="auto"/>
              <w:left w:val="nil"/>
              <w:bottom w:val="nil"/>
              <w:right w:val="nil"/>
            </w:tcBorders>
            <w:shd w:val="clear" w:color="000000" w:fill="FFFFFF"/>
            <w:vAlign w:val="center"/>
            <w:hideMark/>
          </w:tcPr>
          <w:p w14:paraId="3B48D30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-6,7</w:t>
            </w:r>
          </w:p>
        </w:tc>
        <w:tc>
          <w:tcPr>
            <w:tcW w:w="340" w:type="pct"/>
            <w:tcBorders>
              <w:top w:val="single" w:sz="4" w:space="0" w:color="auto"/>
              <w:left w:val="nil"/>
              <w:bottom w:val="nil"/>
              <w:right w:val="nil"/>
            </w:tcBorders>
            <w:shd w:val="clear" w:color="auto" w:fill="D9D9D9" w:themeFill="background1" w:themeFillShade="D9"/>
            <w:vAlign w:val="center"/>
            <w:hideMark/>
          </w:tcPr>
          <w:p w14:paraId="73D3E5C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-11,8</w:t>
            </w:r>
          </w:p>
        </w:tc>
        <w:tc>
          <w:tcPr>
            <w:tcW w:w="85" w:type="pct"/>
            <w:tcBorders>
              <w:top w:val="nil"/>
              <w:left w:val="nil"/>
              <w:bottom w:val="nil"/>
              <w:right w:val="nil"/>
            </w:tcBorders>
            <w:shd w:val="clear" w:color="000000" w:fill="FFFFFF"/>
            <w:vAlign w:val="center"/>
            <w:hideMark/>
          </w:tcPr>
          <w:p w14:paraId="23227B9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7CEB9B7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59.357</w:t>
            </w:r>
          </w:p>
        </w:tc>
        <w:tc>
          <w:tcPr>
            <w:tcW w:w="337" w:type="pct"/>
            <w:tcBorders>
              <w:top w:val="single" w:sz="4" w:space="0" w:color="auto"/>
              <w:left w:val="nil"/>
              <w:bottom w:val="single" w:sz="4" w:space="0" w:color="auto"/>
              <w:right w:val="nil"/>
            </w:tcBorders>
            <w:shd w:val="clear" w:color="000000" w:fill="FFFFFF"/>
            <w:vAlign w:val="center"/>
            <w:hideMark/>
          </w:tcPr>
          <w:p w14:paraId="75B898C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-2,6</w:t>
            </w:r>
          </w:p>
        </w:tc>
        <w:tc>
          <w:tcPr>
            <w:tcW w:w="337" w:type="pct"/>
            <w:tcBorders>
              <w:top w:val="single" w:sz="4" w:space="0" w:color="auto"/>
              <w:left w:val="nil"/>
              <w:bottom w:val="nil"/>
              <w:right w:val="nil"/>
            </w:tcBorders>
            <w:shd w:val="clear" w:color="auto" w:fill="D9D9D9" w:themeFill="background1" w:themeFillShade="D9"/>
            <w:vAlign w:val="center"/>
            <w:hideMark/>
          </w:tcPr>
          <w:p w14:paraId="45CA9F2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+5,8</w:t>
            </w:r>
          </w:p>
        </w:tc>
        <w:tc>
          <w:tcPr>
            <w:tcW w:w="337" w:type="pct"/>
            <w:tcBorders>
              <w:top w:val="single" w:sz="4" w:space="0" w:color="auto"/>
              <w:left w:val="nil"/>
              <w:bottom w:val="nil"/>
              <w:right w:val="nil"/>
            </w:tcBorders>
            <w:shd w:val="clear" w:color="000000" w:fill="FFFFFF"/>
            <w:vAlign w:val="center"/>
            <w:hideMark/>
          </w:tcPr>
          <w:p w14:paraId="09487B4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+3,1</w:t>
            </w:r>
          </w:p>
        </w:tc>
        <w:tc>
          <w:tcPr>
            <w:tcW w:w="281" w:type="pct"/>
            <w:tcBorders>
              <w:top w:val="single" w:sz="4" w:space="0" w:color="auto"/>
              <w:left w:val="nil"/>
              <w:bottom w:val="nil"/>
              <w:right w:val="nil"/>
            </w:tcBorders>
            <w:shd w:val="clear" w:color="auto" w:fill="D9D9D9" w:themeFill="background1" w:themeFillShade="D9"/>
            <w:vAlign w:val="center"/>
            <w:hideMark/>
          </w:tcPr>
          <w:p w14:paraId="3CAF148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19.358</w:t>
            </w:r>
          </w:p>
        </w:tc>
        <w:tc>
          <w:tcPr>
            <w:tcW w:w="337" w:type="pct"/>
            <w:tcBorders>
              <w:top w:val="single" w:sz="4" w:space="0" w:color="auto"/>
              <w:left w:val="nil"/>
              <w:bottom w:val="nil"/>
              <w:right w:val="nil"/>
            </w:tcBorders>
            <w:shd w:val="clear" w:color="000000" w:fill="FFFFFF"/>
            <w:vAlign w:val="center"/>
            <w:hideMark/>
          </w:tcPr>
          <w:p w14:paraId="23B3A44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-6,1</w:t>
            </w:r>
          </w:p>
        </w:tc>
        <w:tc>
          <w:tcPr>
            <w:tcW w:w="340" w:type="pct"/>
            <w:tcBorders>
              <w:top w:val="single" w:sz="4" w:space="0" w:color="auto"/>
              <w:left w:val="nil"/>
              <w:bottom w:val="nil"/>
              <w:right w:val="nil"/>
            </w:tcBorders>
            <w:shd w:val="clear" w:color="auto" w:fill="D9D9D9" w:themeFill="background1" w:themeFillShade="D9"/>
            <w:vAlign w:val="center"/>
            <w:hideMark/>
          </w:tcPr>
          <w:p w14:paraId="3DB165A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-10,8</w:t>
            </w:r>
          </w:p>
        </w:tc>
      </w:tr>
      <w:tr w:rsidR="00A840CE" w:rsidRPr="002914BD" w14:paraId="6270982B" w14:textId="77777777" w:rsidTr="00DD51CA">
        <w:trPr>
          <w:trHeight w:val="227"/>
        </w:trPr>
        <w:tc>
          <w:tcPr>
            <w:tcW w:w="413" w:type="pct"/>
            <w:tcBorders>
              <w:top w:val="single" w:sz="4" w:space="0" w:color="auto"/>
              <w:left w:val="nil"/>
              <w:bottom w:val="single" w:sz="4" w:space="0" w:color="auto"/>
              <w:right w:val="nil"/>
            </w:tcBorders>
            <w:shd w:val="clear" w:color="000000" w:fill="FFFFFF"/>
            <w:vAlign w:val="center"/>
            <w:hideMark/>
          </w:tcPr>
          <w:p w14:paraId="7647B3FF" w14:textId="77777777" w:rsidR="00A840CE" w:rsidRPr="002914BD" w:rsidRDefault="00A840CE" w:rsidP="00A840CE">
            <w:pPr>
              <w:widowControl/>
              <w:autoSpaceDE/>
              <w:autoSpaceDN/>
              <w:rPr>
                <w:rFonts w:ascii="Arial Narrow" w:eastAsia="Times New Roman" w:hAnsi="Arial Narrow" w:cs="Times New Roman"/>
                <w:b/>
                <w:sz w:val="14"/>
                <w:szCs w:val="14"/>
                <w:lang w:eastAsia="it-IT"/>
              </w:rPr>
            </w:pPr>
            <w:r w:rsidRPr="002914BD">
              <w:rPr>
                <w:rFonts w:ascii="Arial Narrow" w:eastAsia="Times New Roman" w:hAnsi="Arial Narrow" w:cs="Times New Roman"/>
                <w:b/>
                <w:sz w:val="14"/>
                <w:szCs w:val="14"/>
                <w:lang w:eastAsia="it-IT"/>
              </w:rPr>
              <w:t>Estonia</w:t>
            </w:r>
          </w:p>
        </w:tc>
        <w:tc>
          <w:tcPr>
            <w:tcW w:w="281" w:type="pct"/>
            <w:tcBorders>
              <w:top w:val="single" w:sz="4" w:space="0" w:color="auto"/>
              <w:left w:val="nil"/>
              <w:bottom w:val="nil"/>
              <w:right w:val="nil"/>
            </w:tcBorders>
            <w:shd w:val="clear" w:color="auto" w:fill="D9D9D9" w:themeFill="background1" w:themeFillShade="D9"/>
            <w:vAlign w:val="center"/>
            <w:hideMark/>
          </w:tcPr>
          <w:p w14:paraId="37D1226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995</w:t>
            </w:r>
          </w:p>
        </w:tc>
        <w:tc>
          <w:tcPr>
            <w:tcW w:w="337" w:type="pct"/>
            <w:tcBorders>
              <w:top w:val="single" w:sz="4" w:space="0" w:color="auto"/>
              <w:left w:val="nil"/>
              <w:bottom w:val="nil"/>
              <w:right w:val="nil"/>
            </w:tcBorders>
            <w:shd w:val="clear" w:color="000000" w:fill="FFFFFF"/>
            <w:vAlign w:val="center"/>
            <w:hideMark/>
          </w:tcPr>
          <w:p w14:paraId="6D22222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+0,0</w:t>
            </w:r>
          </w:p>
        </w:tc>
        <w:tc>
          <w:tcPr>
            <w:tcW w:w="337" w:type="pct"/>
            <w:tcBorders>
              <w:top w:val="single" w:sz="4" w:space="0" w:color="auto"/>
              <w:left w:val="nil"/>
              <w:bottom w:val="nil"/>
              <w:right w:val="nil"/>
            </w:tcBorders>
            <w:shd w:val="clear" w:color="auto" w:fill="D9D9D9" w:themeFill="background1" w:themeFillShade="D9"/>
            <w:vAlign w:val="center"/>
            <w:hideMark/>
          </w:tcPr>
          <w:p w14:paraId="5186519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-0,2</w:t>
            </w:r>
          </w:p>
        </w:tc>
        <w:tc>
          <w:tcPr>
            <w:tcW w:w="337" w:type="pct"/>
            <w:tcBorders>
              <w:top w:val="single" w:sz="4" w:space="0" w:color="auto"/>
              <w:left w:val="nil"/>
              <w:bottom w:val="nil"/>
              <w:right w:val="nil"/>
            </w:tcBorders>
            <w:shd w:val="clear" w:color="000000" w:fill="FFFFFF"/>
            <w:vAlign w:val="center"/>
            <w:hideMark/>
          </w:tcPr>
          <w:p w14:paraId="28F4287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-0,2</w:t>
            </w:r>
          </w:p>
        </w:tc>
        <w:tc>
          <w:tcPr>
            <w:tcW w:w="281" w:type="pct"/>
            <w:tcBorders>
              <w:top w:val="single" w:sz="4" w:space="0" w:color="auto"/>
              <w:left w:val="nil"/>
              <w:bottom w:val="nil"/>
              <w:right w:val="nil"/>
            </w:tcBorders>
            <w:shd w:val="clear" w:color="auto" w:fill="D9D9D9" w:themeFill="background1" w:themeFillShade="D9"/>
            <w:vAlign w:val="center"/>
            <w:hideMark/>
          </w:tcPr>
          <w:p w14:paraId="39C1B36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257</w:t>
            </w:r>
          </w:p>
        </w:tc>
        <w:tc>
          <w:tcPr>
            <w:tcW w:w="337" w:type="pct"/>
            <w:tcBorders>
              <w:top w:val="single" w:sz="4" w:space="0" w:color="auto"/>
              <w:left w:val="nil"/>
              <w:bottom w:val="nil"/>
              <w:right w:val="nil"/>
            </w:tcBorders>
            <w:shd w:val="clear" w:color="000000" w:fill="FFFFFF"/>
            <w:vAlign w:val="center"/>
            <w:hideMark/>
          </w:tcPr>
          <w:p w14:paraId="570B48A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-8,9</w:t>
            </w:r>
          </w:p>
        </w:tc>
        <w:tc>
          <w:tcPr>
            <w:tcW w:w="340" w:type="pct"/>
            <w:tcBorders>
              <w:top w:val="single" w:sz="4" w:space="0" w:color="auto"/>
              <w:left w:val="nil"/>
              <w:bottom w:val="nil"/>
              <w:right w:val="nil"/>
            </w:tcBorders>
            <w:shd w:val="clear" w:color="auto" w:fill="D9D9D9" w:themeFill="background1" w:themeFillShade="D9"/>
            <w:vAlign w:val="center"/>
            <w:hideMark/>
          </w:tcPr>
          <w:p w14:paraId="66EF4C9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+9,1</w:t>
            </w:r>
          </w:p>
        </w:tc>
        <w:tc>
          <w:tcPr>
            <w:tcW w:w="85" w:type="pct"/>
            <w:tcBorders>
              <w:top w:val="nil"/>
              <w:left w:val="nil"/>
              <w:bottom w:val="nil"/>
              <w:right w:val="nil"/>
            </w:tcBorders>
            <w:shd w:val="clear" w:color="000000" w:fill="FFFFFF"/>
            <w:vAlign w:val="center"/>
            <w:hideMark/>
          </w:tcPr>
          <w:p w14:paraId="055B1F5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13CE338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1.088</w:t>
            </w:r>
          </w:p>
        </w:tc>
        <w:tc>
          <w:tcPr>
            <w:tcW w:w="337" w:type="pct"/>
            <w:tcBorders>
              <w:top w:val="nil"/>
              <w:left w:val="nil"/>
              <w:bottom w:val="single" w:sz="4" w:space="0" w:color="auto"/>
              <w:right w:val="nil"/>
            </w:tcBorders>
            <w:shd w:val="clear" w:color="000000" w:fill="FFFFFF"/>
            <w:vAlign w:val="center"/>
            <w:hideMark/>
          </w:tcPr>
          <w:p w14:paraId="689CBE7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-6,7</w:t>
            </w:r>
          </w:p>
        </w:tc>
        <w:tc>
          <w:tcPr>
            <w:tcW w:w="337" w:type="pct"/>
            <w:tcBorders>
              <w:top w:val="single" w:sz="4" w:space="0" w:color="auto"/>
              <w:left w:val="nil"/>
              <w:bottom w:val="nil"/>
              <w:right w:val="nil"/>
            </w:tcBorders>
            <w:shd w:val="clear" w:color="auto" w:fill="D9D9D9" w:themeFill="background1" w:themeFillShade="D9"/>
            <w:vAlign w:val="center"/>
            <w:hideMark/>
          </w:tcPr>
          <w:p w14:paraId="6043493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+17,2</w:t>
            </w:r>
          </w:p>
        </w:tc>
        <w:tc>
          <w:tcPr>
            <w:tcW w:w="337" w:type="pct"/>
            <w:tcBorders>
              <w:top w:val="single" w:sz="4" w:space="0" w:color="auto"/>
              <w:left w:val="nil"/>
              <w:bottom w:val="nil"/>
              <w:right w:val="nil"/>
            </w:tcBorders>
            <w:shd w:val="clear" w:color="000000" w:fill="FFFFFF"/>
            <w:vAlign w:val="center"/>
            <w:hideMark/>
          </w:tcPr>
          <w:p w14:paraId="105DDF5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+9,3</w:t>
            </w:r>
          </w:p>
        </w:tc>
        <w:tc>
          <w:tcPr>
            <w:tcW w:w="281" w:type="pct"/>
            <w:tcBorders>
              <w:top w:val="single" w:sz="4" w:space="0" w:color="auto"/>
              <w:left w:val="nil"/>
              <w:bottom w:val="nil"/>
              <w:right w:val="nil"/>
            </w:tcBorders>
            <w:shd w:val="clear" w:color="auto" w:fill="D9D9D9" w:themeFill="background1" w:themeFillShade="D9"/>
            <w:vAlign w:val="center"/>
            <w:hideMark/>
          </w:tcPr>
          <w:p w14:paraId="7C4CC95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264</w:t>
            </w:r>
          </w:p>
        </w:tc>
        <w:tc>
          <w:tcPr>
            <w:tcW w:w="337" w:type="pct"/>
            <w:tcBorders>
              <w:top w:val="single" w:sz="4" w:space="0" w:color="auto"/>
              <w:left w:val="nil"/>
              <w:bottom w:val="nil"/>
              <w:right w:val="nil"/>
            </w:tcBorders>
            <w:shd w:val="clear" w:color="000000" w:fill="FFFFFF"/>
            <w:vAlign w:val="center"/>
            <w:hideMark/>
          </w:tcPr>
          <w:p w14:paraId="28D5012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+2,9</w:t>
            </w:r>
          </w:p>
        </w:tc>
        <w:tc>
          <w:tcPr>
            <w:tcW w:w="340" w:type="pct"/>
            <w:tcBorders>
              <w:top w:val="single" w:sz="4" w:space="0" w:color="auto"/>
              <w:left w:val="nil"/>
              <w:bottom w:val="nil"/>
              <w:right w:val="nil"/>
            </w:tcBorders>
            <w:shd w:val="clear" w:color="auto" w:fill="D9D9D9" w:themeFill="background1" w:themeFillShade="D9"/>
            <w:vAlign w:val="center"/>
            <w:hideMark/>
          </w:tcPr>
          <w:p w14:paraId="0E9AC47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-0,2</w:t>
            </w:r>
          </w:p>
        </w:tc>
      </w:tr>
      <w:tr w:rsidR="00A840CE" w:rsidRPr="002914BD" w14:paraId="44618F85"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148AA2A2" w14:textId="4E86AB27" w:rsidR="00A840CE" w:rsidRPr="002914BD" w:rsidRDefault="00C212E7" w:rsidP="00A840CE">
            <w:pPr>
              <w:widowControl/>
              <w:autoSpaceDE/>
              <w:autoSpaceDN/>
              <w:rPr>
                <w:rFonts w:ascii="Arial Narrow" w:eastAsia="Times New Roman" w:hAnsi="Arial Narrow" w:cs="Times New Roman"/>
                <w:b/>
                <w:sz w:val="14"/>
                <w:szCs w:val="14"/>
                <w:lang w:eastAsia="it-IT"/>
              </w:rPr>
            </w:pPr>
            <w:proofErr w:type="spellStart"/>
            <w:r w:rsidRPr="00C212E7">
              <w:rPr>
                <w:rFonts w:ascii="Arial Narrow" w:eastAsia="Times New Roman" w:hAnsi="Arial Narrow" w:cs="Times New Roman"/>
                <w:b/>
                <w:sz w:val="14"/>
                <w:szCs w:val="14"/>
                <w:lang w:eastAsia="it-IT"/>
              </w:rPr>
              <w:t>Ireland</w:t>
            </w:r>
            <w:proofErr w:type="spellEnd"/>
          </w:p>
        </w:tc>
        <w:tc>
          <w:tcPr>
            <w:tcW w:w="281" w:type="pct"/>
            <w:tcBorders>
              <w:top w:val="single" w:sz="4" w:space="0" w:color="auto"/>
              <w:left w:val="nil"/>
              <w:bottom w:val="nil"/>
              <w:right w:val="nil"/>
            </w:tcBorders>
            <w:shd w:val="clear" w:color="auto" w:fill="D9D9D9" w:themeFill="background1" w:themeFillShade="D9"/>
            <w:vAlign w:val="center"/>
            <w:hideMark/>
          </w:tcPr>
          <w:p w14:paraId="258DE1B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8.908</w:t>
            </w:r>
          </w:p>
        </w:tc>
        <w:tc>
          <w:tcPr>
            <w:tcW w:w="337" w:type="pct"/>
            <w:tcBorders>
              <w:top w:val="single" w:sz="4" w:space="0" w:color="auto"/>
              <w:left w:val="nil"/>
              <w:bottom w:val="nil"/>
              <w:right w:val="nil"/>
            </w:tcBorders>
            <w:shd w:val="clear" w:color="000000" w:fill="FFFFFF"/>
            <w:vAlign w:val="center"/>
            <w:hideMark/>
          </w:tcPr>
          <w:p w14:paraId="4F19F50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+1,5</w:t>
            </w:r>
          </w:p>
        </w:tc>
        <w:tc>
          <w:tcPr>
            <w:tcW w:w="337" w:type="pct"/>
            <w:tcBorders>
              <w:top w:val="single" w:sz="4" w:space="0" w:color="auto"/>
              <w:left w:val="nil"/>
              <w:bottom w:val="nil"/>
              <w:right w:val="nil"/>
            </w:tcBorders>
            <w:shd w:val="clear" w:color="auto" w:fill="D9D9D9" w:themeFill="background1" w:themeFillShade="D9"/>
            <w:vAlign w:val="center"/>
            <w:hideMark/>
          </w:tcPr>
          <w:p w14:paraId="31DA514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+3,1</w:t>
            </w:r>
          </w:p>
        </w:tc>
        <w:tc>
          <w:tcPr>
            <w:tcW w:w="337" w:type="pct"/>
            <w:tcBorders>
              <w:top w:val="single" w:sz="4" w:space="0" w:color="auto"/>
              <w:left w:val="nil"/>
              <w:bottom w:val="nil"/>
              <w:right w:val="nil"/>
            </w:tcBorders>
            <w:shd w:val="clear" w:color="000000" w:fill="FFFFFF"/>
            <w:vAlign w:val="center"/>
            <w:hideMark/>
          </w:tcPr>
          <w:p w14:paraId="1F6C158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+4,6</w:t>
            </w:r>
          </w:p>
        </w:tc>
        <w:tc>
          <w:tcPr>
            <w:tcW w:w="281" w:type="pct"/>
            <w:tcBorders>
              <w:top w:val="single" w:sz="4" w:space="0" w:color="auto"/>
              <w:left w:val="nil"/>
              <w:bottom w:val="nil"/>
              <w:right w:val="nil"/>
            </w:tcBorders>
            <w:shd w:val="clear" w:color="auto" w:fill="D9D9D9" w:themeFill="background1" w:themeFillShade="D9"/>
            <w:vAlign w:val="center"/>
            <w:hideMark/>
          </w:tcPr>
          <w:p w14:paraId="10830A5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3.228</w:t>
            </w:r>
          </w:p>
        </w:tc>
        <w:tc>
          <w:tcPr>
            <w:tcW w:w="337" w:type="pct"/>
            <w:tcBorders>
              <w:top w:val="single" w:sz="4" w:space="0" w:color="auto"/>
              <w:left w:val="nil"/>
              <w:bottom w:val="nil"/>
              <w:right w:val="nil"/>
            </w:tcBorders>
            <w:shd w:val="clear" w:color="000000" w:fill="FFFFFF"/>
            <w:vAlign w:val="center"/>
            <w:hideMark/>
          </w:tcPr>
          <w:p w14:paraId="0E2FFF0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+13,1</w:t>
            </w:r>
          </w:p>
        </w:tc>
        <w:tc>
          <w:tcPr>
            <w:tcW w:w="340" w:type="pct"/>
            <w:tcBorders>
              <w:top w:val="single" w:sz="4" w:space="0" w:color="auto"/>
              <w:left w:val="nil"/>
              <w:bottom w:val="nil"/>
              <w:right w:val="nil"/>
            </w:tcBorders>
            <w:shd w:val="clear" w:color="auto" w:fill="D9D9D9" w:themeFill="background1" w:themeFillShade="D9"/>
            <w:vAlign w:val="center"/>
            <w:hideMark/>
          </w:tcPr>
          <w:p w14:paraId="6257601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+11,9</w:t>
            </w:r>
          </w:p>
        </w:tc>
        <w:tc>
          <w:tcPr>
            <w:tcW w:w="85" w:type="pct"/>
            <w:tcBorders>
              <w:top w:val="nil"/>
              <w:left w:val="nil"/>
              <w:bottom w:val="nil"/>
              <w:right w:val="nil"/>
            </w:tcBorders>
            <w:shd w:val="clear" w:color="000000" w:fill="FFFFFF"/>
            <w:vAlign w:val="center"/>
            <w:hideMark/>
          </w:tcPr>
          <w:p w14:paraId="4D0E6D8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3D8CDB1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10.046</w:t>
            </w:r>
          </w:p>
        </w:tc>
        <w:tc>
          <w:tcPr>
            <w:tcW w:w="337" w:type="pct"/>
            <w:tcBorders>
              <w:top w:val="nil"/>
              <w:left w:val="nil"/>
              <w:bottom w:val="nil"/>
              <w:right w:val="nil"/>
            </w:tcBorders>
            <w:shd w:val="clear" w:color="000000" w:fill="FFFFFF"/>
            <w:vAlign w:val="center"/>
            <w:hideMark/>
          </w:tcPr>
          <w:p w14:paraId="5FBCDAC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+2,0</w:t>
            </w:r>
          </w:p>
        </w:tc>
        <w:tc>
          <w:tcPr>
            <w:tcW w:w="337" w:type="pct"/>
            <w:tcBorders>
              <w:top w:val="single" w:sz="4" w:space="0" w:color="auto"/>
              <w:left w:val="nil"/>
              <w:bottom w:val="nil"/>
              <w:right w:val="nil"/>
            </w:tcBorders>
            <w:shd w:val="clear" w:color="auto" w:fill="D9D9D9" w:themeFill="background1" w:themeFillShade="D9"/>
            <w:vAlign w:val="center"/>
            <w:hideMark/>
          </w:tcPr>
          <w:p w14:paraId="6B22596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+10,5</w:t>
            </w:r>
          </w:p>
        </w:tc>
        <w:tc>
          <w:tcPr>
            <w:tcW w:w="337" w:type="pct"/>
            <w:tcBorders>
              <w:top w:val="single" w:sz="4" w:space="0" w:color="auto"/>
              <w:left w:val="nil"/>
              <w:bottom w:val="nil"/>
              <w:right w:val="nil"/>
            </w:tcBorders>
            <w:shd w:val="clear" w:color="000000" w:fill="FFFFFF"/>
            <w:vAlign w:val="center"/>
            <w:hideMark/>
          </w:tcPr>
          <w:p w14:paraId="1FCC1B4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+12,8</w:t>
            </w:r>
          </w:p>
        </w:tc>
        <w:tc>
          <w:tcPr>
            <w:tcW w:w="281" w:type="pct"/>
            <w:tcBorders>
              <w:top w:val="single" w:sz="4" w:space="0" w:color="auto"/>
              <w:left w:val="nil"/>
              <w:bottom w:val="nil"/>
              <w:right w:val="nil"/>
            </w:tcBorders>
            <w:shd w:val="clear" w:color="auto" w:fill="D9D9D9" w:themeFill="background1" w:themeFillShade="D9"/>
            <w:vAlign w:val="center"/>
            <w:hideMark/>
          </w:tcPr>
          <w:p w14:paraId="743F7DC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3.961</w:t>
            </w:r>
          </w:p>
        </w:tc>
        <w:tc>
          <w:tcPr>
            <w:tcW w:w="337" w:type="pct"/>
            <w:tcBorders>
              <w:top w:val="single" w:sz="4" w:space="0" w:color="auto"/>
              <w:left w:val="nil"/>
              <w:bottom w:val="nil"/>
              <w:right w:val="nil"/>
            </w:tcBorders>
            <w:shd w:val="clear" w:color="000000" w:fill="FFFFFF"/>
            <w:vAlign w:val="center"/>
            <w:hideMark/>
          </w:tcPr>
          <w:p w14:paraId="42C95FB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+22,7</w:t>
            </w:r>
          </w:p>
        </w:tc>
        <w:tc>
          <w:tcPr>
            <w:tcW w:w="340" w:type="pct"/>
            <w:tcBorders>
              <w:top w:val="single" w:sz="4" w:space="0" w:color="auto"/>
              <w:left w:val="nil"/>
              <w:bottom w:val="nil"/>
              <w:right w:val="nil"/>
            </w:tcBorders>
            <w:shd w:val="clear" w:color="auto" w:fill="D9D9D9" w:themeFill="background1" w:themeFillShade="D9"/>
            <w:vAlign w:val="center"/>
            <w:hideMark/>
          </w:tcPr>
          <w:p w14:paraId="4268AA7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+18,0</w:t>
            </w:r>
          </w:p>
        </w:tc>
      </w:tr>
      <w:tr w:rsidR="00A840CE" w:rsidRPr="002914BD" w14:paraId="4E52DEBF"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6DCBC2CC" w14:textId="5EA8BE32" w:rsidR="00A840CE" w:rsidRPr="002914BD" w:rsidRDefault="00C212E7" w:rsidP="00A840CE">
            <w:pPr>
              <w:widowControl/>
              <w:autoSpaceDE/>
              <w:autoSpaceDN/>
              <w:rPr>
                <w:rFonts w:ascii="Arial Narrow" w:eastAsia="Times New Roman" w:hAnsi="Arial Narrow" w:cs="Times New Roman"/>
                <w:b/>
                <w:sz w:val="14"/>
                <w:szCs w:val="14"/>
                <w:lang w:eastAsia="it-IT"/>
              </w:rPr>
            </w:pPr>
            <w:proofErr w:type="spellStart"/>
            <w:r w:rsidRPr="00C212E7">
              <w:rPr>
                <w:rFonts w:ascii="Arial Narrow" w:eastAsia="Times New Roman" w:hAnsi="Arial Narrow" w:cs="Times New Roman"/>
                <w:b/>
                <w:sz w:val="14"/>
                <w:szCs w:val="14"/>
                <w:lang w:eastAsia="it-IT"/>
              </w:rPr>
              <w:t>Greece</w:t>
            </w:r>
            <w:proofErr w:type="spellEnd"/>
          </w:p>
        </w:tc>
        <w:tc>
          <w:tcPr>
            <w:tcW w:w="281" w:type="pct"/>
            <w:tcBorders>
              <w:top w:val="single" w:sz="4" w:space="0" w:color="auto"/>
              <w:left w:val="nil"/>
              <w:bottom w:val="nil"/>
              <w:right w:val="nil"/>
            </w:tcBorders>
            <w:shd w:val="clear" w:color="auto" w:fill="D9D9D9" w:themeFill="background1" w:themeFillShade="D9"/>
            <w:vAlign w:val="center"/>
            <w:hideMark/>
          </w:tcPr>
          <w:p w14:paraId="3CFCF20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11.868</w:t>
            </w:r>
          </w:p>
        </w:tc>
        <w:tc>
          <w:tcPr>
            <w:tcW w:w="337" w:type="pct"/>
            <w:tcBorders>
              <w:top w:val="single" w:sz="4" w:space="0" w:color="auto"/>
              <w:left w:val="nil"/>
              <w:bottom w:val="nil"/>
              <w:right w:val="nil"/>
            </w:tcBorders>
            <w:shd w:val="clear" w:color="000000" w:fill="FFFFFF"/>
            <w:vAlign w:val="center"/>
            <w:hideMark/>
          </w:tcPr>
          <w:p w14:paraId="4EDD382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+0,9</w:t>
            </w:r>
          </w:p>
        </w:tc>
        <w:tc>
          <w:tcPr>
            <w:tcW w:w="337" w:type="pct"/>
            <w:tcBorders>
              <w:top w:val="single" w:sz="4" w:space="0" w:color="auto"/>
              <w:left w:val="nil"/>
              <w:bottom w:val="nil"/>
              <w:right w:val="nil"/>
            </w:tcBorders>
            <w:shd w:val="clear" w:color="auto" w:fill="D9D9D9" w:themeFill="background1" w:themeFillShade="D9"/>
            <w:vAlign w:val="center"/>
            <w:hideMark/>
          </w:tcPr>
          <w:p w14:paraId="17BF181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-0,6</w:t>
            </w:r>
          </w:p>
        </w:tc>
        <w:tc>
          <w:tcPr>
            <w:tcW w:w="337" w:type="pct"/>
            <w:tcBorders>
              <w:top w:val="single" w:sz="4" w:space="0" w:color="auto"/>
              <w:left w:val="nil"/>
              <w:bottom w:val="nil"/>
              <w:right w:val="nil"/>
            </w:tcBorders>
            <w:shd w:val="clear" w:color="000000" w:fill="FFFFFF"/>
            <w:vAlign w:val="center"/>
            <w:hideMark/>
          </w:tcPr>
          <w:p w14:paraId="190B01F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+0,2</w:t>
            </w:r>
          </w:p>
        </w:tc>
        <w:tc>
          <w:tcPr>
            <w:tcW w:w="281" w:type="pct"/>
            <w:tcBorders>
              <w:top w:val="single" w:sz="4" w:space="0" w:color="auto"/>
              <w:left w:val="nil"/>
              <w:bottom w:val="nil"/>
              <w:right w:val="nil"/>
            </w:tcBorders>
            <w:shd w:val="clear" w:color="auto" w:fill="D9D9D9" w:themeFill="background1" w:themeFillShade="D9"/>
            <w:vAlign w:val="center"/>
            <w:hideMark/>
          </w:tcPr>
          <w:p w14:paraId="5658417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6.235</w:t>
            </w:r>
          </w:p>
        </w:tc>
        <w:tc>
          <w:tcPr>
            <w:tcW w:w="337" w:type="pct"/>
            <w:tcBorders>
              <w:top w:val="single" w:sz="4" w:space="0" w:color="auto"/>
              <w:left w:val="nil"/>
              <w:bottom w:val="nil"/>
              <w:right w:val="nil"/>
            </w:tcBorders>
            <w:shd w:val="clear" w:color="000000" w:fill="FFFFFF"/>
            <w:vAlign w:val="center"/>
            <w:hideMark/>
          </w:tcPr>
          <w:p w14:paraId="12D55EE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w:t>
            </w:r>
          </w:p>
        </w:tc>
        <w:tc>
          <w:tcPr>
            <w:tcW w:w="340" w:type="pct"/>
            <w:tcBorders>
              <w:top w:val="single" w:sz="4" w:space="0" w:color="auto"/>
              <w:left w:val="nil"/>
              <w:bottom w:val="nil"/>
              <w:right w:val="nil"/>
            </w:tcBorders>
            <w:shd w:val="clear" w:color="auto" w:fill="D9D9D9" w:themeFill="background1" w:themeFillShade="D9"/>
            <w:vAlign w:val="center"/>
            <w:hideMark/>
          </w:tcPr>
          <w:p w14:paraId="1EA6C5D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+9,5</w:t>
            </w:r>
          </w:p>
        </w:tc>
        <w:tc>
          <w:tcPr>
            <w:tcW w:w="85" w:type="pct"/>
            <w:tcBorders>
              <w:top w:val="nil"/>
              <w:left w:val="nil"/>
              <w:bottom w:val="nil"/>
              <w:right w:val="nil"/>
            </w:tcBorders>
            <w:shd w:val="clear" w:color="000000" w:fill="FFFFFF"/>
            <w:vAlign w:val="center"/>
            <w:hideMark/>
          </w:tcPr>
          <w:p w14:paraId="7F00C7F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5C03EFB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11.858</w:t>
            </w:r>
          </w:p>
        </w:tc>
        <w:tc>
          <w:tcPr>
            <w:tcW w:w="337" w:type="pct"/>
            <w:tcBorders>
              <w:top w:val="single" w:sz="4" w:space="0" w:color="auto"/>
              <w:left w:val="nil"/>
              <w:bottom w:val="single" w:sz="4" w:space="0" w:color="auto"/>
              <w:right w:val="nil"/>
            </w:tcBorders>
            <w:shd w:val="clear" w:color="000000" w:fill="FFFFFF"/>
            <w:vAlign w:val="center"/>
            <w:hideMark/>
          </w:tcPr>
          <w:p w14:paraId="1E0F7CD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-7,4</w:t>
            </w:r>
          </w:p>
        </w:tc>
        <w:tc>
          <w:tcPr>
            <w:tcW w:w="337" w:type="pct"/>
            <w:tcBorders>
              <w:top w:val="single" w:sz="4" w:space="0" w:color="auto"/>
              <w:left w:val="nil"/>
              <w:bottom w:val="nil"/>
              <w:right w:val="nil"/>
            </w:tcBorders>
            <w:shd w:val="clear" w:color="auto" w:fill="D9D9D9" w:themeFill="background1" w:themeFillShade="D9"/>
            <w:vAlign w:val="center"/>
            <w:hideMark/>
          </w:tcPr>
          <w:p w14:paraId="53363E7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+7,9</w:t>
            </w:r>
          </w:p>
        </w:tc>
        <w:tc>
          <w:tcPr>
            <w:tcW w:w="337" w:type="pct"/>
            <w:tcBorders>
              <w:top w:val="single" w:sz="4" w:space="0" w:color="auto"/>
              <w:left w:val="nil"/>
              <w:bottom w:val="nil"/>
              <w:right w:val="nil"/>
            </w:tcBorders>
            <w:shd w:val="clear" w:color="000000" w:fill="FFFFFF"/>
            <w:vAlign w:val="center"/>
            <w:hideMark/>
          </w:tcPr>
          <w:p w14:paraId="63084C8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-0,1</w:t>
            </w:r>
          </w:p>
        </w:tc>
        <w:tc>
          <w:tcPr>
            <w:tcW w:w="281" w:type="pct"/>
            <w:tcBorders>
              <w:top w:val="single" w:sz="4" w:space="0" w:color="auto"/>
              <w:left w:val="nil"/>
              <w:bottom w:val="nil"/>
              <w:right w:val="nil"/>
            </w:tcBorders>
            <w:shd w:val="clear" w:color="auto" w:fill="D9D9D9" w:themeFill="background1" w:themeFillShade="D9"/>
            <w:vAlign w:val="center"/>
            <w:hideMark/>
          </w:tcPr>
          <w:p w14:paraId="506DA2D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6.004</w:t>
            </w:r>
          </w:p>
        </w:tc>
        <w:tc>
          <w:tcPr>
            <w:tcW w:w="337" w:type="pct"/>
            <w:tcBorders>
              <w:top w:val="single" w:sz="4" w:space="0" w:color="auto"/>
              <w:left w:val="nil"/>
              <w:bottom w:val="nil"/>
              <w:right w:val="nil"/>
            </w:tcBorders>
            <w:shd w:val="clear" w:color="000000" w:fill="FFFFFF"/>
            <w:vAlign w:val="center"/>
            <w:hideMark/>
          </w:tcPr>
          <w:p w14:paraId="190C5E2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-3,7</w:t>
            </w:r>
          </w:p>
        </w:tc>
        <w:tc>
          <w:tcPr>
            <w:tcW w:w="340" w:type="pct"/>
            <w:tcBorders>
              <w:top w:val="single" w:sz="4" w:space="0" w:color="auto"/>
              <w:left w:val="nil"/>
              <w:bottom w:val="nil"/>
              <w:right w:val="nil"/>
            </w:tcBorders>
            <w:shd w:val="clear" w:color="auto" w:fill="D9D9D9" w:themeFill="background1" w:themeFillShade="D9"/>
            <w:vAlign w:val="center"/>
            <w:hideMark/>
          </w:tcPr>
          <w:p w14:paraId="0A85E94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-3,3</w:t>
            </w:r>
          </w:p>
        </w:tc>
      </w:tr>
      <w:tr w:rsidR="00A840CE" w:rsidRPr="002914BD" w14:paraId="35E115E1"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5C3827B1" w14:textId="05AAE444" w:rsidR="00A840CE" w:rsidRPr="002914BD" w:rsidRDefault="00C212E7" w:rsidP="00A840CE">
            <w:pPr>
              <w:widowControl/>
              <w:autoSpaceDE/>
              <w:autoSpaceDN/>
              <w:rPr>
                <w:rFonts w:ascii="Arial Narrow" w:eastAsia="Times New Roman" w:hAnsi="Arial Narrow" w:cs="Times New Roman"/>
                <w:b/>
                <w:sz w:val="14"/>
                <w:szCs w:val="14"/>
                <w:lang w:eastAsia="it-IT"/>
              </w:rPr>
            </w:pPr>
            <w:proofErr w:type="spellStart"/>
            <w:r w:rsidRPr="00C212E7">
              <w:rPr>
                <w:rFonts w:ascii="Arial Narrow" w:eastAsia="Times New Roman" w:hAnsi="Arial Narrow" w:cs="Times New Roman"/>
                <w:b/>
                <w:sz w:val="14"/>
                <w:szCs w:val="14"/>
                <w:lang w:eastAsia="it-IT"/>
              </w:rPr>
              <w:t>Spain</w:t>
            </w:r>
            <w:proofErr w:type="spellEnd"/>
          </w:p>
        </w:tc>
        <w:tc>
          <w:tcPr>
            <w:tcW w:w="281" w:type="pct"/>
            <w:tcBorders>
              <w:top w:val="single" w:sz="4" w:space="0" w:color="auto"/>
              <w:left w:val="nil"/>
              <w:bottom w:val="nil"/>
              <w:right w:val="nil"/>
            </w:tcBorders>
            <w:shd w:val="clear" w:color="auto" w:fill="D9D9D9" w:themeFill="background1" w:themeFillShade="D9"/>
            <w:vAlign w:val="center"/>
            <w:hideMark/>
          </w:tcPr>
          <w:p w14:paraId="7157972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52.345</w:t>
            </w:r>
          </w:p>
        </w:tc>
        <w:tc>
          <w:tcPr>
            <w:tcW w:w="337" w:type="pct"/>
            <w:tcBorders>
              <w:top w:val="single" w:sz="4" w:space="0" w:color="auto"/>
              <w:left w:val="nil"/>
              <w:bottom w:val="nil"/>
              <w:right w:val="nil"/>
            </w:tcBorders>
            <w:shd w:val="clear" w:color="000000" w:fill="FFFFFF"/>
            <w:vAlign w:val="center"/>
            <w:hideMark/>
          </w:tcPr>
          <w:p w14:paraId="484DA10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+2,6</w:t>
            </w:r>
          </w:p>
        </w:tc>
        <w:tc>
          <w:tcPr>
            <w:tcW w:w="337" w:type="pct"/>
            <w:tcBorders>
              <w:top w:val="single" w:sz="4" w:space="0" w:color="auto"/>
              <w:left w:val="nil"/>
              <w:bottom w:val="nil"/>
              <w:right w:val="nil"/>
            </w:tcBorders>
            <w:shd w:val="clear" w:color="auto" w:fill="D9D9D9" w:themeFill="background1" w:themeFillShade="D9"/>
            <w:vAlign w:val="center"/>
            <w:hideMark/>
          </w:tcPr>
          <w:p w14:paraId="65288EC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-1,5</w:t>
            </w:r>
          </w:p>
        </w:tc>
        <w:tc>
          <w:tcPr>
            <w:tcW w:w="337" w:type="pct"/>
            <w:tcBorders>
              <w:top w:val="single" w:sz="4" w:space="0" w:color="auto"/>
              <w:left w:val="nil"/>
              <w:bottom w:val="nil"/>
              <w:right w:val="nil"/>
            </w:tcBorders>
            <w:shd w:val="clear" w:color="000000" w:fill="FFFFFF"/>
            <w:vAlign w:val="center"/>
            <w:hideMark/>
          </w:tcPr>
          <w:p w14:paraId="5FFAF37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w:t>
            </w:r>
          </w:p>
        </w:tc>
        <w:tc>
          <w:tcPr>
            <w:tcW w:w="281" w:type="pct"/>
            <w:tcBorders>
              <w:top w:val="single" w:sz="4" w:space="0" w:color="auto"/>
              <w:left w:val="nil"/>
              <w:bottom w:val="nil"/>
              <w:right w:val="nil"/>
            </w:tcBorders>
            <w:shd w:val="clear" w:color="auto" w:fill="D9D9D9" w:themeFill="background1" w:themeFillShade="D9"/>
            <w:vAlign w:val="center"/>
            <w:hideMark/>
          </w:tcPr>
          <w:p w14:paraId="395BD1E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28.570</w:t>
            </w:r>
          </w:p>
        </w:tc>
        <w:tc>
          <w:tcPr>
            <w:tcW w:w="337" w:type="pct"/>
            <w:tcBorders>
              <w:top w:val="single" w:sz="4" w:space="0" w:color="auto"/>
              <w:left w:val="nil"/>
              <w:bottom w:val="nil"/>
              <w:right w:val="nil"/>
            </w:tcBorders>
            <w:shd w:val="clear" w:color="000000" w:fill="FFFFFF"/>
            <w:vAlign w:val="center"/>
            <w:hideMark/>
          </w:tcPr>
          <w:p w14:paraId="1290A6C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+2,2</w:t>
            </w:r>
          </w:p>
        </w:tc>
        <w:tc>
          <w:tcPr>
            <w:tcW w:w="340" w:type="pct"/>
            <w:tcBorders>
              <w:top w:val="single" w:sz="4" w:space="0" w:color="auto"/>
              <w:left w:val="nil"/>
              <w:bottom w:val="nil"/>
              <w:right w:val="nil"/>
            </w:tcBorders>
            <w:shd w:val="clear" w:color="auto" w:fill="D9D9D9" w:themeFill="background1" w:themeFillShade="D9"/>
            <w:vAlign w:val="center"/>
            <w:hideMark/>
          </w:tcPr>
          <w:p w14:paraId="525AA63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+9,2</w:t>
            </w:r>
          </w:p>
        </w:tc>
        <w:tc>
          <w:tcPr>
            <w:tcW w:w="85" w:type="pct"/>
            <w:tcBorders>
              <w:top w:val="nil"/>
              <w:left w:val="nil"/>
              <w:bottom w:val="nil"/>
              <w:right w:val="nil"/>
            </w:tcBorders>
            <w:shd w:val="clear" w:color="000000" w:fill="FFFFFF"/>
            <w:vAlign w:val="center"/>
            <w:hideMark/>
          </w:tcPr>
          <w:p w14:paraId="7AA74CD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7F3CC60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56.427</w:t>
            </w:r>
          </w:p>
        </w:tc>
        <w:tc>
          <w:tcPr>
            <w:tcW w:w="337" w:type="pct"/>
            <w:tcBorders>
              <w:top w:val="nil"/>
              <w:left w:val="nil"/>
              <w:bottom w:val="single" w:sz="4" w:space="0" w:color="auto"/>
              <w:right w:val="nil"/>
            </w:tcBorders>
            <w:shd w:val="clear" w:color="000000" w:fill="FFFFFF"/>
            <w:vAlign w:val="center"/>
            <w:hideMark/>
          </w:tcPr>
          <w:p w14:paraId="5985CB3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+0,2</w:t>
            </w:r>
          </w:p>
        </w:tc>
        <w:tc>
          <w:tcPr>
            <w:tcW w:w="337" w:type="pct"/>
            <w:tcBorders>
              <w:top w:val="single" w:sz="4" w:space="0" w:color="auto"/>
              <w:left w:val="nil"/>
              <w:bottom w:val="nil"/>
              <w:right w:val="nil"/>
            </w:tcBorders>
            <w:shd w:val="clear" w:color="auto" w:fill="D9D9D9" w:themeFill="background1" w:themeFillShade="D9"/>
            <w:vAlign w:val="center"/>
            <w:hideMark/>
          </w:tcPr>
          <w:p w14:paraId="7CD2D51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+7,6</w:t>
            </w:r>
          </w:p>
        </w:tc>
        <w:tc>
          <w:tcPr>
            <w:tcW w:w="337" w:type="pct"/>
            <w:tcBorders>
              <w:top w:val="single" w:sz="4" w:space="0" w:color="auto"/>
              <w:left w:val="nil"/>
              <w:bottom w:val="nil"/>
              <w:right w:val="nil"/>
            </w:tcBorders>
            <w:shd w:val="clear" w:color="000000" w:fill="FFFFFF"/>
            <w:vAlign w:val="center"/>
            <w:hideMark/>
          </w:tcPr>
          <w:p w14:paraId="3F47110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+7,8</w:t>
            </w:r>
          </w:p>
        </w:tc>
        <w:tc>
          <w:tcPr>
            <w:tcW w:w="281" w:type="pct"/>
            <w:tcBorders>
              <w:top w:val="single" w:sz="4" w:space="0" w:color="auto"/>
              <w:left w:val="nil"/>
              <w:bottom w:val="nil"/>
              <w:right w:val="nil"/>
            </w:tcBorders>
            <w:shd w:val="clear" w:color="auto" w:fill="D9D9D9" w:themeFill="background1" w:themeFillShade="D9"/>
            <w:vAlign w:val="center"/>
            <w:hideMark/>
          </w:tcPr>
          <w:p w14:paraId="246522A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29.653</w:t>
            </w:r>
          </w:p>
        </w:tc>
        <w:tc>
          <w:tcPr>
            <w:tcW w:w="337" w:type="pct"/>
            <w:tcBorders>
              <w:top w:val="single" w:sz="4" w:space="0" w:color="auto"/>
              <w:left w:val="nil"/>
              <w:bottom w:val="nil"/>
              <w:right w:val="nil"/>
            </w:tcBorders>
            <w:shd w:val="clear" w:color="000000" w:fill="FFFFFF"/>
            <w:vAlign w:val="center"/>
            <w:hideMark/>
          </w:tcPr>
          <w:p w14:paraId="56EFCDE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+3,8</w:t>
            </w:r>
          </w:p>
        </w:tc>
        <w:tc>
          <w:tcPr>
            <w:tcW w:w="340" w:type="pct"/>
            <w:tcBorders>
              <w:top w:val="single" w:sz="4" w:space="0" w:color="auto"/>
              <w:left w:val="nil"/>
              <w:bottom w:val="nil"/>
              <w:right w:val="nil"/>
            </w:tcBorders>
            <w:shd w:val="clear" w:color="auto" w:fill="D9D9D9" w:themeFill="background1" w:themeFillShade="D9"/>
            <w:vAlign w:val="center"/>
            <w:hideMark/>
          </w:tcPr>
          <w:p w14:paraId="48BA808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-5,2</w:t>
            </w:r>
          </w:p>
        </w:tc>
      </w:tr>
      <w:tr w:rsidR="00A840CE" w:rsidRPr="002914BD" w14:paraId="2BD22130" w14:textId="77777777" w:rsidTr="00DD51CA">
        <w:trPr>
          <w:trHeight w:val="227"/>
        </w:trPr>
        <w:tc>
          <w:tcPr>
            <w:tcW w:w="413" w:type="pct"/>
            <w:tcBorders>
              <w:top w:val="nil"/>
              <w:left w:val="nil"/>
              <w:bottom w:val="nil"/>
              <w:right w:val="nil"/>
            </w:tcBorders>
            <w:shd w:val="clear" w:color="000000" w:fill="FFFFFF"/>
            <w:vAlign w:val="center"/>
            <w:hideMark/>
          </w:tcPr>
          <w:p w14:paraId="17112EFC" w14:textId="7BF9E7F0" w:rsidR="00A840CE" w:rsidRPr="002914BD" w:rsidRDefault="00C212E7" w:rsidP="00A840CE">
            <w:pPr>
              <w:widowControl/>
              <w:autoSpaceDE/>
              <w:autoSpaceDN/>
              <w:rPr>
                <w:rFonts w:ascii="Arial Narrow" w:eastAsia="Times New Roman" w:hAnsi="Arial Narrow" w:cs="Times New Roman"/>
                <w:b/>
                <w:sz w:val="14"/>
                <w:szCs w:val="14"/>
                <w:lang w:eastAsia="it-IT"/>
              </w:rPr>
            </w:pPr>
            <w:r w:rsidRPr="00C212E7">
              <w:rPr>
                <w:rFonts w:ascii="Arial Narrow" w:eastAsia="Times New Roman" w:hAnsi="Arial Narrow" w:cs="Times New Roman"/>
                <w:b/>
                <w:sz w:val="14"/>
                <w:szCs w:val="14"/>
                <w:lang w:eastAsia="it-IT"/>
              </w:rPr>
              <w:t>France</w:t>
            </w:r>
          </w:p>
        </w:tc>
        <w:tc>
          <w:tcPr>
            <w:tcW w:w="281" w:type="pct"/>
            <w:tcBorders>
              <w:top w:val="single" w:sz="4" w:space="0" w:color="auto"/>
              <w:left w:val="nil"/>
              <w:bottom w:val="nil"/>
              <w:right w:val="nil"/>
            </w:tcBorders>
            <w:shd w:val="clear" w:color="auto" w:fill="D9D9D9" w:themeFill="background1" w:themeFillShade="D9"/>
            <w:vAlign w:val="center"/>
            <w:hideMark/>
          </w:tcPr>
          <w:p w14:paraId="09442FA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76.322</w:t>
            </w:r>
          </w:p>
        </w:tc>
        <w:tc>
          <w:tcPr>
            <w:tcW w:w="337" w:type="pct"/>
            <w:tcBorders>
              <w:top w:val="single" w:sz="4" w:space="0" w:color="auto"/>
              <w:left w:val="nil"/>
              <w:bottom w:val="nil"/>
              <w:right w:val="nil"/>
            </w:tcBorders>
            <w:shd w:val="clear" w:color="000000" w:fill="FFFFFF"/>
            <w:vAlign w:val="center"/>
            <w:hideMark/>
          </w:tcPr>
          <w:p w14:paraId="17E4AC5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-2,9</w:t>
            </w:r>
          </w:p>
        </w:tc>
        <w:tc>
          <w:tcPr>
            <w:tcW w:w="337" w:type="pct"/>
            <w:tcBorders>
              <w:top w:val="single" w:sz="4" w:space="0" w:color="auto"/>
              <w:left w:val="nil"/>
              <w:bottom w:val="nil"/>
              <w:right w:val="nil"/>
            </w:tcBorders>
            <w:shd w:val="clear" w:color="auto" w:fill="D9D9D9" w:themeFill="background1" w:themeFillShade="D9"/>
            <w:vAlign w:val="center"/>
            <w:hideMark/>
          </w:tcPr>
          <w:p w14:paraId="3AB3CEC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w:t>
            </w:r>
          </w:p>
        </w:tc>
        <w:tc>
          <w:tcPr>
            <w:tcW w:w="337" w:type="pct"/>
            <w:tcBorders>
              <w:top w:val="single" w:sz="4" w:space="0" w:color="auto"/>
              <w:left w:val="nil"/>
              <w:bottom w:val="nil"/>
              <w:right w:val="nil"/>
            </w:tcBorders>
            <w:shd w:val="clear" w:color="000000" w:fill="FFFFFF"/>
            <w:vAlign w:val="center"/>
            <w:hideMark/>
          </w:tcPr>
          <w:p w14:paraId="1F0FC3D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-1,9</w:t>
            </w:r>
          </w:p>
        </w:tc>
        <w:tc>
          <w:tcPr>
            <w:tcW w:w="281" w:type="pct"/>
            <w:tcBorders>
              <w:top w:val="single" w:sz="4" w:space="0" w:color="auto"/>
              <w:left w:val="nil"/>
              <w:bottom w:val="nil"/>
              <w:right w:val="nil"/>
            </w:tcBorders>
            <w:shd w:val="clear" w:color="auto" w:fill="D9D9D9" w:themeFill="background1" w:themeFillShade="D9"/>
            <w:vAlign w:val="center"/>
            <w:hideMark/>
          </w:tcPr>
          <w:p w14:paraId="3AD7EC8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31.139</w:t>
            </w:r>
          </w:p>
        </w:tc>
        <w:tc>
          <w:tcPr>
            <w:tcW w:w="337" w:type="pct"/>
            <w:tcBorders>
              <w:top w:val="single" w:sz="4" w:space="0" w:color="auto"/>
              <w:left w:val="nil"/>
              <w:bottom w:val="nil"/>
              <w:right w:val="nil"/>
            </w:tcBorders>
            <w:shd w:val="clear" w:color="000000" w:fill="FFFFFF"/>
            <w:vAlign w:val="center"/>
            <w:hideMark/>
          </w:tcPr>
          <w:p w14:paraId="0899314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-1,8</w:t>
            </w:r>
          </w:p>
        </w:tc>
        <w:tc>
          <w:tcPr>
            <w:tcW w:w="340" w:type="pct"/>
            <w:tcBorders>
              <w:top w:val="single" w:sz="4" w:space="0" w:color="auto"/>
              <w:left w:val="nil"/>
              <w:bottom w:val="nil"/>
              <w:right w:val="nil"/>
            </w:tcBorders>
            <w:shd w:val="clear" w:color="auto" w:fill="D9D9D9" w:themeFill="background1" w:themeFillShade="D9"/>
            <w:vAlign w:val="center"/>
            <w:hideMark/>
          </w:tcPr>
          <w:p w14:paraId="7804933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-5,0</w:t>
            </w:r>
          </w:p>
        </w:tc>
        <w:tc>
          <w:tcPr>
            <w:tcW w:w="85" w:type="pct"/>
            <w:tcBorders>
              <w:top w:val="nil"/>
              <w:left w:val="nil"/>
              <w:bottom w:val="nil"/>
              <w:right w:val="nil"/>
            </w:tcBorders>
            <w:shd w:val="clear" w:color="000000" w:fill="FFFFFF"/>
            <w:vAlign w:val="center"/>
            <w:hideMark/>
          </w:tcPr>
          <w:p w14:paraId="62915D3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7DB1903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81.591</w:t>
            </w:r>
          </w:p>
        </w:tc>
        <w:tc>
          <w:tcPr>
            <w:tcW w:w="337" w:type="pct"/>
            <w:tcBorders>
              <w:top w:val="nil"/>
              <w:left w:val="nil"/>
              <w:bottom w:val="nil"/>
              <w:right w:val="nil"/>
            </w:tcBorders>
            <w:shd w:val="clear" w:color="000000" w:fill="FFFFFF"/>
            <w:vAlign w:val="center"/>
            <w:hideMark/>
          </w:tcPr>
          <w:p w14:paraId="1FF5B51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-1,6</w:t>
            </w:r>
          </w:p>
        </w:tc>
        <w:tc>
          <w:tcPr>
            <w:tcW w:w="337" w:type="pct"/>
            <w:tcBorders>
              <w:top w:val="single" w:sz="4" w:space="0" w:color="auto"/>
              <w:left w:val="nil"/>
              <w:bottom w:val="nil"/>
              <w:right w:val="nil"/>
            </w:tcBorders>
            <w:shd w:val="clear" w:color="auto" w:fill="D9D9D9" w:themeFill="background1" w:themeFillShade="D9"/>
            <w:vAlign w:val="center"/>
            <w:hideMark/>
          </w:tcPr>
          <w:p w14:paraId="3032098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+8,6</w:t>
            </w:r>
          </w:p>
        </w:tc>
        <w:tc>
          <w:tcPr>
            <w:tcW w:w="337" w:type="pct"/>
            <w:tcBorders>
              <w:top w:val="single" w:sz="4" w:space="0" w:color="auto"/>
              <w:left w:val="nil"/>
              <w:bottom w:val="nil"/>
              <w:right w:val="nil"/>
            </w:tcBorders>
            <w:shd w:val="clear" w:color="000000" w:fill="FFFFFF"/>
            <w:vAlign w:val="center"/>
            <w:hideMark/>
          </w:tcPr>
          <w:p w14:paraId="0AA5554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+6,9</w:t>
            </w:r>
          </w:p>
        </w:tc>
        <w:tc>
          <w:tcPr>
            <w:tcW w:w="281" w:type="pct"/>
            <w:tcBorders>
              <w:top w:val="single" w:sz="4" w:space="0" w:color="auto"/>
              <w:left w:val="nil"/>
              <w:bottom w:val="nil"/>
              <w:right w:val="nil"/>
            </w:tcBorders>
            <w:shd w:val="clear" w:color="auto" w:fill="D9D9D9" w:themeFill="background1" w:themeFillShade="D9"/>
            <w:vAlign w:val="center"/>
            <w:hideMark/>
          </w:tcPr>
          <w:p w14:paraId="03C4F2E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35.101</w:t>
            </w:r>
          </w:p>
        </w:tc>
        <w:tc>
          <w:tcPr>
            <w:tcW w:w="337" w:type="pct"/>
            <w:tcBorders>
              <w:top w:val="single" w:sz="4" w:space="0" w:color="auto"/>
              <w:left w:val="nil"/>
              <w:bottom w:val="nil"/>
              <w:right w:val="nil"/>
            </w:tcBorders>
            <w:shd w:val="clear" w:color="000000" w:fill="FFFFFF"/>
            <w:vAlign w:val="center"/>
            <w:hideMark/>
          </w:tcPr>
          <w:p w14:paraId="35A6B87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+12,7</w:t>
            </w:r>
          </w:p>
        </w:tc>
        <w:tc>
          <w:tcPr>
            <w:tcW w:w="340" w:type="pct"/>
            <w:tcBorders>
              <w:top w:val="single" w:sz="4" w:space="0" w:color="auto"/>
              <w:left w:val="nil"/>
              <w:bottom w:val="nil"/>
              <w:right w:val="nil"/>
            </w:tcBorders>
            <w:shd w:val="clear" w:color="auto" w:fill="D9D9D9" w:themeFill="background1" w:themeFillShade="D9"/>
            <w:vAlign w:val="center"/>
            <w:hideMark/>
          </w:tcPr>
          <w:p w14:paraId="5800A54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+16,3</w:t>
            </w:r>
          </w:p>
        </w:tc>
      </w:tr>
      <w:tr w:rsidR="00A840CE" w:rsidRPr="002914BD" w14:paraId="27BA02AC" w14:textId="77777777" w:rsidTr="00DD51CA">
        <w:trPr>
          <w:trHeight w:val="227"/>
        </w:trPr>
        <w:tc>
          <w:tcPr>
            <w:tcW w:w="413" w:type="pct"/>
            <w:tcBorders>
              <w:top w:val="single" w:sz="4" w:space="0" w:color="auto"/>
              <w:left w:val="nil"/>
              <w:bottom w:val="single" w:sz="4" w:space="0" w:color="auto"/>
              <w:right w:val="nil"/>
            </w:tcBorders>
            <w:shd w:val="clear" w:color="000000" w:fill="FFFFFF"/>
            <w:vAlign w:val="center"/>
            <w:hideMark/>
          </w:tcPr>
          <w:p w14:paraId="374FFA57" w14:textId="1125C537" w:rsidR="00A840CE" w:rsidRPr="002914BD" w:rsidRDefault="00C212E7" w:rsidP="00A840CE">
            <w:pPr>
              <w:widowControl/>
              <w:autoSpaceDE/>
              <w:autoSpaceDN/>
              <w:rPr>
                <w:rFonts w:ascii="Arial Narrow" w:eastAsia="Times New Roman" w:hAnsi="Arial Narrow" w:cs="Times New Roman"/>
                <w:b/>
                <w:sz w:val="14"/>
                <w:szCs w:val="14"/>
                <w:lang w:eastAsia="it-IT"/>
              </w:rPr>
            </w:pPr>
            <w:proofErr w:type="spellStart"/>
            <w:r w:rsidRPr="00C212E7">
              <w:rPr>
                <w:rFonts w:ascii="Arial Narrow" w:eastAsia="Times New Roman" w:hAnsi="Arial Narrow" w:cs="Times New Roman"/>
                <w:b/>
                <w:sz w:val="14"/>
                <w:szCs w:val="14"/>
                <w:lang w:eastAsia="it-IT"/>
              </w:rPr>
              <w:t>Croatia</w:t>
            </w:r>
            <w:proofErr w:type="spellEnd"/>
          </w:p>
        </w:tc>
        <w:tc>
          <w:tcPr>
            <w:tcW w:w="281" w:type="pct"/>
            <w:tcBorders>
              <w:top w:val="single" w:sz="4" w:space="0" w:color="auto"/>
              <w:left w:val="nil"/>
              <w:bottom w:val="nil"/>
              <w:right w:val="nil"/>
            </w:tcBorders>
            <w:shd w:val="clear" w:color="auto" w:fill="D9D9D9" w:themeFill="background1" w:themeFillShade="D9"/>
            <w:vAlign w:val="center"/>
            <w:hideMark/>
          </w:tcPr>
          <w:p w14:paraId="1243B58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2.422</w:t>
            </w:r>
          </w:p>
        </w:tc>
        <w:tc>
          <w:tcPr>
            <w:tcW w:w="337" w:type="pct"/>
            <w:tcBorders>
              <w:top w:val="single" w:sz="4" w:space="0" w:color="auto"/>
              <w:left w:val="nil"/>
              <w:bottom w:val="nil"/>
              <w:right w:val="nil"/>
            </w:tcBorders>
            <w:shd w:val="clear" w:color="000000" w:fill="FFFFFF"/>
            <w:vAlign w:val="center"/>
            <w:hideMark/>
          </w:tcPr>
          <w:p w14:paraId="4A9787F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w:t>
            </w:r>
          </w:p>
        </w:tc>
        <w:tc>
          <w:tcPr>
            <w:tcW w:w="337" w:type="pct"/>
            <w:tcBorders>
              <w:top w:val="single" w:sz="4" w:space="0" w:color="auto"/>
              <w:left w:val="nil"/>
              <w:bottom w:val="nil"/>
              <w:right w:val="nil"/>
            </w:tcBorders>
            <w:shd w:val="clear" w:color="auto" w:fill="D9D9D9" w:themeFill="background1" w:themeFillShade="D9"/>
            <w:vAlign w:val="center"/>
            <w:hideMark/>
          </w:tcPr>
          <w:p w14:paraId="3247974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+0,5</w:t>
            </w:r>
          </w:p>
        </w:tc>
        <w:tc>
          <w:tcPr>
            <w:tcW w:w="337" w:type="pct"/>
            <w:tcBorders>
              <w:top w:val="single" w:sz="4" w:space="0" w:color="auto"/>
              <w:left w:val="nil"/>
              <w:bottom w:val="nil"/>
              <w:right w:val="nil"/>
            </w:tcBorders>
            <w:shd w:val="clear" w:color="000000" w:fill="FFFFFF"/>
            <w:vAlign w:val="center"/>
            <w:hideMark/>
          </w:tcPr>
          <w:p w14:paraId="7F83270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+1,6</w:t>
            </w:r>
          </w:p>
        </w:tc>
        <w:tc>
          <w:tcPr>
            <w:tcW w:w="281" w:type="pct"/>
            <w:tcBorders>
              <w:top w:val="single" w:sz="4" w:space="0" w:color="auto"/>
              <w:left w:val="nil"/>
              <w:bottom w:val="nil"/>
              <w:right w:val="nil"/>
            </w:tcBorders>
            <w:shd w:val="clear" w:color="auto" w:fill="D9D9D9" w:themeFill="background1" w:themeFillShade="D9"/>
            <w:vAlign w:val="center"/>
            <w:hideMark/>
          </w:tcPr>
          <w:p w14:paraId="657D262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1.153</w:t>
            </w:r>
          </w:p>
        </w:tc>
        <w:tc>
          <w:tcPr>
            <w:tcW w:w="337" w:type="pct"/>
            <w:tcBorders>
              <w:top w:val="single" w:sz="4" w:space="0" w:color="auto"/>
              <w:left w:val="nil"/>
              <w:bottom w:val="nil"/>
              <w:right w:val="nil"/>
            </w:tcBorders>
            <w:shd w:val="clear" w:color="000000" w:fill="FFFFFF"/>
            <w:vAlign w:val="center"/>
            <w:hideMark/>
          </w:tcPr>
          <w:p w14:paraId="0D2CEA7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+1,6</w:t>
            </w:r>
          </w:p>
        </w:tc>
        <w:tc>
          <w:tcPr>
            <w:tcW w:w="340" w:type="pct"/>
            <w:tcBorders>
              <w:top w:val="single" w:sz="4" w:space="0" w:color="auto"/>
              <w:left w:val="nil"/>
              <w:bottom w:val="nil"/>
              <w:right w:val="nil"/>
            </w:tcBorders>
            <w:shd w:val="clear" w:color="auto" w:fill="D9D9D9" w:themeFill="background1" w:themeFillShade="D9"/>
            <w:vAlign w:val="center"/>
            <w:hideMark/>
          </w:tcPr>
          <w:p w14:paraId="0F2B208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+9,2</w:t>
            </w:r>
          </w:p>
        </w:tc>
        <w:tc>
          <w:tcPr>
            <w:tcW w:w="85" w:type="pct"/>
            <w:tcBorders>
              <w:top w:val="nil"/>
              <w:left w:val="nil"/>
              <w:bottom w:val="nil"/>
              <w:right w:val="nil"/>
            </w:tcBorders>
            <w:shd w:val="clear" w:color="000000" w:fill="FFFFFF"/>
            <w:vAlign w:val="center"/>
            <w:hideMark/>
          </w:tcPr>
          <w:p w14:paraId="048BEAA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06B6F6E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2.621</w:t>
            </w:r>
          </w:p>
        </w:tc>
        <w:tc>
          <w:tcPr>
            <w:tcW w:w="337" w:type="pct"/>
            <w:tcBorders>
              <w:top w:val="single" w:sz="4" w:space="0" w:color="auto"/>
              <w:left w:val="nil"/>
              <w:bottom w:val="nil"/>
              <w:right w:val="nil"/>
            </w:tcBorders>
            <w:shd w:val="clear" w:color="000000" w:fill="FFFFFF"/>
            <w:vAlign w:val="center"/>
            <w:hideMark/>
          </w:tcPr>
          <w:p w14:paraId="342B69D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-6,0</w:t>
            </w:r>
          </w:p>
        </w:tc>
        <w:tc>
          <w:tcPr>
            <w:tcW w:w="337" w:type="pct"/>
            <w:tcBorders>
              <w:top w:val="single" w:sz="4" w:space="0" w:color="auto"/>
              <w:left w:val="nil"/>
              <w:bottom w:val="nil"/>
              <w:right w:val="nil"/>
            </w:tcBorders>
            <w:shd w:val="clear" w:color="auto" w:fill="D9D9D9" w:themeFill="background1" w:themeFillShade="D9"/>
            <w:vAlign w:val="center"/>
            <w:hideMark/>
          </w:tcPr>
          <w:p w14:paraId="0087459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+15,0</w:t>
            </w:r>
          </w:p>
        </w:tc>
        <w:tc>
          <w:tcPr>
            <w:tcW w:w="337" w:type="pct"/>
            <w:tcBorders>
              <w:top w:val="single" w:sz="4" w:space="0" w:color="auto"/>
              <w:left w:val="nil"/>
              <w:bottom w:val="nil"/>
              <w:right w:val="nil"/>
            </w:tcBorders>
            <w:shd w:val="clear" w:color="000000" w:fill="FFFFFF"/>
            <w:vAlign w:val="center"/>
            <w:hideMark/>
          </w:tcPr>
          <w:p w14:paraId="6085F42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+8,1</w:t>
            </w:r>
          </w:p>
        </w:tc>
        <w:tc>
          <w:tcPr>
            <w:tcW w:w="281" w:type="pct"/>
            <w:tcBorders>
              <w:top w:val="single" w:sz="4" w:space="0" w:color="auto"/>
              <w:left w:val="nil"/>
              <w:bottom w:val="nil"/>
              <w:right w:val="nil"/>
            </w:tcBorders>
            <w:shd w:val="clear" w:color="auto" w:fill="D9D9D9" w:themeFill="background1" w:themeFillShade="D9"/>
            <w:vAlign w:val="center"/>
            <w:hideMark/>
          </w:tcPr>
          <w:p w14:paraId="0DF4090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1.222</w:t>
            </w:r>
          </w:p>
        </w:tc>
        <w:tc>
          <w:tcPr>
            <w:tcW w:w="337" w:type="pct"/>
            <w:tcBorders>
              <w:top w:val="single" w:sz="4" w:space="0" w:color="auto"/>
              <w:left w:val="nil"/>
              <w:bottom w:val="nil"/>
              <w:right w:val="nil"/>
            </w:tcBorders>
            <w:shd w:val="clear" w:color="000000" w:fill="FFFFFF"/>
            <w:vAlign w:val="center"/>
            <w:hideMark/>
          </w:tcPr>
          <w:p w14:paraId="660C4CA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+6,0</w:t>
            </w:r>
          </w:p>
        </w:tc>
        <w:tc>
          <w:tcPr>
            <w:tcW w:w="340" w:type="pct"/>
            <w:tcBorders>
              <w:top w:val="single" w:sz="4" w:space="0" w:color="auto"/>
              <w:left w:val="nil"/>
              <w:bottom w:val="nil"/>
              <w:right w:val="nil"/>
            </w:tcBorders>
            <w:shd w:val="clear" w:color="auto" w:fill="D9D9D9" w:themeFill="background1" w:themeFillShade="D9"/>
            <w:vAlign w:val="center"/>
            <w:hideMark/>
          </w:tcPr>
          <w:p w14:paraId="00E68CF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+0,7</w:t>
            </w:r>
          </w:p>
        </w:tc>
      </w:tr>
      <w:tr w:rsidR="00A840CE" w:rsidRPr="002914BD" w14:paraId="4C743C00"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26054366" w14:textId="587EAE93" w:rsidR="00A840CE" w:rsidRPr="002914BD" w:rsidRDefault="00C212E7" w:rsidP="00A840CE">
            <w:pPr>
              <w:widowControl/>
              <w:autoSpaceDE/>
              <w:autoSpaceDN/>
              <w:rPr>
                <w:rFonts w:ascii="Arial Narrow" w:eastAsia="Times New Roman" w:hAnsi="Arial Narrow" w:cs="Times New Roman"/>
                <w:b/>
                <w:sz w:val="14"/>
                <w:szCs w:val="14"/>
                <w:lang w:eastAsia="it-IT"/>
              </w:rPr>
            </w:pPr>
            <w:proofErr w:type="spellStart"/>
            <w:r w:rsidRPr="00C212E7">
              <w:rPr>
                <w:rFonts w:ascii="Arial Narrow" w:eastAsia="Times New Roman" w:hAnsi="Arial Narrow" w:cs="Times New Roman"/>
                <w:b/>
                <w:sz w:val="14"/>
                <w:szCs w:val="14"/>
                <w:lang w:eastAsia="it-IT"/>
              </w:rPr>
              <w:t>Italy</w:t>
            </w:r>
            <w:proofErr w:type="spellEnd"/>
          </w:p>
        </w:tc>
        <w:tc>
          <w:tcPr>
            <w:tcW w:w="281" w:type="pct"/>
            <w:tcBorders>
              <w:top w:val="single" w:sz="4" w:space="0" w:color="auto"/>
              <w:left w:val="nil"/>
              <w:bottom w:val="nil"/>
              <w:right w:val="nil"/>
            </w:tcBorders>
            <w:shd w:val="clear" w:color="auto" w:fill="D9D9D9" w:themeFill="background1" w:themeFillShade="D9"/>
            <w:vAlign w:val="center"/>
            <w:hideMark/>
          </w:tcPr>
          <w:p w14:paraId="32F766E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56.864</w:t>
            </w:r>
          </w:p>
        </w:tc>
        <w:tc>
          <w:tcPr>
            <w:tcW w:w="337" w:type="pct"/>
            <w:tcBorders>
              <w:top w:val="single" w:sz="4" w:space="0" w:color="auto"/>
              <w:left w:val="nil"/>
              <w:bottom w:val="nil"/>
              <w:right w:val="nil"/>
            </w:tcBorders>
            <w:shd w:val="clear" w:color="000000" w:fill="FFFFFF"/>
            <w:vAlign w:val="center"/>
            <w:hideMark/>
          </w:tcPr>
          <w:p w14:paraId="583368A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-2,5</w:t>
            </w:r>
          </w:p>
        </w:tc>
        <w:tc>
          <w:tcPr>
            <w:tcW w:w="337" w:type="pct"/>
            <w:tcBorders>
              <w:top w:val="single" w:sz="4" w:space="0" w:color="auto"/>
              <w:left w:val="nil"/>
              <w:bottom w:val="nil"/>
              <w:right w:val="nil"/>
            </w:tcBorders>
            <w:shd w:val="clear" w:color="auto" w:fill="D9D9D9" w:themeFill="background1" w:themeFillShade="D9"/>
            <w:vAlign w:val="center"/>
            <w:hideMark/>
          </w:tcPr>
          <w:p w14:paraId="4742776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+0,2</w:t>
            </w:r>
          </w:p>
        </w:tc>
        <w:tc>
          <w:tcPr>
            <w:tcW w:w="337" w:type="pct"/>
            <w:tcBorders>
              <w:top w:val="single" w:sz="4" w:space="0" w:color="auto"/>
              <w:left w:val="nil"/>
              <w:bottom w:val="nil"/>
              <w:right w:val="nil"/>
            </w:tcBorders>
            <w:shd w:val="clear" w:color="000000" w:fill="FFFFFF"/>
            <w:vAlign w:val="center"/>
            <w:hideMark/>
          </w:tcPr>
          <w:p w14:paraId="5BEB19A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-2,3</w:t>
            </w:r>
          </w:p>
        </w:tc>
        <w:tc>
          <w:tcPr>
            <w:tcW w:w="281" w:type="pct"/>
            <w:tcBorders>
              <w:top w:val="single" w:sz="4" w:space="0" w:color="auto"/>
              <w:left w:val="nil"/>
              <w:bottom w:val="nil"/>
              <w:right w:val="nil"/>
            </w:tcBorders>
            <w:shd w:val="clear" w:color="auto" w:fill="D9D9D9" w:themeFill="background1" w:themeFillShade="D9"/>
            <w:vAlign w:val="center"/>
            <w:hideMark/>
          </w:tcPr>
          <w:p w14:paraId="654341A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31.932</w:t>
            </w:r>
          </w:p>
        </w:tc>
        <w:tc>
          <w:tcPr>
            <w:tcW w:w="337" w:type="pct"/>
            <w:tcBorders>
              <w:top w:val="single" w:sz="4" w:space="0" w:color="auto"/>
              <w:left w:val="nil"/>
              <w:bottom w:val="nil"/>
              <w:right w:val="nil"/>
            </w:tcBorders>
            <w:shd w:val="clear" w:color="000000" w:fill="FFFFFF"/>
            <w:vAlign w:val="center"/>
            <w:hideMark/>
          </w:tcPr>
          <w:p w14:paraId="603B844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-4,1</w:t>
            </w:r>
          </w:p>
        </w:tc>
        <w:tc>
          <w:tcPr>
            <w:tcW w:w="340" w:type="pct"/>
            <w:tcBorders>
              <w:top w:val="single" w:sz="4" w:space="0" w:color="auto"/>
              <w:left w:val="nil"/>
              <w:bottom w:val="nil"/>
              <w:right w:val="nil"/>
            </w:tcBorders>
            <w:shd w:val="clear" w:color="auto" w:fill="D9D9D9" w:themeFill="background1" w:themeFillShade="D9"/>
            <w:vAlign w:val="center"/>
            <w:hideMark/>
          </w:tcPr>
          <w:p w14:paraId="664E905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-7,0</w:t>
            </w:r>
          </w:p>
        </w:tc>
        <w:tc>
          <w:tcPr>
            <w:tcW w:w="85" w:type="pct"/>
            <w:tcBorders>
              <w:top w:val="nil"/>
              <w:left w:val="nil"/>
              <w:bottom w:val="nil"/>
              <w:right w:val="nil"/>
            </w:tcBorders>
            <w:shd w:val="clear" w:color="000000" w:fill="FFFFFF"/>
            <w:vAlign w:val="center"/>
            <w:hideMark/>
          </w:tcPr>
          <w:p w14:paraId="6F04B07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21F3F63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60.019</w:t>
            </w:r>
          </w:p>
        </w:tc>
        <w:tc>
          <w:tcPr>
            <w:tcW w:w="337" w:type="pct"/>
            <w:tcBorders>
              <w:top w:val="single" w:sz="4" w:space="0" w:color="auto"/>
              <w:left w:val="nil"/>
              <w:bottom w:val="nil"/>
              <w:right w:val="nil"/>
            </w:tcBorders>
            <w:shd w:val="clear" w:color="000000" w:fill="FFFFFF"/>
            <w:vAlign w:val="center"/>
            <w:hideMark/>
          </w:tcPr>
          <w:p w14:paraId="273A76F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-0,1</w:t>
            </w:r>
          </w:p>
        </w:tc>
        <w:tc>
          <w:tcPr>
            <w:tcW w:w="337" w:type="pct"/>
            <w:tcBorders>
              <w:top w:val="single" w:sz="4" w:space="0" w:color="auto"/>
              <w:left w:val="nil"/>
              <w:bottom w:val="nil"/>
              <w:right w:val="nil"/>
            </w:tcBorders>
            <w:shd w:val="clear" w:color="auto" w:fill="D9D9D9" w:themeFill="background1" w:themeFillShade="D9"/>
            <w:vAlign w:val="center"/>
            <w:hideMark/>
          </w:tcPr>
          <w:p w14:paraId="08F30F1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+5,6</w:t>
            </w:r>
          </w:p>
        </w:tc>
        <w:tc>
          <w:tcPr>
            <w:tcW w:w="337" w:type="pct"/>
            <w:tcBorders>
              <w:top w:val="single" w:sz="4" w:space="0" w:color="auto"/>
              <w:left w:val="nil"/>
              <w:bottom w:val="nil"/>
              <w:right w:val="nil"/>
            </w:tcBorders>
            <w:shd w:val="clear" w:color="000000" w:fill="FFFFFF"/>
            <w:vAlign w:val="center"/>
            <w:hideMark/>
          </w:tcPr>
          <w:p w14:paraId="6F97B18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+5,6</w:t>
            </w:r>
          </w:p>
        </w:tc>
        <w:tc>
          <w:tcPr>
            <w:tcW w:w="281" w:type="pct"/>
            <w:tcBorders>
              <w:top w:val="single" w:sz="4" w:space="0" w:color="auto"/>
              <w:left w:val="nil"/>
              <w:bottom w:val="nil"/>
              <w:right w:val="nil"/>
            </w:tcBorders>
            <w:shd w:val="clear" w:color="auto" w:fill="D9D9D9" w:themeFill="background1" w:themeFillShade="D9"/>
            <w:vAlign w:val="center"/>
            <w:hideMark/>
          </w:tcPr>
          <w:p w14:paraId="2981D09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32.669</w:t>
            </w:r>
          </w:p>
        </w:tc>
        <w:tc>
          <w:tcPr>
            <w:tcW w:w="337" w:type="pct"/>
            <w:tcBorders>
              <w:top w:val="single" w:sz="4" w:space="0" w:color="auto"/>
              <w:left w:val="nil"/>
              <w:bottom w:val="nil"/>
              <w:right w:val="nil"/>
            </w:tcBorders>
            <w:shd w:val="clear" w:color="000000" w:fill="FFFFFF"/>
            <w:vAlign w:val="center"/>
            <w:hideMark/>
          </w:tcPr>
          <w:p w14:paraId="742C478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+2,3</w:t>
            </w:r>
          </w:p>
        </w:tc>
        <w:tc>
          <w:tcPr>
            <w:tcW w:w="340" w:type="pct"/>
            <w:tcBorders>
              <w:top w:val="single" w:sz="4" w:space="0" w:color="auto"/>
              <w:left w:val="nil"/>
              <w:bottom w:val="nil"/>
              <w:right w:val="nil"/>
            </w:tcBorders>
            <w:shd w:val="clear" w:color="auto" w:fill="D9D9D9" w:themeFill="background1" w:themeFillShade="D9"/>
            <w:vAlign w:val="center"/>
            <w:hideMark/>
          </w:tcPr>
          <w:p w14:paraId="61C1375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-1,6</w:t>
            </w:r>
          </w:p>
        </w:tc>
      </w:tr>
      <w:tr w:rsidR="00A840CE" w:rsidRPr="002914BD" w14:paraId="3CD4D0DD" w14:textId="77777777" w:rsidTr="00DD51CA">
        <w:trPr>
          <w:trHeight w:val="227"/>
        </w:trPr>
        <w:tc>
          <w:tcPr>
            <w:tcW w:w="413" w:type="pct"/>
            <w:tcBorders>
              <w:top w:val="nil"/>
              <w:left w:val="nil"/>
              <w:bottom w:val="nil"/>
              <w:right w:val="nil"/>
            </w:tcBorders>
            <w:shd w:val="clear" w:color="000000" w:fill="FFFFFF"/>
            <w:vAlign w:val="center"/>
            <w:hideMark/>
          </w:tcPr>
          <w:p w14:paraId="222EA577" w14:textId="495B5314" w:rsidR="00A840CE" w:rsidRPr="002914BD" w:rsidRDefault="00C212E7" w:rsidP="00A840CE">
            <w:pPr>
              <w:widowControl/>
              <w:autoSpaceDE/>
              <w:autoSpaceDN/>
              <w:rPr>
                <w:rFonts w:ascii="Arial Narrow" w:eastAsia="Times New Roman" w:hAnsi="Arial Narrow" w:cs="Times New Roman"/>
                <w:b/>
                <w:sz w:val="14"/>
                <w:szCs w:val="14"/>
                <w:lang w:eastAsia="it-IT"/>
              </w:rPr>
            </w:pPr>
            <w:r w:rsidRPr="00C212E7">
              <w:rPr>
                <w:rFonts w:ascii="Arial Narrow" w:eastAsia="Times New Roman" w:hAnsi="Arial Narrow" w:cs="Times New Roman"/>
                <w:b/>
                <w:sz w:val="14"/>
                <w:szCs w:val="14"/>
                <w:lang w:eastAsia="it-IT"/>
              </w:rPr>
              <w:t>Cyprus</w:t>
            </w:r>
          </w:p>
        </w:tc>
        <w:tc>
          <w:tcPr>
            <w:tcW w:w="281" w:type="pct"/>
            <w:tcBorders>
              <w:top w:val="single" w:sz="4" w:space="0" w:color="auto"/>
              <w:left w:val="nil"/>
              <w:bottom w:val="nil"/>
              <w:right w:val="nil"/>
            </w:tcBorders>
            <w:shd w:val="clear" w:color="auto" w:fill="D9D9D9" w:themeFill="background1" w:themeFillShade="D9"/>
            <w:vAlign w:val="center"/>
            <w:hideMark/>
          </w:tcPr>
          <w:p w14:paraId="728E9B6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758</w:t>
            </w:r>
          </w:p>
        </w:tc>
        <w:tc>
          <w:tcPr>
            <w:tcW w:w="337" w:type="pct"/>
            <w:tcBorders>
              <w:top w:val="single" w:sz="4" w:space="0" w:color="auto"/>
              <w:left w:val="nil"/>
              <w:bottom w:val="nil"/>
              <w:right w:val="nil"/>
            </w:tcBorders>
            <w:shd w:val="clear" w:color="000000" w:fill="FFFFFF"/>
            <w:vAlign w:val="center"/>
            <w:hideMark/>
          </w:tcPr>
          <w:p w14:paraId="63ED6C3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+3,7</w:t>
            </w:r>
          </w:p>
        </w:tc>
        <w:tc>
          <w:tcPr>
            <w:tcW w:w="337" w:type="pct"/>
            <w:tcBorders>
              <w:top w:val="single" w:sz="4" w:space="0" w:color="auto"/>
              <w:left w:val="nil"/>
              <w:bottom w:val="nil"/>
              <w:right w:val="nil"/>
            </w:tcBorders>
            <w:shd w:val="clear" w:color="auto" w:fill="D9D9D9" w:themeFill="background1" w:themeFillShade="D9"/>
            <w:vAlign w:val="center"/>
            <w:hideMark/>
          </w:tcPr>
          <w:p w14:paraId="265DDFC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-0,8</w:t>
            </w:r>
          </w:p>
        </w:tc>
        <w:tc>
          <w:tcPr>
            <w:tcW w:w="337" w:type="pct"/>
            <w:tcBorders>
              <w:top w:val="single" w:sz="4" w:space="0" w:color="auto"/>
              <w:left w:val="nil"/>
              <w:bottom w:val="nil"/>
              <w:right w:val="nil"/>
            </w:tcBorders>
            <w:shd w:val="clear" w:color="000000" w:fill="FFFFFF"/>
            <w:vAlign w:val="center"/>
            <w:hideMark/>
          </w:tcPr>
          <w:p w14:paraId="7A5EFF6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+2,8</w:t>
            </w:r>
          </w:p>
        </w:tc>
        <w:tc>
          <w:tcPr>
            <w:tcW w:w="281" w:type="pct"/>
            <w:tcBorders>
              <w:top w:val="single" w:sz="4" w:space="0" w:color="auto"/>
              <w:left w:val="nil"/>
              <w:bottom w:val="nil"/>
              <w:right w:val="nil"/>
            </w:tcBorders>
            <w:shd w:val="clear" w:color="auto" w:fill="D9D9D9" w:themeFill="background1" w:themeFillShade="D9"/>
            <w:vAlign w:val="center"/>
            <w:hideMark/>
          </w:tcPr>
          <w:p w14:paraId="2978128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353</w:t>
            </w:r>
          </w:p>
        </w:tc>
        <w:tc>
          <w:tcPr>
            <w:tcW w:w="337" w:type="pct"/>
            <w:tcBorders>
              <w:top w:val="single" w:sz="4" w:space="0" w:color="auto"/>
              <w:left w:val="nil"/>
              <w:bottom w:val="nil"/>
              <w:right w:val="nil"/>
            </w:tcBorders>
            <w:shd w:val="clear" w:color="000000" w:fill="FFFFFF"/>
            <w:vAlign w:val="center"/>
            <w:hideMark/>
          </w:tcPr>
          <w:p w14:paraId="7E6B298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+3,7</w:t>
            </w:r>
          </w:p>
        </w:tc>
        <w:tc>
          <w:tcPr>
            <w:tcW w:w="340" w:type="pct"/>
            <w:tcBorders>
              <w:top w:val="single" w:sz="4" w:space="0" w:color="auto"/>
              <w:left w:val="nil"/>
              <w:bottom w:val="nil"/>
              <w:right w:val="nil"/>
            </w:tcBorders>
            <w:shd w:val="clear" w:color="auto" w:fill="D9D9D9" w:themeFill="background1" w:themeFillShade="D9"/>
            <w:vAlign w:val="center"/>
            <w:hideMark/>
          </w:tcPr>
          <w:p w14:paraId="7025A04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+4,1</w:t>
            </w:r>
          </w:p>
        </w:tc>
        <w:tc>
          <w:tcPr>
            <w:tcW w:w="85" w:type="pct"/>
            <w:tcBorders>
              <w:top w:val="nil"/>
              <w:left w:val="nil"/>
              <w:bottom w:val="nil"/>
              <w:right w:val="nil"/>
            </w:tcBorders>
            <w:shd w:val="clear" w:color="000000" w:fill="FFFFFF"/>
            <w:vAlign w:val="center"/>
            <w:hideMark/>
          </w:tcPr>
          <w:p w14:paraId="6E83658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41DB488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757</w:t>
            </w:r>
          </w:p>
        </w:tc>
        <w:tc>
          <w:tcPr>
            <w:tcW w:w="337" w:type="pct"/>
            <w:tcBorders>
              <w:top w:val="single" w:sz="4" w:space="0" w:color="auto"/>
              <w:left w:val="nil"/>
              <w:bottom w:val="single" w:sz="4" w:space="0" w:color="auto"/>
              <w:right w:val="nil"/>
            </w:tcBorders>
            <w:shd w:val="clear" w:color="000000" w:fill="FFFFFF"/>
            <w:vAlign w:val="center"/>
            <w:hideMark/>
          </w:tcPr>
          <w:p w14:paraId="147B5F4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w:t>
            </w:r>
          </w:p>
        </w:tc>
        <w:tc>
          <w:tcPr>
            <w:tcW w:w="337" w:type="pct"/>
            <w:tcBorders>
              <w:top w:val="single" w:sz="4" w:space="0" w:color="auto"/>
              <w:left w:val="nil"/>
              <w:bottom w:val="nil"/>
              <w:right w:val="nil"/>
            </w:tcBorders>
            <w:shd w:val="clear" w:color="auto" w:fill="D9D9D9" w:themeFill="background1" w:themeFillShade="D9"/>
            <w:vAlign w:val="center"/>
            <w:hideMark/>
          </w:tcPr>
          <w:p w14:paraId="5C04068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-1,2</w:t>
            </w:r>
          </w:p>
        </w:tc>
        <w:tc>
          <w:tcPr>
            <w:tcW w:w="337" w:type="pct"/>
            <w:tcBorders>
              <w:top w:val="single" w:sz="4" w:space="0" w:color="auto"/>
              <w:left w:val="nil"/>
              <w:bottom w:val="nil"/>
              <w:right w:val="nil"/>
            </w:tcBorders>
            <w:shd w:val="clear" w:color="000000" w:fill="FFFFFF"/>
            <w:vAlign w:val="center"/>
            <w:hideMark/>
          </w:tcPr>
          <w:p w14:paraId="217A748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-0,1</w:t>
            </w:r>
          </w:p>
        </w:tc>
        <w:tc>
          <w:tcPr>
            <w:tcW w:w="281" w:type="pct"/>
            <w:tcBorders>
              <w:top w:val="single" w:sz="4" w:space="0" w:color="auto"/>
              <w:left w:val="nil"/>
              <w:bottom w:val="nil"/>
              <w:right w:val="nil"/>
            </w:tcBorders>
            <w:shd w:val="clear" w:color="auto" w:fill="D9D9D9" w:themeFill="background1" w:themeFillShade="D9"/>
            <w:vAlign w:val="center"/>
            <w:hideMark/>
          </w:tcPr>
          <w:p w14:paraId="71D54DE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352</w:t>
            </w:r>
          </w:p>
        </w:tc>
        <w:tc>
          <w:tcPr>
            <w:tcW w:w="337" w:type="pct"/>
            <w:tcBorders>
              <w:top w:val="single" w:sz="4" w:space="0" w:color="auto"/>
              <w:left w:val="nil"/>
              <w:bottom w:val="nil"/>
              <w:right w:val="nil"/>
            </w:tcBorders>
            <w:shd w:val="clear" w:color="000000" w:fill="FFFFFF"/>
            <w:vAlign w:val="center"/>
            <w:hideMark/>
          </w:tcPr>
          <w:p w14:paraId="1F1BC36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-0,2</w:t>
            </w:r>
          </w:p>
        </w:tc>
        <w:tc>
          <w:tcPr>
            <w:tcW w:w="340" w:type="pct"/>
            <w:tcBorders>
              <w:top w:val="single" w:sz="4" w:space="0" w:color="auto"/>
              <w:left w:val="nil"/>
              <w:bottom w:val="nil"/>
              <w:right w:val="nil"/>
            </w:tcBorders>
            <w:shd w:val="clear" w:color="auto" w:fill="D9D9D9" w:themeFill="background1" w:themeFillShade="D9"/>
            <w:vAlign w:val="center"/>
            <w:hideMark/>
          </w:tcPr>
          <w:p w14:paraId="07254BA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w:t>
            </w:r>
          </w:p>
        </w:tc>
      </w:tr>
      <w:tr w:rsidR="00A840CE" w:rsidRPr="002914BD" w14:paraId="2420A9D8" w14:textId="77777777" w:rsidTr="00DD51CA">
        <w:trPr>
          <w:trHeight w:val="227"/>
        </w:trPr>
        <w:tc>
          <w:tcPr>
            <w:tcW w:w="413" w:type="pct"/>
            <w:tcBorders>
              <w:top w:val="single" w:sz="4" w:space="0" w:color="auto"/>
              <w:left w:val="nil"/>
              <w:bottom w:val="single" w:sz="4" w:space="0" w:color="auto"/>
              <w:right w:val="nil"/>
            </w:tcBorders>
            <w:shd w:val="clear" w:color="000000" w:fill="FFFFFF"/>
            <w:vAlign w:val="center"/>
            <w:hideMark/>
          </w:tcPr>
          <w:p w14:paraId="4B5D7DC9" w14:textId="63FA1E68" w:rsidR="00A840CE" w:rsidRPr="002914BD" w:rsidRDefault="00C212E7" w:rsidP="00A840CE">
            <w:pPr>
              <w:widowControl/>
              <w:autoSpaceDE/>
              <w:autoSpaceDN/>
              <w:rPr>
                <w:rFonts w:ascii="Arial Narrow" w:eastAsia="Times New Roman" w:hAnsi="Arial Narrow" w:cs="Times New Roman"/>
                <w:b/>
                <w:sz w:val="14"/>
                <w:szCs w:val="14"/>
                <w:lang w:eastAsia="it-IT"/>
              </w:rPr>
            </w:pPr>
            <w:r w:rsidRPr="00C212E7">
              <w:rPr>
                <w:rFonts w:ascii="Arial Narrow" w:eastAsia="Times New Roman" w:hAnsi="Arial Narrow" w:cs="Times New Roman"/>
                <w:b/>
                <w:sz w:val="14"/>
                <w:szCs w:val="14"/>
                <w:lang w:eastAsia="it-IT"/>
              </w:rPr>
              <w:t>Latvia</w:t>
            </w:r>
          </w:p>
        </w:tc>
        <w:tc>
          <w:tcPr>
            <w:tcW w:w="281" w:type="pct"/>
            <w:tcBorders>
              <w:top w:val="single" w:sz="4" w:space="0" w:color="auto"/>
              <w:left w:val="nil"/>
              <w:bottom w:val="nil"/>
              <w:right w:val="nil"/>
            </w:tcBorders>
            <w:shd w:val="clear" w:color="auto" w:fill="D9D9D9" w:themeFill="background1" w:themeFillShade="D9"/>
            <w:vAlign w:val="center"/>
            <w:hideMark/>
          </w:tcPr>
          <w:p w14:paraId="5CAF572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1.678</w:t>
            </w:r>
          </w:p>
        </w:tc>
        <w:tc>
          <w:tcPr>
            <w:tcW w:w="337" w:type="pct"/>
            <w:tcBorders>
              <w:top w:val="single" w:sz="4" w:space="0" w:color="auto"/>
              <w:left w:val="nil"/>
              <w:bottom w:val="nil"/>
              <w:right w:val="nil"/>
            </w:tcBorders>
            <w:shd w:val="clear" w:color="000000" w:fill="FFFFFF"/>
            <w:vAlign w:val="center"/>
            <w:hideMark/>
          </w:tcPr>
          <w:p w14:paraId="4DAEF91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+2,7</w:t>
            </w:r>
          </w:p>
        </w:tc>
        <w:tc>
          <w:tcPr>
            <w:tcW w:w="337" w:type="pct"/>
            <w:tcBorders>
              <w:top w:val="single" w:sz="4" w:space="0" w:color="auto"/>
              <w:left w:val="nil"/>
              <w:bottom w:val="nil"/>
              <w:right w:val="nil"/>
            </w:tcBorders>
            <w:shd w:val="clear" w:color="auto" w:fill="D9D9D9" w:themeFill="background1" w:themeFillShade="D9"/>
            <w:vAlign w:val="center"/>
            <w:hideMark/>
          </w:tcPr>
          <w:p w14:paraId="4C96A83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+0,3</w:t>
            </w:r>
          </w:p>
        </w:tc>
        <w:tc>
          <w:tcPr>
            <w:tcW w:w="337" w:type="pct"/>
            <w:tcBorders>
              <w:top w:val="single" w:sz="4" w:space="0" w:color="auto"/>
              <w:left w:val="nil"/>
              <w:bottom w:val="nil"/>
              <w:right w:val="nil"/>
            </w:tcBorders>
            <w:shd w:val="clear" w:color="000000" w:fill="FFFFFF"/>
            <w:vAlign w:val="center"/>
            <w:hideMark/>
          </w:tcPr>
          <w:p w14:paraId="4AC137E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+3,1</w:t>
            </w:r>
          </w:p>
        </w:tc>
        <w:tc>
          <w:tcPr>
            <w:tcW w:w="281" w:type="pct"/>
            <w:tcBorders>
              <w:top w:val="single" w:sz="4" w:space="0" w:color="auto"/>
              <w:left w:val="nil"/>
              <w:bottom w:val="nil"/>
              <w:right w:val="nil"/>
            </w:tcBorders>
            <w:shd w:val="clear" w:color="auto" w:fill="D9D9D9" w:themeFill="background1" w:themeFillShade="D9"/>
            <w:vAlign w:val="center"/>
            <w:hideMark/>
          </w:tcPr>
          <w:p w14:paraId="718A698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639</w:t>
            </w:r>
          </w:p>
        </w:tc>
        <w:tc>
          <w:tcPr>
            <w:tcW w:w="337" w:type="pct"/>
            <w:tcBorders>
              <w:top w:val="single" w:sz="4" w:space="0" w:color="auto"/>
              <w:left w:val="nil"/>
              <w:bottom w:val="nil"/>
              <w:right w:val="nil"/>
            </w:tcBorders>
            <w:shd w:val="clear" w:color="000000" w:fill="FFFFFF"/>
            <w:vAlign w:val="center"/>
            <w:hideMark/>
          </w:tcPr>
          <w:p w14:paraId="65FFBE0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+15,2</w:t>
            </w:r>
          </w:p>
        </w:tc>
        <w:tc>
          <w:tcPr>
            <w:tcW w:w="340" w:type="pct"/>
            <w:tcBorders>
              <w:top w:val="single" w:sz="4" w:space="0" w:color="auto"/>
              <w:left w:val="nil"/>
              <w:bottom w:val="nil"/>
              <w:right w:val="nil"/>
            </w:tcBorders>
            <w:shd w:val="clear" w:color="auto" w:fill="D9D9D9" w:themeFill="background1" w:themeFillShade="D9"/>
            <w:vAlign w:val="center"/>
            <w:hideMark/>
          </w:tcPr>
          <w:p w14:paraId="1F2B00B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+15,3</w:t>
            </w:r>
          </w:p>
        </w:tc>
        <w:tc>
          <w:tcPr>
            <w:tcW w:w="85" w:type="pct"/>
            <w:tcBorders>
              <w:top w:val="nil"/>
              <w:left w:val="nil"/>
              <w:bottom w:val="nil"/>
              <w:right w:val="nil"/>
            </w:tcBorders>
            <w:shd w:val="clear" w:color="000000" w:fill="FFFFFF"/>
            <w:vAlign w:val="center"/>
            <w:hideMark/>
          </w:tcPr>
          <w:p w14:paraId="4FC7605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2EC6FC9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1.760</w:t>
            </w:r>
          </w:p>
        </w:tc>
        <w:tc>
          <w:tcPr>
            <w:tcW w:w="337" w:type="pct"/>
            <w:tcBorders>
              <w:top w:val="nil"/>
              <w:left w:val="nil"/>
              <w:bottom w:val="nil"/>
              <w:right w:val="nil"/>
            </w:tcBorders>
            <w:shd w:val="clear" w:color="000000" w:fill="FFFFFF"/>
            <w:vAlign w:val="center"/>
            <w:hideMark/>
          </w:tcPr>
          <w:p w14:paraId="22D4D55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-7,1</w:t>
            </w:r>
          </w:p>
        </w:tc>
        <w:tc>
          <w:tcPr>
            <w:tcW w:w="337" w:type="pct"/>
            <w:tcBorders>
              <w:top w:val="single" w:sz="4" w:space="0" w:color="auto"/>
              <w:left w:val="nil"/>
              <w:bottom w:val="nil"/>
              <w:right w:val="nil"/>
            </w:tcBorders>
            <w:shd w:val="clear" w:color="auto" w:fill="D9D9D9" w:themeFill="background1" w:themeFillShade="D9"/>
            <w:vAlign w:val="center"/>
            <w:hideMark/>
          </w:tcPr>
          <w:p w14:paraId="5A08618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+12,9</w:t>
            </w:r>
          </w:p>
        </w:tc>
        <w:tc>
          <w:tcPr>
            <w:tcW w:w="337" w:type="pct"/>
            <w:tcBorders>
              <w:top w:val="single" w:sz="4" w:space="0" w:color="auto"/>
              <w:left w:val="nil"/>
              <w:bottom w:val="nil"/>
              <w:right w:val="nil"/>
            </w:tcBorders>
            <w:shd w:val="clear" w:color="000000" w:fill="FFFFFF"/>
            <w:vAlign w:val="center"/>
            <w:hideMark/>
          </w:tcPr>
          <w:p w14:paraId="0E93A2B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+4,9</w:t>
            </w:r>
          </w:p>
        </w:tc>
        <w:tc>
          <w:tcPr>
            <w:tcW w:w="281" w:type="pct"/>
            <w:tcBorders>
              <w:top w:val="single" w:sz="4" w:space="0" w:color="auto"/>
              <w:left w:val="nil"/>
              <w:bottom w:val="nil"/>
              <w:right w:val="nil"/>
            </w:tcBorders>
            <w:shd w:val="clear" w:color="auto" w:fill="D9D9D9" w:themeFill="background1" w:themeFillShade="D9"/>
            <w:vAlign w:val="center"/>
            <w:hideMark/>
          </w:tcPr>
          <w:p w14:paraId="50D4F77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673</w:t>
            </w:r>
          </w:p>
        </w:tc>
        <w:tc>
          <w:tcPr>
            <w:tcW w:w="337" w:type="pct"/>
            <w:tcBorders>
              <w:top w:val="single" w:sz="4" w:space="0" w:color="auto"/>
              <w:left w:val="nil"/>
              <w:bottom w:val="nil"/>
              <w:right w:val="nil"/>
            </w:tcBorders>
            <w:shd w:val="clear" w:color="000000" w:fill="FFFFFF"/>
            <w:vAlign w:val="center"/>
            <w:hideMark/>
          </w:tcPr>
          <w:p w14:paraId="1525FBD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+5,3</w:t>
            </w:r>
          </w:p>
        </w:tc>
        <w:tc>
          <w:tcPr>
            <w:tcW w:w="340" w:type="pct"/>
            <w:tcBorders>
              <w:top w:val="single" w:sz="4" w:space="0" w:color="auto"/>
              <w:left w:val="nil"/>
              <w:bottom w:val="nil"/>
              <w:right w:val="nil"/>
            </w:tcBorders>
            <w:shd w:val="clear" w:color="auto" w:fill="D9D9D9" w:themeFill="background1" w:themeFillShade="D9"/>
            <w:vAlign w:val="center"/>
            <w:hideMark/>
          </w:tcPr>
          <w:p w14:paraId="6D3BA47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+4,8</w:t>
            </w:r>
          </w:p>
        </w:tc>
      </w:tr>
      <w:tr w:rsidR="00A840CE" w:rsidRPr="002914BD" w14:paraId="49B07980"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142083D6" w14:textId="519C4385" w:rsidR="00A840CE" w:rsidRPr="002914BD" w:rsidRDefault="00C212E7" w:rsidP="00A840CE">
            <w:pPr>
              <w:widowControl/>
              <w:autoSpaceDE/>
              <w:autoSpaceDN/>
              <w:rPr>
                <w:rFonts w:ascii="Arial Narrow" w:eastAsia="Times New Roman" w:hAnsi="Arial Narrow" w:cs="Times New Roman"/>
                <w:b/>
                <w:sz w:val="14"/>
                <w:szCs w:val="14"/>
                <w:lang w:eastAsia="it-IT"/>
              </w:rPr>
            </w:pPr>
            <w:r w:rsidRPr="00C212E7">
              <w:rPr>
                <w:rFonts w:ascii="Arial Narrow" w:eastAsia="Times New Roman" w:hAnsi="Arial Narrow" w:cs="Times New Roman"/>
                <w:b/>
                <w:sz w:val="14"/>
                <w:szCs w:val="14"/>
                <w:lang w:eastAsia="it-IT"/>
              </w:rPr>
              <w:t>Lithuania</w:t>
            </w:r>
          </w:p>
        </w:tc>
        <w:tc>
          <w:tcPr>
            <w:tcW w:w="281" w:type="pct"/>
            <w:tcBorders>
              <w:top w:val="single" w:sz="4" w:space="0" w:color="auto"/>
              <w:left w:val="nil"/>
              <w:bottom w:val="nil"/>
              <w:right w:val="nil"/>
            </w:tcBorders>
            <w:shd w:val="clear" w:color="auto" w:fill="D9D9D9" w:themeFill="background1" w:themeFillShade="D9"/>
            <w:vAlign w:val="center"/>
            <w:hideMark/>
          </w:tcPr>
          <w:p w14:paraId="3E6E5D5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3.486</w:t>
            </w:r>
          </w:p>
        </w:tc>
        <w:tc>
          <w:tcPr>
            <w:tcW w:w="337" w:type="pct"/>
            <w:tcBorders>
              <w:top w:val="single" w:sz="4" w:space="0" w:color="auto"/>
              <w:left w:val="nil"/>
              <w:bottom w:val="nil"/>
              <w:right w:val="nil"/>
            </w:tcBorders>
            <w:shd w:val="clear" w:color="000000" w:fill="FFFFFF"/>
            <w:vAlign w:val="center"/>
            <w:hideMark/>
          </w:tcPr>
          <w:p w14:paraId="2AFFC01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+10,3</w:t>
            </w:r>
          </w:p>
        </w:tc>
        <w:tc>
          <w:tcPr>
            <w:tcW w:w="337" w:type="pct"/>
            <w:tcBorders>
              <w:top w:val="single" w:sz="4" w:space="0" w:color="auto"/>
              <w:left w:val="nil"/>
              <w:bottom w:val="nil"/>
              <w:right w:val="nil"/>
            </w:tcBorders>
            <w:shd w:val="clear" w:color="auto" w:fill="D9D9D9" w:themeFill="background1" w:themeFillShade="D9"/>
            <w:vAlign w:val="center"/>
            <w:hideMark/>
          </w:tcPr>
          <w:p w14:paraId="3078813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-1,5</w:t>
            </w:r>
          </w:p>
        </w:tc>
        <w:tc>
          <w:tcPr>
            <w:tcW w:w="337" w:type="pct"/>
            <w:tcBorders>
              <w:top w:val="single" w:sz="4" w:space="0" w:color="auto"/>
              <w:left w:val="nil"/>
              <w:bottom w:val="nil"/>
              <w:right w:val="nil"/>
            </w:tcBorders>
            <w:shd w:val="clear" w:color="000000" w:fill="FFFFFF"/>
            <w:vAlign w:val="center"/>
            <w:hideMark/>
          </w:tcPr>
          <w:p w14:paraId="1A017BB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+8,6</w:t>
            </w:r>
          </w:p>
        </w:tc>
        <w:tc>
          <w:tcPr>
            <w:tcW w:w="281" w:type="pct"/>
            <w:tcBorders>
              <w:top w:val="single" w:sz="4" w:space="0" w:color="auto"/>
              <w:left w:val="nil"/>
              <w:bottom w:val="nil"/>
              <w:right w:val="nil"/>
            </w:tcBorders>
            <w:shd w:val="clear" w:color="auto" w:fill="D9D9D9" w:themeFill="background1" w:themeFillShade="D9"/>
            <w:vAlign w:val="center"/>
            <w:hideMark/>
          </w:tcPr>
          <w:p w14:paraId="45F4BEF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1.500</w:t>
            </w:r>
          </w:p>
        </w:tc>
        <w:tc>
          <w:tcPr>
            <w:tcW w:w="337" w:type="pct"/>
            <w:tcBorders>
              <w:top w:val="single" w:sz="4" w:space="0" w:color="auto"/>
              <w:left w:val="nil"/>
              <w:bottom w:val="nil"/>
              <w:right w:val="nil"/>
            </w:tcBorders>
            <w:shd w:val="clear" w:color="000000" w:fill="FFFFFF"/>
            <w:vAlign w:val="center"/>
            <w:hideMark/>
          </w:tcPr>
          <w:p w14:paraId="594E607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+21,7</w:t>
            </w:r>
          </w:p>
        </w:tc>
        <w:tc>
          <w:tcPr>
            <w:tcW w:w="340" w:type="pct"/>
            <w:tcBorders>
              <w:top w:val="single" w:sz="4" w:space="0" w:color="auto"/>
              <w:left w:val="nil"/>
              <w:bottom w:val="nil"/>
              <w:right w:val="nil"/>
            </w:tcBorders>
            <w:shd w:val="clear" w:color="auto" w:fill="D9D9D9" w:themeFill="background1" w:themeFillShade="D9"/>
            <w:vAlign w:val="center"/>
            <w:hideMark/>
          </w:tcPr>
          <w:p w14:paraId="2ED6CC0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+38,2</w:t>
            </w:r>
          </w:p>
        </w:tc>
        <w:tc>
          <w:tcPr>
            <w:tcW w:w="85" w:type="pct"/>
            <w:tcBorders>
              <w:top w:val="nil"/>
              <w:left w:val="nil"/>
              <w:bottom w:val="nil"/>
              <w:right w:val="nil"/>
            </w:tcBorders>
            <w:shd w:val="clear" w:color="000000" w:fill="FFFFFF"/>
            <w:vAlign w:val="center"/>
            <w:hideMark/>
          </w:tcPr>
          <w:p w14:paraId="015E27D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142B7A9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3.685</w:t>
            </w:r>
          </w:p>
        </w:tc>
        <w:tc>
          <w:tcPr>
            <w:tcW w:w="337" w:type="pct"/>
            <w:tcBorders>
              <w:top w:val="single" w:sz="4" w:space="0" w:color="auto"/>
              <w:left w:val="nil"/>
              <w:bottom w:val="nil"/>
              <w:right w:val="nil"/>
            </w:tcBorders>
            <w:shd w:val="clear" w:color="000000" w:fill="FFFFFF"/>
            <w:vAlign w:val="center"/>
            <w:hideMark/>
          </w:tcPr>
          <w:p w14:paraId="630B972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-5,5</w:t>
            </w:r>
          </w:p>
        </w:tc>
        <w:tc>
          <w:tcPr>
            <w:tcW w:w="337" w:type="pct"/>
            <w:tcBorders>
              <w:top w:val="single" w:sz="4" w:space="0" w:color="auto"/>
              <w:left w:val="nil"/>
              <w:bottom w:val="nil"/>
              <w:right w:val="nil"/>
            </w:tcBorders>
            <w:shd w:val="clear" w:color="auto" w:fill="D9D9D9" w:themeFill="background1" w:themeFillShade="D9"/>
            <w:vAlign w:val="center"/>
            <w:hideMark/>
          </w:tcPr>
          <w:p w14:paraId="4EB2886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+11,8</w:t>
            </w:r>
          </w:p>
        </w:tc>
        <w:tc>
          <w:tcPr>
            <w:tcW w:w="337" w:type="pct"/>
            <w:tcBorders>
              <w:top w:val="single" w:sz="4" w:space="0" w:color="auto"/>
              <w:left w:val="nil"/>
              <w:bottom w:val="nil"/>
              <w:right w:val="nil"/>
            </w:tcBorders>
            <w:shd w:val="clear" w:color="000000" w:fill="FFFFFF"/>
            <w:vAlign w:val="center"/>
            <w:hideMark/>
          </w:tcPr>
          <w:p w14:paraId="32278F5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+5,7</w:t>
            </w:r>
          </w:p>
        </w:tc>
        <w:tc>
          <w:tcPr>
            <w:tcW w:w="281" w:type="pct"/>
            <w:tcBorders>
              <w:top w:val="single" w:sz="4" w:space="0" w:color="auto"/>
              <w:left w:val="nil"/>
              <w:bottom w:val="nil"/>
              <w:right w:val="nil"/>
            </w:tcBorders>
            <w:shd w:val="clear" w:color="auto" w:fill="D9D9D9" w:themeFill="background1" w:themeFillShade="D9"/>
            <w:vAlign w:val="center"/>
            <w:hideMark/>
          </w:tcPr>
          <w:p w14:paraId="32B1DD3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1.474</w:t>
            </w:r>
          </w:p>
        </w:tc>
        <w:tc>
          <w:tcPr>
            <w:tcW w:w="337" w:type="pct"/>
            <w:tcBorders>
              <w:top w:val="single" w:sz="4" w:space="0" w:color="auto"/>
              <w:left w:val="nil"/>
              <w:bottom w:val="nil"/>
              <w:right w:val="nil"/>
            </w:tcBorders>
            <w:shd w:val="clear" w:color="000000" w:fill="FFFFFF"/>
            <w:vAlign w:val="center"/>
            <w:hideMark/>
          </w:tcPr>
          <w:p w14:paraId="6C81133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w:t>
            </w:r>
          </w:p>
        </w:tc>
        <w:tc>
          <w:tcPr>
            <w:tcW w:w="340" w:type="pct"/>
            <w:tcBorders>
              <w:top w:val="single" w:sz="4" w:space="0" w:color="auto"/>
              <w:left w:val="nil"/>
              <w:bottom w:val="nil"/>
              <w:right w:val="nil"/>
            </w:tcBorders>
            <w:shd w:val="clear" w:color="auto" w:fill="D9D9D9" w:themeFill="background1" w:themeFillShade="D9"/>
            <w:vAlign w:val="center"/>
            <w:hideMark/>
          </w:tcPr>
          <w:p w14:paraId="2ECB560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-4,2</w:t>
            </w:r>
          </w:p>
        </w:tc>
      </w:tr>
      <w:tr w:rsidR="00A840CE" w:rsidRPr="002914BD" w14:paraId="1E77A5ED"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1232025D" w14:textId="3B822B37" w:rsidR="00A840CE" w:rsidRPr="002914BD" w:rsidRDefault="00C212E7" w:rsidP="00A840CE">
            <w:pPr>
              <w:widowControl/>
              <w:autoSpaceDE/>
              <w:autoSpaceDN/>
              <w:rPr>
                <w:rFonts w:ascii="Arial Narrow" w:eastAsia="Times New Roman" w:hAnsi="Arial Narrow" w:cs="Times New Roman"/>
                <w:b/>
                <w:sz w:val="14"/>
                <w:szCs w:val="14"/>
                <w:lang w:eastAsia="it-IT"/>
              </w:rPr>
            </w:pPr>
            <w:r w:rsidRPr="00C212E7">
              <w:rPr>
                <w:rFonts w:ascii="Arial Narrow" w:eastAsia="Times New Roman" w:hAnsi="Arial Narrow" w:cs="Times New Roman"/>
                <w:b/>
                <w:sz w:val="14"/>
                <w:szCs w:val="14"/>
                <w:lang w:eastAsia="it-IT"/>
              </w:rPr>
              <w:t>Luxembourg</w:t>
            </w:r>
          </w:p>
        </w:tc>
        <w:tc>
          <w:tcPr>
            <w:tcW w:w="281" w:type="pct"/>
            <w:tcBorders>
              <w:top w:val="single" w:sz="4" w:space="0" w:color="auto"/>
              <w:left w:val="nil"/>
              <w:bottom w:val="nil"/>
              <w:right w:val="nil"/>
            </w:tcBorders>
            <w:shd w:val="clear" w:color="auto" w:fill="D9D9D9" w:themeFill="background1" w:themeFillShade="D9"/>
            <w:vAlign w:val="center"/>
            <w:hideMark/>
          </w:tcPr>
          <w:p w14:paraId="23915B9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440</w:t>
            </w:r>
          </w:p>
        </w:tc>
        <w:tc>
          <w:tcPr>
            <w:tcW w:w="337" w:type="pct"/>
            <w:tcBorders>
              <w:top w:val="single" w:sz="4" w:space="0" w:color="auto"/>
              <w:left w:val="nil"/>
              <w:bottom w:val="nil"/>
              <w:right w:val="nil"/>
            </w:tcBorders>
            <w:shd w:val="clear" w:color="000000" w:fill="FFFFFF"/>
            <w:vAlign w:val="center"/>
            <w:hideMark/>
          </w:tcPr>
          <w:p w14:paraId="1A7467D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w:t>
            </w:r>
          </w:p>
        </w:tc>
        <w:tc>
          <w:tcPr>
            <w:tcW w:w="337" w:type="pct"/>
            <w:tcBorders>
              <w:top w:val="single" w:sz="4" w:space="0" w:color="auto"/>
              <w:left w:val="nil"/>
              <w:bottom w:val="nil"/>
              <w:right w:val="nil"/>
            </w:tcBorders>
            <w:shd w:val="clear" w:color="auto" w:fill="D9D9D9" w:themeFill="background1" w:themeFillShade="D9"/>
            <w:vAlign w:val="center"/>
            <w:hideMark/>
          </w:tcPr>
          <w:p w14:paraId="7EC123E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w:t>
            </w:r>
          </w:p>
        </w:tc>
        <w:tc>
          <w:tcPr>
            <w:tcW w:w="337" w:type="pct"/>
            <w:tcBorders>
              <w:top w:val="single" w:sz="4" w:space="0" w:color="auto"/>
              <w:left w:val="nil"/>
              <w:bottom w:val="nil"/>
              <w:right w:val="nil"/>
            </w:tcBorders>
            <w:shd w:val="clear" w:color="000000" w:fill="FFFFFF"/>
            <w:vAlign w:val="center"/>
            <w:hideMark/>
          </w:tcPr>
          <w:p w14:paraId="528A817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-0,6</w:t>
            </w:r>
          </w:p>
        </w:tc>
        <w:tc>
          <w:tcPr>
            <w:tcW w:w="281" w:type="pct"/>
            <w:tcBorders>
              <w:top w:val="single" w:sz="4" w:space="0" w:color="auto"/>
              <w:left w:val="nil"/>
              <w:bottom w:val="nil"/>
              <w:right w:val="nil"/>
            </w:tcBorders>
            <w:shd w:val="clear" w:color="auto" w:fill="D9D9D9" w:themeFill="background1" w:themeFillShade="D9"/>
            <w:vAlign w:val="center"/>
            <w:hideMark/>
          </w:tcPr>
          <w:p w14:paraId="2694E56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126</w:t>
            </w:r>
          </w:p>
        </w:tc>
        <w:tc>
          <w:tcPr>
            <w:tcW w:w="337" w:type="pct"/>
            <w:tcBorders>
              <w:top w:val="single" w:sz="4" w:space="0" w:color="auto"/>
              <w:left w:val="nil"/>
              <w:bottom w:val="nil"/>
              <w:right w:val="nil"/>
            </w:tcBorders>
            <w:shd w:val="clear" w:color="000000" w:fill="FFFFFF"/>
            <w:vAlign w:val="center"/>
            <w:hideMark/>
          </w:tcPr>
          <w:p w14:paraId="39327FD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+0,4</w:t>
            </w:r>
          </w:p>
        </w:tc>
        <w:tc>
          <w:tcPr>
            <w:tcW w:w="340" w:type="pct"/>
            <w:tcBorders>
              <w:top w:val="single" w:sz="4" w:space="0" w:color="auto"/>
              <w:left w:val="nil"/>
              <w:bottom w:val="nil"/>
              <w:right w:val="nil"/>
            </w:tcBorders>
            <w:shd w:val="clear" w:color="auto" w:fill="D9D9D9" w:themeFill="background1" w:themeFillShade="D9"/>
            <w:vAlign w:val="center"/>
            <w:hideMark/>
          </w:tcPr>
          <w:p w14:paraId="615EE42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-6,1</w:t>
            </w:r>
          </w:p>
        </w:tc>
        <w:tc>
          <w:tcPr>
            <w:tcW w:w="85" w:type="pct"/>
            <w:tcBorders>
              <w:top w:val="nil"/>
              <w:left w:val="nil"/>
              <w:bottom w:val="nil"/>
              <w:right w:val="nil"/>
            </w:tcBorders>
            <w:shd w:val="clear" w:color="000000" w:fill="FFFFFF"/>
            <w:vAlign w:val="center"/>
            <w:hideMark/>
          </w:tcPr>
          <w:p w14:paraId="1064450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71B7E2B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498</w:t>
            </w:r>
          </w:p>
        </w:tc>
        <w:tc>
          <w:tcPr>
            <w:tcW w:w="337" w:type="pct"/>
            <w:tcBorders>
              <w:top w:val="single" w:sz="4" w:space="0" w:color="auto"/>
              <w:left w:val="nil"/>
              <w:bottom w:val="nil"/>
              <w:right w:val="nil"/>
            </w:tcBorders>
            <w:shd w:val="clear" w:color="000000" w:fill="FFFFFF"/>
            <w:vAlign w:val="center"/>
            <w:hideMark/>
          </w:tcPr>
          <w:p w14:paraId="368299B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+7,5</w:t>
            </w:r>
          </w:p>
        </w:tc>
        <w:tc>
          <w:tcPr>
            <w:tcW w:w="337" w:type="pct"/>
            <w:tcBorders>
              <w:top w:val="single" w:sz="4" w:space="0" w:color="auto"/>
              <w:left w:val="nil"/>
              <w:bottom w:val="nil"/>
              <w:right w:val="nil"/>
            </w:tcBorders>
            <w:shd w:val="clear" w:color="auto" w:fill="D9D9D9" w:themeFill="background1" w:themeFillShade="D9"/>
            <w:vAlign w:val="center"/>
            <w:hideMark/>
          </w:tcPr>
          <w:p w14:paraId="4B50FEA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+5,4</w:t>
            </w:r>
          </w:p>
        </w:tc>
        <w:tc>
          <w:tcPr>
            <w:tcW w:w="337" w:type="pct"/>
            <w:tcBorders>
              <w:top w:val="single" w:sz="4" w:space="0" w:color="auto"/>
              <w:left w:val="nil"/>
              <w:bottom w:val="nil"/>
              <w:right w:val="nil"/>
            </w:tcBorders>
            <w:shd w:val="clear" w:color="000000" w:fill="FFFFFF"/>
            <w:vAlign w:val="center"/>
            <w:hideMark/>
          </w:tcPr>
          <w:p w14:paraId="7D45B3A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+13,3</w:t>
            </w:r>
          </w:p>
        </w:tc>
        <w:tc>
          <w:tcPr>
            <w:tcW w:w="281" w:type="pct"/>
            <w:tcBorders>
              <w:top w:val="single" w:sz="4" w:space="0" w:color="auto"/>
              <w:left w:val="nil"/>
              <w:bottom w:val="nil"/>
              <w:right w:val="nil"/>
            </w:tcBorders>
            <w:shd w:val="clear" w:color="auto" w:fill="D9D9D9" w:themeFill="background1" w:themeFillShade="D9"/>
            <w:vAlign w:val="center"/>
            <w:hideMark/>
          </w:tcPr>
          <w:p w14:paraId="7609812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129</w:t>
            </w:r>
          </w:p>
        </w:tc>
        <w:tc>
          <w:tcPr>
            <w:tcW w:w="337" w:type="pct"/>
            <w:tcBorders>
              <w:top w:val="single" w:sz="4" w:space="0" w:color="auto"/>
              <w:left w:val="nil"/>
              <w:bottom w:val="nil"/>
              <w:right w:val="nil"/>
            </w:tcBorders>
            <w:shd w:val="clear" w:color="000000" w:fill="FFFFFF"/>
            <w:vAlign w:val="center"/>
            <w:hideMark/>
          </w:tcPr>
          <w:p w14:paraId="65ACA8A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+2,2</w:t>
            </w:r>
          </w:p>
        </w:tc>
        <w:tc>
          <w:tcPr>
            <w:tcW w:w="340" w:type="pct"/>
            <w:tcBorders>
              <w:top w:val="single" w:sz="4" w:space="0" w:color="auto"/>
              <w:left w:val="nil"/>
              <w:bottom w:val="nil"/>
              <w:right w:val="nil"/>
            </w:tcBorders>
            <w:shd w:val="clear" w:color="auto" w:fill="D9D9D9" w:themeFill="background1" w:themeFillShade="D9"/>
            <w:vAlign w:val="center"/>
            <w:hideMark/>
          </w:tcPr>
          <w:p w14:paraId="2BCE253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-5,3</w:t>
            </w:r>
          </w:p>
        </w:tc>
      </w:tr>
      <w:tr w:rsidR="00A840CE" w:rsidRPr="002914BD" w14:paraId="094420BF"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6F2525E0" w14:textId="6C409808" w:rsidR="00A840CE" w:rsidRPr="002914BD" w:rsidRDefault="00C212E7" w:rsidP="00A840CE">
            <w:pPr>
              <w:widowControl/>
              <w:autoSpaceDE/>
              <w:autoSpaceDN/>
              <w:rPr>
                <w:rFonts w:ascii="Arial Narrow" w:eastAsia="Times New Roman" w:hAnsi="Arial Narrow" w:cs="Times New Roman"/>
                <w:b/>
                <w:sz w:val="14"/>
                <w:szCs w:val="14"/>
                <w:lang w:eastAsia="it-IT"/>
              </w:rPr>
            </w:pPr>
            <w:proofErr w:type="spellStart"/>
            <w:r w:rsidRPr="00C212E7">
              <w:rPr>
                <w:rFonts w:ascii="Arial Narrow" w:eastAsia="Times New Roman" w:hAnsi="Arial Narrow" w:cs="Times New Roman"/>
                <w:b/>
                <w:sz w:val="14"/>
                <w:szCs w:val="14"/>
                <w:lang w:eastAsia="it-IT"/>
              </w:rPr>
              <w:t>Hungary</w:t>
            </w:r>
            <w:proofErr w:type="spellEnd"/>
          </w:p>
        </w:tc>
        <w:tc>
          <w:tcPr>
            <w:tcW w:w="281" w:type="pct"/>
            <w:tcBorders>
              <w:top w:val="single" w:sz="4" w:space="0" w:color="auto"/>
              <w:left w:val="nil"/>
              <w:bottom w:val="nil"/>
              <w:right w:val="nil"/>
            </w:tcBorders>
            <w:shd w:val="clear" w:color="auto" w:fill="D9D9D9" w:themeFill="background1" w:themeFillShade="D9"/>
            <w:vAlign w:val="center"/>
            <w:hideMark/>
          </w:tcPr>
          <w:p w14:paraId="7F2AE5B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8.398</w:t>
            </w:r>
          </w:p>
        </w:tc>
        <w:tc>
          <w:tcPr>
            <w:tcW w:w="337" w:type="pct"/>
            <w:tcBorders>
              <w:top w:val="single" w:sz="4" w:space="0" w:color="auto"/>
              <w:left w:val="nil"/>
              <w:bottom w:val="nil"/>
              <w:right w:val="nil"/>
            </w:tcBorders>
            <w:shd w:val="clear" w:color="000000" w:fill="FFFFFF"/>
            <w:vAlign w:val="center"/>
            <w:hideMark/>
          </w:tcPr>
          <w:p w14:paraId="2BBC0B6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-2,4</w:t>
            </w:r>
          </w:p>
        </w:tc>
        <w:tc>
          <w:tcPr>
            <w:tcW w:w="337" w:type="pct"/>
            <w:tcBorders>
              <w:top w:val="single" w:sz="4" w:space="0" w:color="auto"/>
              <w:left w:val="nil"/>
              <w:bottom w:val="nil"/>
              <w:right w:val="nil"/>
            </w:tcBorders>
            <w:shd w:val="clear" w:color="auto" w:fill="D9D9D9" w:themeFill="background1" w:themeFillShade="D9"/>
            <w:vAlign w:val="center"/>
            <w:hideMark/>
          </w:tcPr>
          <w:p w14:paraId="680D56F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+7,2</w:t>
            </w:r>
          </w:p>
        </w:tc>
        <w:tc>
          <w:tcPr>
            <w:tcW w:w="337" w:type="pct"/>
            <w:tcBorders>
              <w:top w:val="single" w:sz="4" w:space="0" w:color="auto"/>
              <w:left w:val="nil"/>
              <w:bottom w:val="nil"/>
              <w:right w:val="nil"/>
            </w:tcBorders>
            <w:shd w:val="clear" w:color="000000" w:fill="FFFFFF"/>
            <w:vAlign w:val="center"/>
            <w:hideMark/>
          </w:tcPr>
          <w:p w14:paraId="62CEFE1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+4,6</w:t>
            </w:r>
          </w:p>
        </w:tc>
        <w:tc>
          <w:tcPr>
            <w:tcW w:w="281" w:type="pct"/>
            <w:tcBorders>
              <w:top w:val="single" w:sz="4" w:space="0" w:color="auto"/>
              <w:left w:val="nil"/>
              <w:bottom w:val="nil"/>
              <w:right w:val="nil"/>
            </w:tcBorders>
            <w:shd w:val="clear" w:color="auto" w:fill="D9D9D9" w:themeFill="background1" w:themeFillShade="D9"/>
            <w:vAlign w:val="center"/>
            <w:hideMark/>
          </w:tcPr>
          <w:p w14:paraId="39F61AC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3.419</w:t>
            </w:r>
          </w:p>
        </w:tc>
        <w:tc>
          <w:tcPr>
            <w:tcW w:w="337" w:type="pct"/>
            <w:tcBorders>
              <w:top w:val="single" w:sz="4" w:space="0" w:color="auto"/>
              <w:left w:val="nil"/>
              <w:bottom w:val="nil"/>
              <w:right w:val="nil"/>
            </w:tcBorders>
            <w:shd w:val="clear" w:color="000000" w:fill="FFFFFF"/>
            <w:vAlign w:val="center"/>
            <w:hideMark/>
          </w:tcPr>
          <w:p w14:paraId="316D67F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-3,2</w:t>
            </w:r>
          </w:p>
        </w:tc>
        <w:tc>
          <w:tcPr>
            <w:tcW w:w="340" w:type="pct"/>
            <w:tcBorders>
              <w:top w:val="single" w:sz="4" w:space="0" w:color="auto"/>
              <w:left w:val="nil"/>
              <w:bottom w:val="nil"/>
              <w:right w:val="nil"/>
            </w:tcBorders>
            <w:shd w:val="clear" w:color="auto" w:fill="D9D9D9" w:themeFill="background1" w:themeFillShade="D9"/>
            <w:vAlign w:val="center"/>
            <w:hideMark/>
          </w:tcPr>
          <w:p w14:paraId="4D3AEA6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+6,9</w:t>
            </w:r>
          </w:p>
        </w:tc>
        <w:tc>
          <w:tcPr>
            <w:tcW w:w="85" w:type="pct"/>
            <w:tcBorders>
              <w:top w:val="nil"/>
              <w:left w:val="nil"/>
              <w:bottom w:val="nil"/>
              <w:right w:val="nil"/>
            </w:tcBorders>
            <w:shd w:val="clear" w:color="000000" w:fill="FFFFFF"/>
            <w:vAlign w:val="center"/>
            <w:hideMark/>
          </w:tcPr>
          <w:p w14:paraId="683FC35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7136C55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9.423</w:t>
            </w:r>
          </w:p>
        </w:tc>
        <w:tc>
          <w:tcPr>
            <w:tcW w:w="337" w:type="pct"/>
            <w:tcBorders>
              <w:top w:val="single" w:sz="4" w:space="0" w:color="auto"/>
              <w:left w:val="nil"/>
              <w:bottom w:val="nil"/>
              <w:right w:val="nil"/>
            </w:tcBorders>
            <w:shd w:val="clear" w:color="000000" w:fill="FFFFFF"/>
            <w:vAlign w:val="center"/>
            <w:hideMark/>
          </w:tcPr>
          <w:p w14:paraId="5D3D6C6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-2,1</w:t>
            </w:r>
          </w:p>
        </w:tc>
        <w:tc>
          <w:tcPr>
            <w:tcW w:w="337" w:type="pct"/>
            <w:tcBorders>
              <w:top w:val="single" w:sz="4" w:space="0" w:color="auto"/>
              <w:left w:val="nil"/>
              <w:bottom w:val="nil"/>
              <w:right w:val="nil"/>
            </w:tcBorders>
            <w:shd w:val="clear" w:color="auto" w:fill="D9D9D9" w:themeFill="background1" w:themeFillShade="D9"/>
            <w:vAlign w:val="center"/>
            <w:hideMark/>
          </w:tcPr>
          <w:p w14:paraId="187578E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+17,0</w:t>
            </w:r>
          </w:p>
        </w:tc>
        <w:tc>
          <w:tcPr>
            <w:tcW w:w="337" w:type="pct"/>
            <w:tcBorders>
              <w:top w:val="single" w:sz="4" w:space="0" w:color="auto"/>
              <w:left w:val="nil"/>
              <w:bottom w:val="nil"/>
              <w:right w:val="nil"/>
            </w:tcBorders>
            <w:shd w:val="clear" w:color="000000" w:fill="FFFFFF"/>
            <w:vAlign w:val="center"/>
            <w:hideMark/>
          </w:tcPr>
          <w:p w14:paraId="6DACE21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+14,5</w:t>
            </w:r>
          </w:p>
        </w:tc>
        <w:tc>
          <w:tcPr>
            <w:tcW w:w="281" w:type="pct"/>
            <w:tcBorders>
              <w:top w:val="single" w:sz="4" w:space="0" w:color="auto"/>
              <w:left w:val="nil"/>
              <w:bottom w:val="nil"/>
              <w:right w:val="nil"/>
            </w:tcBorders>
            <w:shd w:val="clear" w:color="auto" w:fill="D9D9D9" w:themeFill="background1" w:themeFillShade="D9"/>
            <w:vAlign w:val="center"/>
            <w:hideMark/>
          </w:tcPr>
          <w:p w14:paraId="1C6A0C2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3.804</w:t>
            </w:r>
          </w:p>
        </w:tc>
        <w:tc>
          <w:tcPr>
            <w:tcW w:w="337" w:type="pct"/>
            <w:tcBorders>
              <w:top w:val="single" w:sz="4" w:space="0" w:color="auto"/>
              <w:left w:val="nil"/>
              <w:bottom w:val="nil"/>
              <w:right w:val="nil"/>
            </w:tcBorders>
            <w:shd w:val="clear" w:color="000000" w:fill="FFFFFF"/>
            <w:vAlign w:val="center"/>
            <w:hideMark/>
          </w:tcPr>
          <w:p w14:paraId="2B60395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+11,3</w:t>
            </w:r>
          </w:p>
        </w:tc>
        <w:tc>
          <w:tcPr>
            <w:tcW w:w="340" w:type="pct"/>
            <w:tcBorders>
              <w:top w:val="single" w:sz="4" w:space="0" w:color="auto"/>
              <w:left w:val="nil"/>
              <w:bottom w:val="nil"/>
              <w:right w:val="nil"/>
            </w:tcBorders>
            <w:shd w:val="clear" w:color="auto" w:fill="D9D9D9" w:themeFill="background1" w:themeFillShade="D9"/>
            <w:vAlign w:val="center"/>
            <w:hideMark/>
          </w:tcPr>
          <w:p w14:paraId="2585636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+9,4</w:t>
            </w:r>
          </w:p>
        </w:tc>
      </w:tr>
      <w:tr w:rsidR="00A840CE" w:rsidRPr="002914BD" w14:paraId="564AAD6E"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15A8F231" w14:textId="77777777" w:rsidR="00A840CE" w:rsidRPr="002914BD" w:rsidRDefault="00A840CE" w:rsidP="00A840CE">
            <w:pPr>
              <w:widowControl/>
              <w:autoSpaceDE/>
              <w:autoSpaceDN/>
              <w:rPr>
                <w:rFonts w:ascii="Arial Narrow" w:eastAsia="Times New Roman" w:hAnsi="Arial Narrow" w:cs="Times New Roman"/>
                <w:b/>
                <w:sz w:val="14"/>
                <w:szCs w:val="14"/>
                <w:lang w:eastAsia="it-IT"/>
              </w:rPr>
            </w:pPr>
            <w:r w:rsidRPr="002914BD">
              <w:rPr>
                <w:rFonts w:ascii="Arial Narrow" w:eastAsia="Times New Roman" w:hAnsi="Arial Narrow" w:cs="Times New Roman"/>
                <w:b/>
                <w:sz w:val="14"/>
                <w:szCs w:val="14"/>
                <w:lang w:eastAsia="it-IT"/>
              </w:rPr>
              <w:t>Malta</w:t>
            </w:r>
          </w:p>
        </w:tc>
        <w:tc>
          <w:tcPr>
            <w:tcW w:w="281" w:type="pct"/>
            <w:tcBorders>
              <w:top w:val="single" w:sz="4" w:space="0" w:color="auto"/>
              <w:left w:val="nil"/>
              <w:bottom w:val="nil"/>
              <w:right w:val="nil"/>
            </w:tcBorders>
            <w:shd w:val="clear" w:color="auto" w:fill="D9D9D9" w:themeFill="background1" w:themeFillShade="D9"/>
            <w:vAlign w:val="center"/>
            <w:hideMark/>
          </w:tcPr>
          <w:p w14:paraId="0D5FFB2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121</w:t>
            </w:r>
          </w:p>
        </w:tc>
        <w:tc>
          <w:tcPr>
            <w:tcW w:w="337" w:type="pct"/>
            <w:tcBorders>
              <w:top w:val="single" w:sz="4" w:space="0" w:color="auto"/>
              <w:left w:val="nil"/>
              <w:bottom w:val="nil"/>
              <w:right w:val="nil"/>
            </w:tcBorders>
            <w:shd w:val="clear" w:color="000000" w:fill="FFFFFF"/>
            <w:vAlign w:val="center"/>
            <w:hideMark/>
          </w:tcPr>
          <w:p w14:paraId="3631AC6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-2,7</w:t>
            </w:r>
          </w:p>
        </w:tc>
        <w:tc>
          <w:tcPr>
            <w:tcW w:w="337" w:type="pct"/>
            <w:tcBorders>
              <w:top w:val="single" w:sz="4" w:space="0" w:color="auto"/>
              <w:left w:val="nil"/>
              <w:bottom w:val="nil"/>
              <w:right w:val="nil"/>
            </w:tcBorders>
            <w:shd w:val="clear" w:color="auto" w:fill="D9D9D9" w:themeFill="background1" w:themeFillShade="D9"/>
            <w:vAlign w:val="center"/>
            <w:hideMark/>
          </w:tcPr>
          <w:p w14:paraId="2AAED01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-1,9</w:t>
            </w:r>
          </w:p>
        </w:tc>
        <w:tc>
          <w:tcPr>
            <w:tcW w:w="337" w:type="pct"/>
            <w:tcBorders>
              <w:top w:val="single" w:sz="4" w:space="0" w:color="auto"/>
              <w:left w:val="nil"/>
              <w:bottom w:val="nil"/>
              <w:right w:val="nil"/>
            </w:tcBorders>
            <w:shd w:val="clear" w:color="000000" w:fill="FFFFFF"/>
            <w:vAlign w:val="center"/>
            <w:hideMark/>
          </w:tcPr>
          <w:p w14:paraId="0F71EDC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-4,5</w:t>
            </w:r>
          </w:p>
        </w:tc>
        <w:tc>
          <w:tcPr>
            <w:tcW w:w="281" w:type="pct"/>
            <w:tcBorders>
              <w:top w:val="single" w:sz="4" w:space="0" w:color="auto"/>
              <w:left w:val="nil"/>
              <w:bottom w:val="nil"/>
              <w:right w:val="nil"/>
            </w:tcBorders>
            <w:shd w:val="clear" w:color="auto" w:fill="D9D9D9" w:themeFill="background1" w:themeFillShade="D9"/>
            <w:vAlign w:val="center"/>
            <w:hideMark/>
          </w:tcPr>
          <w:p w14:paraId="20BCBD7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53</w:t>
            </w:r>
          </w:p>
        </w:tc>
        <w:tc>
          <w:tcPr>
            <w:tcW w:w="337" w:type="pct"/>
            <w:tcBorders>
              <w:top w:val="single" w:sz="4" w:space="0" w:color="auto"/>
              <w:left w:val="nil"/>
              <w:bottom w:val="nil"/>
              <w:right w:val="nil"/>
            </w:tcBorders>
            <w:shd w:val="clear" w:color="000000" w:fill="FFFFFF"/>
            <w:vAlign w:val="center"/>
            <w:hideMark/>
          </w:tcPr>
          <w:p w14:paraId="03BC8E7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-12,9</w:t>
            </w:r>
          </w:p>
        </w:tc>
        <w:tc>
          <w:tcPr>
            <w:tcW w:w="340" w:type="pct"/>
            <w:tcBorders>
              <w:top w:val="single" w:sz="4" w:space="0" w:color="auto"/>
              <w:left w:val="nil"/>
              <w:bottom w:val="nil"/>
              <w:right w:val="nil"/>
            </w:tcBorders>
            <w:shd w:val="clear" w:color="auto" w:fill="D9D9D9" w:themeFill="background1" w:themeFillShade="D9"/>
            <w:vAlign w:val="center"/>
            <w:hideMark/>
          </w:tcPr>
          <w:p w14:paraId="73B1383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-15,0</w:t>
            </w:r>
          </w:p>
        </w:tc>
        <w:tc>
          <w:tcPr>
            <w:tcW w:w="85" w:type="pct"/>
            <w:tcBorders>
              <w:top w:val="nil"/>
              <w:left w:val="nil"/>
              <w:bottom w:val="nil"/>
              <w:right w:val="nil"/>
            </w:tcBorders>
            <w:shd w:val="clear" w:color="000000" w:fill="FFFFFF"/>
            <w:vAlign w:val="center"/>
            <w:hideMark/>
          </w:tcPr>
          <w:p w14:paraId="70C6E53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1954F27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125</w:t>
            </w:r>
          </w:p>
        </w:tc>
        <w:tc>
          <w:tcPr>
            <w:tcW w:w="337" w:type="pct"/>
            <w:tcBorders>
              <w:top w:val="single" w:sz="4" w:space="0" w:color="auto"/>
              <w:left w:val="nil"/>
              <w:bottom w:val="nil"/>
              <w:right w:val="nil"/>
            </w:tcBorders>
            <w:shd w:val="clear" w:color="000000" w:fill="FFFFFF"/>
            <w:vAlign w:val="center"/>
            <w:hideMark/>
          </w:tcPr>
          <w:p w14:paraId="6AE64D3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-2,0</w:t>
            </w:r>
          </w:p>
        </w:tc>
        <w:tc>
          <w:tcPr>
            <w:tcW w:w="337" w:type="pct"/>
            <w:tcBorders>
              <w:top w:val="single" w:sz="4" w:space="0" w:color="auto"/>
              <w:left w:val="nil"/>
              <w:bottom w:val="nil"/>
              <w:right w:val="nil"/>
            </w:tcBorders>
            <w:shd w:val="clear" w:color="auto" w:fill="D9D9D9" w:themeFill="background1" w:themeFillShade="D9"/>
            <w:vAlign w:val="center"/>
            <w:hideMark/>
          </w:tcPr>
          <w:p w14:paraId="202E1C1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+5,8</w:t>
            </w:r>
          </w:p>
        </w:tc>
        <w:tc>
          <w:tcPr>
            <w:tcW w:w="337" w:type="pct"/>
            <w:tcBorders>
              <w:top w:val="single" w:sz="4" w:space="0" w:color="auto"/>
              <w:left w:val="nil"/>
              <w:bottom w:val="nil"/>
              <w:right w:val="nil"/>
            </w:tcBorders>
            <w:shd w:val="clear" w:color="000000" w:fill="FFFFFF"/>
            <w:vAlign w:val="center"/>
            <w:hideMark/>
          </w:tcPr>
          <w:p w14:paraId="23F86CC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+3,7</w:t>
            </w:r>
          </w:p>
        </w:tc>
        <w:tc>
          <w:tcPr>
            <w:tcW w:w="281" w:type="pct"/>
            <w:tcBorders>
              <w:top w:val="single" w:sz="4" w:space="0" w:color="auto"/>
              <w:left w:val="nil"/>
              <w:bottom w:val="nil"/>
              <w:right w:val="nil"/>
            </w:tcBorders>
            <w:shd w:val="clear" w:color="auto" w:fill="D9D9D9" w:themeFill="background1" w:themeFillShade="D9"/>
            <w:vAlign w:val="center"/>
            <w:hideMark/>
          </w:tcPr>
          <w:p w14:paraId="0C72FB7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52</w:t>
            </w:r>
          </w:p>
        </w:tc>
        <w:tc>
          <w:tcPr>
            <w:tcW w:w="337" w:type="pct"/>
            <w:tcBorders>
              <w:top w:val="single" w:sz="4" w:space="0" w:color="auto"/>
              <w:left w:val="nil"/>
              <w:bottom w:val="nil"/>
              <w:right w:val="nil"/>
            </w:tcBorders>
            <w:shd w:val="clear" w:color="000000" w:fill="FFFFFF"/>
            <w:vAlign w:val="center"/>
            <w:hideMark/>
          </w:tcPr>
          <w:p w14:paraId="3226F6C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-2,0</w:t>
            </w:r>
          </w:p>
        </w:tc>
        <w:tc>
          <w:tcPr>
            <w:tcW w:w="340" w:type="pct"/>
            <w:tcBorders>
              <w:top w:val="single" w:sz="4" w:space="0" w:color="auto"/>
              <w:left w:val="nil"/>
              <w:bottom w:val="nil"/>
              <w:right w:val="nil"/>
            </w:tcBorders>
            <w:shd w:val="clear" w:color="auto" w:fill="D9D9D9" w:themeFill="background1" w:themeFillShade="D9"/>
            <w:vAlign w:val="center"/>
            <w:hideMark/>
          </w:tcPr>
          <w:p w14:paraId="1BD505C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-3,3</w:t>
            </w:r>
          </w:p>
        </w:tc>
      </w:tr>
      <w:tr w:rsidR="00A840CE" w:rsidRPr="002914BD" w14:paraId="43544DAB"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09EC3985" w14:textId="0461E63B" w:rsidR="00A840CE" w:rsidRPr="002914BD" w:rsidRDefault="00C212E7" w:rsidP="00A840CE">
            <w:pPr>
              <w:widowControl/>
              <w:autoSpaceDE/>
              <w:autoSpaceDN/>
              <w:rPr>
                <w:rFonts w:ascii="Arial Narrow" w:eastAsia="Times New Roman" w:hAnsi="Arial Narrow" w:cs="Times New Roman"/>
                <w:b/>
                <w:sz w:val="14"/>
                <w:szCs w:val="14"/>
                <w:lang w:eastAsia="it-IT"/>
              </w:rPr>
            </w:pPr>
            <w:r w:rsidRPr="00C212E7">
              <w:rPr>
                <w:rFonts w:ascii="Arial Narrow" w:eastAsia="Times New Roman" w:hAnsi="Arial Narrow" w:cs="Times New Roman"/>
                <w:b/>
                <w:sz w:val="14"/>
                <w:szCs w:val="14"/>
                <w:lang w:eastAsia="it-IT"/>
              </w:rPr>
              <w:t>Netherlands</w:t>
            </w:r>
          </w:p>
        </w:tc>
        <w:tc>
          <w:tcPr>
            <w:tcW w:w="281" w:type="pct"/>
            <w:tcBorders>
              <w:top w:val="single" w:sz="4" w:space="0" w:color="auto"/>
              <w:left w:val="nil"/>
              <w:bottom w:val="nil"/>
              <w:right w:val="nil"/>
            </w:tcBorders>
            <w:shd w:val="clear" w:color="auto" w:fill="D9D9D9" w:themeFill="background1" w:themeFillShade="D9"/>
            <w:vAlign w:val="center"/>
            <w:hideMark/>
          </w:tcPr>
          <w:p w14:paraId="46674DA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28.223</w:t>
            </w:r>
          </w:p>
        </w:tc>
        <w:tc>
          <w:tcPr>
            <w:tcW w:w="337" w:type="pct"/>
            <w:tcBorders>
              <w:top w:val="single" w:sz="4" w:space="0" w:color="auto"/>
              <w:left w:val="nil"/>
              <w:bottom w:val="nil"/>
              <w:right w:val="nil"/>
            </w:tcBorders>
            <w:shd w:val="clear" w:color="000000" w:fill="FFFFFF"/>
            <w:vAlign w:val="center"/>
            <w:hideMark/>
          </w:tcPr>
          <w:p w14:paraId="041ACB3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-0,3</w:t>
            </w:r>
          </w:p>
        </w:tc>
        <w:tc>
          <w:tcPr>
            <w:tcW w:w="337" w:type="pct"/>
            <w:tcBorders>
              <w:top w:val="single" w:sz="4" w:space="0" w:color="auto"/>
              <w:left w:val="nil"/>
              <w:bottom w:val="nil"/>
              <w:right w:val="nil"/>
            </w:tcBorders>
            <w:shd w:val="clear" w:color="auto" w:fill="D9D9D9" w:themeFill="background1" w:themeFillShade="D9"/>
            <w:vAlign w:val="center"/>
            <w:hideMark/>
          </w:tcPr>
          <w:p w14:paraId="12F21A9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-2,9</w:t>
            </w:r>
          </w:p>
        </w:tc>
        <w:tc>
          <w:tcPr>
            <w:tcW w:w="337" w:type="pct"/>
            <w:tcBorders>
              <w:top w:val="single" w:sz="4" w:space="0" w:color="auto"/>
              <w:left w:val="nil"/>
              <w:bottom w:val="nil"/>
              <w:right w:val="nil"/>
            </w:tcBorders>
            <w:shd w:val="clear" w:color="000000" w:fill="FFFFFF"/>
            <w:vAlign w:val="center"/>
            <w:hideMark/>
          </w:tcPr>
          <w:p w14:paraId="6CF34CD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-3,1</w:t>
            </w:r>
          </w:p>
        </w:tc>
        <w:tc>
          <w:tcPr>
            <w:tcW w:w="281" w:type="pct"/>
            <w:tcBorders>
              <w:top w:val="single" w:sz="4" w:space="0" w:color="auto"/>
              <w:left w:val="nil"/>
              <w:bottom w:val="nil"/>
              <w:right w:val="nil"/>
            </w:tcBorders>
            <w:shd w:val="clear" w:color="auto" w:fill="D9D9D9" w:themeFill="background1" w:themeFillShade="D9"/>
            <w:vAlign w:val="center"/>
            <w:hideMark/>
          </w:tcPr>
          <w:p w14:paraId="4CD7346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10.536</w:t>
            </w:r>
          </w:p>
        </w:tc>
        <w:tc>
          <w:tcPr>
            <w:tcW w:w="337" w:type="pct"/>
            <w:tcBorders>
              <w:top w:val="single" w:sz="4" w:space="0" w:color="auto"/>
              <w:left w:val="nil"/>
              <w:bottom w:val="nil"/>
              <w:right w:val="nil"/>
            </w:tcBorders>
            <w:shd w:val="clear" w:color="000000" w:fill="FFFFFF"/>
            <w:vAlign w:val="center"/>
            <w:hideMark/>
          </w:tcPr>
          <w:p w14:paraId="7702806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-6,4</w:t>
            </w:r>
          </w:p>
        </w:tc>
        <w:tc>
          <w:tcPr>
            <w:tcW w:w="340" w:type="pct"/>
            <w:tcBorders>
              <w:top w:val="single" w:sz="4" w:space="0" w:color="auto"/>
              <w:left w:val="nil"/>
              <w:bottom w:val="nil"/>
              <w:right w:val="nil"/>
            </w:tcBorders>
            <w:shd w:val="clear" w:color="auto" w:fill="D9D9D9" w:themeFill="background1" w:themeFillShade="D9"/>
            <w:vAlign w:val="center"/>
            <w:hideMark/>
          </w:tcPr>
          <w:p w14:paraId="3605BF1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-6,1</w:t>
            </w:r>
          </w:p>
        </w:tc>
        <w:tc>
          <w:tcPr>
            <w:tcW w:w="85" w:type="pct"/>
            <w:tcBorders>
              <w:top w:val="nil"/>
              <w:left w:val="nil"/>
              <w:bottom w:val="nil"/>
              <w:right w:val="nil"/>
            </w:tcBorders>
            <w:shd w:val="clear" w:color="000000" w:fill="FFFFFF"/>
            <w:vAlign w:val="center"/>
            <w:hideMark/>
          </w:tcPr>
          <w:p w14:paraId="1580F25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0EDD6EF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30.311</w:t>
            </w:r>
          </w:p>
        </w:tc>
        <w:tc>
          <w:tcPr>
            <w:tcW w:w="337" w:type="pct"/>
            <w:tcBorders>
              <w:top w:val="single" w:sz="4" w:space="0" w:color="auto"/>
              <w:left w:val="nil"/>
              <w:bottom w:val="single" w:sz="4" w:space="0" w:color="auto"/>
              <w:right w:val="nil"/>
            </w:tcBorders>
            <w:shd w:val="clear" w:color="000000" w:fill="FFFFFF"/>
            <w:vAlign w:val="center"/>
            <w:hideMark/>
          </w:tcPr>
          <w:p w14:paraId="5FF6A32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-0,4</w:t>
            </w:r>
          </w:p>
        </w:tc>
        <w:tc>
          <w:tcPr>
            <w:tcW w:w="337" w:type="pct"/>
            <w:tcBorders>
              <w:top w:val="single" w:sz="4" w:space="0" w:color="auto"/>
              <w:left w:val="nil"/>
              <w:bottom w:val="nil"/>
              <w:right w:val="nil"/>
            </w:tcBorders>
            <w:shd w:val="clear" w:color="auto" w:fill="D9D9D9" w:themeFill="background1" w:themeFillShade="D9"/>
            <w:vAlign w:val="center"/>
            <w:hideMark/>
          </w:tcPr>
          <w:p w14:paraId="13DE6D4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+7,8</w:t>
            </w:r>
          </w:p>
        </w:tc>
        <w:tc>
          <w:tcPr>
            <w:tcW w:w="337" w:type="pct"/>
            <w:tcBorders>
              <w:top w:val="single" w:sz="4" w:space="0" w:color="auto"/>
              <w:left w:val="nil"/>
              <w:bottom w:val="nil"/>
              <w:right w:val="nil"/>
            </w:tcBorders>
            <w:shd w:val="clear" w:color="000000" w:fill="FFFFFF"/>
            <w:vAlign w:val="center"/>
            <w:hideMark/>
          </w:tcPr>
          <w:p w14:paraId="57123F2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+7,4</w:t>
            </w:r>
          </w:p>
        </w:tc>
        <w:tc>
          <w:tcPr>
            <w:tcW w:w="281" w:type="pct"/>
            <w:tcBorders>
              <w:top w:val="single" w:sz="4" w:space="0" w:color="auto"/>
              <w:left w:val="nil"/>
              <w:bottom w:val="nil"/>
              <w:right w:val="nil"/>
            </w:tcBorders>
            <w:shd w:val="clear" w:color="auto" w:fill="D9D9D9" w:themeFill="background1" w:themeFillShade="D9"/>
            <w:vAlign w:val="center"/>
            <w:hideMark/>
          </w:tcPr>
          <w:p w14:paraId="720D0A7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10.790</w:t>
            </w:r>
          </w:p>
        </w:tc>
        <w:tc>
          <w:tcPr>
            <w:tcW w:w="337" w:type="pct"/>
            <w:tcBorders>
              <w:top w:val="single" w:sz="4" w:space="0" w:color="auto"/>
              <w:left w:val="nil"/>
              <w:bottom w:val="nil"/>
              <w:right w:val="nil"/>
            </w:tcBorders>
            <w:shd w:val="clear" w:color="000000" w:fill="FFFFFF"/>
            <w:vAlign w:val="center"/>
            <w:hideMark/>
          </w:tcPr>
          <w:p w14:paraId="79574E8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+2,4</w:t>
            </w:r>
          </w:p>
        </w:tc>
        <w:tc>
          <w:tcPr>
            <w:tcW w:w="340" w:type="pct"/>
            <w:tcBorders>
              <w:top w:val="single" w:sz="4" w:space="0" w:color="auto"/>
              <w:left w:val="nil"/>
              <w:bottom w:val="nil"/>
              <w:right w:val="nil"/>
            </w:tcBorders>
            <w:shd w:val="clear" w:color="auto" w:fill="D9D9D9" w:themeFill="background1" w:themeFillShade="D9"/>
            <w:vAlign w:val="center"/>
            <w:hideMark/>
          </w:tcPr>
          <w:p w14:paraId="256C35A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-2,8</w:t>
            </w:r>
          </w:p>
        </w:tc>
      </w:tr>
      <w:tr w:rsidR="00A840CE" w:rsidRPr="002914BD" w14:paraId="6E53273A"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143483D2" w14:textId="77777777" w:rsidR="00A840CE" w:rsidRPr="002914BD" w:rsidRDefault="00A840CE" w:rsidP="00A840CE">
            <w:pPr>
              <w:widowControl/>
              <w:autoSpaceDE/>
              <w:autoSpaceDN/>
              <w:rPr>
                <w:rFonts w:ascii="Arial Narrow" w:eastAsia="Times New Roman" w:hAnsi="Arial Narrow" w:cs="Times New Roman"/>
                <w:b/>
                <w:sz w:val="14"/>
                <w:szCs w:val="14"/>
                <w:lang w:eastAsia="it-IT"/>
              </w:rPr>
            </w:pPr>
            <w:r w:rsidRPr="002914BD">
              <w:rPr>
                <w:rFonts w:ascii="Arial Narrow" w:eastAsia="Times New Roman" w:hAnsi="Arial Narrow" w:cs="Times New Roman"/>
                <w:b/>
                <w:sz w:val="14"/>
                <w:szCs w:val="14"/>
                <w:lang w:eastAsia="it-IT"/>
              </w:rPr>
              <w:t>Austria</w:t>
            </w:r>
          </w:p>
        </w:tc>
        <w:tc>
          <w:tcPr>
            <w:tcW w:w="281" w:type="pct"/>
            <w:tcBorders>
              <w:top w:val="single" w:sz="4" w:space="0" w:color="auto"/>
              <w:left w:val="nil"/>
              <w:bottom w:val="nil"/>
              <w:right w:val="nil"/>
            </w:tcBorders>
            <w:shd w:val="clear" w:color="auto" w:fill="D9D9D9" w:themeFill="background1" w:themeFillShade="D9"/>
            <w:vAlign w:val="center"/>
            <w:hideMark/>
          </w:tcPr>
          <w:p w14:paraId="3DB1DBF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7.659</w:t>
            </w:r>
          </w:p>
        </w:tc>
        <w:tc>
          <w:tcPr>
            <w:tcW w:w="337" w:type="pct"/>
            <w:tcBorders>
              <w:top w:val="single" w:sz="4" w:space="0" w:color="auto"/>
              <w:left w:val="nil"/>
              <w:bottom w:val="nil"/>
              <w:right w:val="nil"/>
            </w:tcBorders>
            <w:shd w:val="clear" w:color="000000" w:fill="FFFFFF"/>
            <w:vAlign w:val="center"/>
            <w:hideMark/>
          </w:tcPr>
          <w:p w14:paraId="6B4F7F6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+2,2</w:t>
            </w:r>
          </w:p>
        </w:tc>
        <w:tc>
          <w:tcPr>
            <w:tcW w:w="337" w:type="pct"/>
            <w:tcBorders>
              <w:top w:val="single" w:sz="4" w:space="0" w:color="auto"/>
              <w:left w:val="nil"/>
              <w:bottom w:val="nil"/>
              <w:right w:val="nil"/>
            </w:tcBorders>
            <w:shd w:val="clear" w:color="auto" w:fill="D9D9D9" w:themeFill="background1" w:themeFillShade="D9"/>
            <w:vAlign w:val="center"/>
            <w:hideMark/>
          </w:tcPr>
          <w:p w14:paraId="63D8280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+0,5</w:t>
            </w:r>
          </w:p>
        </w:tc>
        <w:tc>
          <w:tcPr>
            <w:tcW w:w="337" w:type="pct"/>
            <w:tcBorders>
              <w:top w:val="single" w:sz="4" w:space="0" w:color="auto"/>
              <w:left w:val="nil"/>
              <w:bottom w:val="nil"/>
              <w:right w:val="nil"/>
            </w:tcBorders>
            <w:shd w:val="clear" w:color="000000" w:fill="FFFFFF"/>
            <w:vAlign w:val="center"/>
            <w:hideMark/>
          </w:tcPr>
          <w:p w14:paraId="76846DA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+2,6</w:t>
            </w:r>
          </w:p>
        </w:tc>
        <w:tc>
          <w:tcPr>
            <w:tcW w:w="281" w:type="pct"/>
            <w:tcBorders>
              <w:top w:val="single" w:sz="4" w:space="0" w:color="auto"/>
              <w:left w:val="nil"/>
              <w:bottom w:val="nil"/>
              <w:right w:val="nil"/>
            </w:tcBorders>
            <w:shd w:val="clear" w:color="auto" w:fill="D9D9D9" w:themeFill="background1" w:themeFillShade="D9"/>
            <w:vAlign w:val="center"/>
            <w:hideMark/>
          </w:tcPr>
          <w:p w14:paraId="516EB89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3.095</w:t>
            </w:r>
          </w:p>
        </w:tc>
        <w:tc>
          <w:tcPr>
            <w:tcW w:w="337" w:type="pct"/>
            <w:tcBorders>
              <w:top w:val="single" w:sz="4" w:space="0" w:color="auto"/>
              <w:left w:val="nil"/>
              <w:bottom w:val="nil"/>
              <w:right w:val="nil"/>
            </w:tcBorders>
            <w:shd w:val="clear" w:color="000000" w:fill="FFFFFF"/>
            <w:vAlign w:val="center"/>
            <w:hideMark/>
          </w:tcPr>
          <w:p w14:paraId="1FAB6EE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w:t>
            </w:r>
          </w:p>
        </w:tc>
        <w:tc>
          <w:tcPr>
            <w:tcW w:w="340" w:type="pct"/>
            <w:tcBorders>
              <w:top w:val="single" w:sz="4" w:space="0" w:color="auto"/>
              <w:left w:val="nil"/>
              <w:bottom w:val="nil"/>
              <w:right w:val="nil"/>
            </w:tcBorders>
            <w:shd w:val="clear" w:color="auto" w:fill="D9D9D9" w:themeFill="background1" w:themeFillShade="D9"/>
            <w:vAlign w:val="center"/>
            <w:hideMark/>
          </w:tcPr>
          <w:p w14:paraId="0ECAD17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+1,5</w:t>
            </w:r>
          </w:p>
        </w:tc>
        <w:tc>
          <w:tcPr>
            <w:tcW w:w="85" w:type="pct"/>
            <w:tcBorders>
              <w:top w:val="nil"/>
              <w:left w:val="nil"/>
              <w:bottom w:val="nil"/>
              <w:right w:val="nil"/>
            </w:tcBorders>
            <w:shd w:val="clear" w:color="000000" w:fill="FFFFFF"/>
            <w:vAlign w:val="center"/>
            <w:hideMark/>
          </w:tcPr>
          <w:p w14:paraId="15D3710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6BA380A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8.451</w:t>
            </w:r>
          </w:p>
        </w:tc>
        <w:tc>
          <w:tcPr>
            <w:tcW w:w="337" w:type="pct"/>
            <w:tcBorders>
              <w:top w:val="nil"/>
              <w:left w:val="nil"/>
              <w:bottom w:val="nil"/>
              <w:right w:val="nil"/>
            </w:tcBorders>
            <w:shd w:val="clear" w:color="000000" w:fill="FFFFFF"/>
            <w:vAlign w:val="center"/>
            <w:hideMark/>
          </w:tcPr>
          <w:p w14:paraId="7A8BEE4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+0,4</w:t>
            </w:r>
          </w:p>
        </w:tc>
        <w:tc>
          <w:tcPr>
            <w:tcW w:w="337" w:type="pct"/>
            <w:tcBorders>
              <w:top w:val="single" w:sz="4" w:space="0" w:color="auto"/>
              <w:left w:val="nil"/>
              <w:bottom w:val="nil"/>
              <w:right w:val="nil"/>
            </w:tcBorders>
            <w:shd w:val="clear" w:color="auto" w:fill="D9D9D9" w:themeFill="background1" w:themeFillShade="D9"/>
            <w:vAlign w:val="center"/>
            <w:hideMark/>
          </w:tcPr>
          <w:p w14:paraId="6540B84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+9,9</w:t>
            </w:r>
          </w:p>
        </w:tc>
        <w:tc>
          <w:tcPr>
            <w:tcW w:w="337" w:type="pct"/>
            <w:tcBorders>
              <w:top w:val="single" w:sz="4" w:space="0" w:color="auto"/>
              <w:left w:val="nil"/>
              <w:bottom w:val="nil"/>
              <w:right w:val="nil"/>
            </w:tcBorders>
            <w:shd w:val="clear" w:color="000000" w:fill="FFFFFF"/>
            <w:vAlign w:val="center"/>
            <w:hideMark/>
          </w:tcPr>
          <w:p w14:paraId="7EEAC60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+10,3</w:t>
            </w:r>
          </w:p>
        </w:tc>
        <w:tc>
          <w:tcPr>
            <w:tcW w:w="281" w:type="pct"/>
            <w:tcBorders>
              <w:top w:val="single" w:sz="4" w:space="0" w:color="auto"/>
              <w:left w:val="nil"/>
              <w:bottom w:val="nil"/>
              <w:right w:val="nil"/>
            </w:tcBorders>
            <w:shd w:val="clear" w:color="auto" w:fill="D9D9D9" w:themeFill="background1" w:themeFillShade="D9"/>
            <w:vAlign w:val="center"/>
            <w:hideMark/>
          </w:tcPr>
          <w:p w14:paraId="0FBBB78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3.437</w:t>
            </w:r>
          </w:p>
        </w:tc>
        <w:tc>
          <w:tcPr>
            <w:tcW w:w="337" w:type="pct"/>
            <w:tcBorders>
              <w:top w:val="single" w:sz="4" w:space="0" w:color="auto"/>
              <w:left w:val="nil"/>
              <w:bottom w:val="nil"/>
              <w:right w:val="nil"/>
            </w:tcBorders>
            <w:shd w:val="clear" w:color="000000" w:fill="FFFFFF"/>
            <w:vAlign w:val="center"/>
            <w:hideMark/>
          </w:tcPr>
          <w:p w14:paraId="2F7CD73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+11,0</w:t>
            </w:r>
          </w:p>
        </w:tc>
        <w:tc>
          <w:tcPr>
            <w:tcW w:w="340" w:type="pct"/>
            <w:tcBorders>
              <w:top w:val="single" w:sz="4" w:space="0" w:color="auto"/>
              <w:left w:val="nil"/>
              <w:bottom w:val="nil"/>
              <w:right w:val="nil"/>
            </w:tcBorders>
            <w:shd w:val="clear" w:color="auto" w:fill="D9D9D9" w:themeFill="background1" w:themeFillShade="D9"/>
            <w:vAlign w:val="center"/>
            <w:hideMark/>
          </w:tcPr>
          <w:p w14:paraId="635927A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+3,3</w:t>
            </w:r>
          </w:p>
        </w:tc>
      </w:tr>
      <w:tr w:rsidR="00A840CE" w:rsidRPr="002914BD" w14:paraId="7AF7AF87"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0714DC0D" w14:textId="63E85C46" w:rsidR="00A840CE" w:rsidRPr="002914BD" w:rsidRDefault="00C212E7" w:rsidP="00A840CE">
            <w:pPr>
              <w:widowControl/>
              <w:autoSpaceDE/>
              <w:autoSpaceDN/>
              <w:rPr>
                <w:rFonts w:ascii="Arial Narrow" w:eastAsia="Times New Roman" w:hAnsi="Arial Narrow" w:cs="Times New Roman"/>
                <w:b/>
                <w:sz w:val="14"/>
                <w:szCs w:val="14"/>
                <w:lang w:eastAsia="it-IT"/>
              </w:rPr>
            </w:pPr>
            <w:r w:rsidRPr="00C212E7">
              <w:rPr>
                <w:rFonts w:ascii="Arial Narrow" w:eastAsia="Times New Roman" w:hAnsi="Arial Narrow" w:cs="Times New Roman"/>
                <w:b/>
                <w:sz w:val="14"/>
                <w:szCs w:val="14"/>
                <w:lang w:eastAsia="it-IT"/>
              </w:rPr>
              <w:t>Poland</w:t>
            </w:r>
          </w:p>
        </w:tc>
        <w:tc>
          <w:tcPr>
            <w:tcW w:w="281" w:type="pct"/>
            <w:tcBorders>
              <w:top w:val="single" w:sz="4" w:space="0" w:color="auto"/>
              <w:left w:val="nil"/>
              <w:bottom w:val="nil"/>
              <w:right w:val="nil"/>
            </w:tcBorders>
            <w:shd w:val="clear" w:color="auto" w:fill="D9D9D9" w:themeFill="background1" w:themeFillShade="D9"/>
            <w:vAlign w:val="center"/>
            <w:hideMark/>
          </w:tcPr>
          <w:p w14:paraId="464A9B7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26.406</w:t>
            </w:r>
          </w:p>
        </w:tc>
        <w:tc>
          <w:tcPr>
            <w:tcW w:w="337" w:type="pct"/>
            <w:tcBorders>
              <w:top w:val="single" w:sz="4" w:space="0" w:color="auto"/>
              <w:left w:val="nil"/>
              <w:bottom w:val="nil"/>
              <w:right w:val="nil"/>
            </w:tcBorders>
            <w:shd w:val="clear" w:color="000000" w:fill="FFFFFF"/>
            <w:vAlign w:val="center"/>
            <w:hideMark/>
          </w:tcPr>
          <w:p w14:paraId="373BF02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+8,0</w:t>
            </w:r>
          </w:p>
        </w:tc>
        <w:tc>
          <w:tcPr>
            <w:tcW w:w="337" w:type="pct"/>
            <w:tcBorders>
              <w:top w:val="single" w:sz="4" w:space="0" w:color="auto"/>
              <w:left w:val="nil"/>
              <w:bottom w:val="nil"/>
              <w:right w:val="nil"/>
            </w:tcBorders>
            <w:shd w:val="clear" w:color="auto" w:fill="D9D9D9" w:themeFill="background1" w:themeFillShade="D9"/>
            <w:vAlign w:val="center"/>
            <w:hideMark/>
          </w:tcPr>
          <w:p w14:paraId="1179485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-2,4</w:t>
            </w:r>
          </w:p>
        </w:tc>
        <w:tc>
          <w:tcPr>
            <w:tcW w:w="337" w:type="pct"/>
            <w:tcBorders>
              <w:top w:val="single" w:sz="4" w:space="0" w:color="auto"/>
              <w:left w:val="nil"/>
              <w:bottom w:val="nil"/>
              <w:right w:val="nil"/>
            </w:tcBorders>
            <w:shd w:val="clear" w:color="000000" w:fill="FFFFFF"/>
            <w:vAlign w:val="center"/>
            <w:hideMark/>
          </w:tcPr>
          <w:p w14:paraId="74D9C7B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+5,3</w:t>
            </w:r>
          </w:p>
        </w:tc>
        <w:tc>
          <w:tcPr>
            <w:tcW w:w="281" w:type="pct"/>
            <w:tcBorders>
              <w:top w:val="single" w:sz="4" w:space="0" w:color="auto"/>
              <w:left w:val="nil"/>
              <w:bottom w:val="nil"/>
              <w:right w:val="nil"/>
            </w:tcBorders>
            <w:shd w:val="clear" w:color="auto" w:fill="D9D9D9" w:themeFill="background1" w:themeFillShade="D9"/>
            <w:vAlign w:val="center"/>
            <w:hideMark/>
          </w:tcPr>
          <w:p w14:paraId="61D0811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10.305</w:t>
            </w:r>
          </w:p>
        </w:tc>
        <w:tc>
          <w:tcPr>
            <w:tcW w:w="337" w:type="pct"/>
            <w:tcBorders>
              <w:top w:val="single" w:sz="4" w:space="0" w:color="auto"/>
              <w:left w:val="nil"/>
              <w:bottom w:val="nil"/>
              <w:right w:val="nil"/>
            </w:tcBorders>
            <w:shd w:val="clear" w:color="000000" w:fill="FFFFFF"/>
            <w:vAlign w:val="center"/>
            <w:hideMark/>
          </w:tcPr>
          <w:p w14:paraId="16F52AB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+6,9</w:t>
            </w:r>
          </w:p>
        </w:tc>
        <w:tc>
          <w:tcPr>
            <w:tcW w:w="340" w:type="pct"/>
            <w:tcBorders>
              <w:top w:val="single" w:sz="4" w:space="0" w:color="auto"/>
              <w:left w:val="nil"/>
              <w:bottom w:val="nil"/>
              <w:right w:val="nil"/>
            </w:tcBorders>
            <w:shd w:val="clear" w:color="auto" w:fill="D9D9D9" w:themeFill="background1" w:themeFillShade="D9"/>
            <w:vAlign w:val="center"/>
            <w:hideMark/>
          </w:tcPr>
          <w:p w14:paraId="5673B24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+22,1</w:t>
            </w:r>
          </w:p>
        </w:tc>
        <w:tc>
          <w:tcPr>
            <w:tcW w:w="85" w:type="pct"/>
            <w:tcBorders>
              <w:top w:val="nil"/>
              <w:left w:val="nil"/>
              <w:bottom w:val="nil"/>
              <w:right w:val="nil"/>
            </w:tcBorders>
            <w:shd w:val="clear" w:color="000000" w:fill="FFFFFF"/>
            <w:vAlign w:val="center"/>
            <w:hideMark/>
          </w:tcPr>
          <w:p w14:paraId="2F8A14F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5F525DA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27.508</w:t>
            </w:r>
          </w:p>
        </w:tc>
        <w:tc>
          <w:tcPr>
            <w:tcW w:w="337" w:type="pct"/>
            <w:tcBorders>
              <w:top w:val="single" w:sz="4" w:space="0" w:color="auto"/>
              <w:left w:val="nil"/>
              <w:bottom w:val="nil"/>
              <w:right w:val="nil"/>
            </w:tcBorders>
            <w:shd w:val="clear" w:color="000000" w:fill="FFFFFF"/>
            <w:vAlign w:val="center"/>
            <w:hideMark/>
          </w:tcPr>
          <w:p w14:paraId="75DEE1E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-0,7</w:t>
            </w:r>
          </w:p>
        </w:tc>
        <w:tc>
          <w:tcPr>
            <w:tcW w:w="337" w:type="pct"/>
            <w:tcBorders>
              <w:top w:val="single" w:sz="4" w:space="0" w:color="auto"/>
              <w:left w:val="nil"/>
              <w:bottom w:val="nil"/>
              <w:right w:val="nil"/>
            </w:tcBorders>
            <w:shd w:val="clear" w:color="auto" w:fill="D9D9D9" w:themeFill="background1" w:themeFillShade="D9"/>
            <w:vAlign w:val="center"/>
            <w:hideMark/>
          </w:tcPr>
          <w:p w14:paraId="028D0A6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+7,8</w:t>
            </w:r>
          </w:p>
        </w:tc>
        <w:tc>
          <w:tcPr>
            <w:tcW w:w="337" w:type="pct"/>
            <w:tcBorders>
              <w:top w:val="single" w:sz="4" w:space="0" w:color="auto"/>
              <w:left w:val="nil"/>
              <w:bottom w:val="nil"/>
              <w:right w:val="nil"/>
            </w:tcBorders>
            <w:shd w:val="clear" w:color="000000" w:fill="FFFFFF"/>
            <w:vAlign w:val="center"/>
            <w:hideMark/>
          </w:tcPr>
          <w:p w14:paraId="77D5B15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+7,0</w:t>
            </w:r>
          </w:p>
        </w:tc>
        <w:tc>
          <w:tcPr>
            <w:tcW w:w="281" w:type="pct"/>
            <w:tcBorders>
              <w:top w:val="single" w:sz="4" w:space="0" w:color="auto"/>
              <w:left w:val="nil"/>
              <w:bottom w:val="nil"/>
              <w:right w:val="nil"/>
            </w:tcBorders>
            <w:shd w:val="clear" w:color="auto" w:fill="D9D9D9" w:themeFill="background1" w:themeFillShade="D9"/>
            <w:vAlign w:val="center"/>
            <w:hideMark/>
          </w:tcPr>
          <w:p w14:paraId="5C023EB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8.473</w:t>
            </w:r>
          </w:p>
        </w:tc>
        <w:tc>
          <w:tcPr>
            <w:tcW w:w="337" w:type="pct"/>
            <w:tcBorders>
              <w:top w:val="single" w:sz="4" w:space="0" w:color="auto"/>
              <w:left w:val="nil"/>
              <w:bottom w:val="nil"/>
              <w:right w:val="nil"/>
            </w:tcBorders>
            <w:shd w:val="clear" w:color="000000" w:fill="FFFFFF"/>
            <w:vAlign w:val="center"/>
            <w:hideMark/>
          </w:tcPr>
          <w:p w14:paraId="5D2CBBA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-17,8</w:t>
            </w:r>
          </w:p>
        </w:tc>
        <w:tc>
          <w:tcPr>
            <w:tcW w:w="340" w:type="pct"/>
            <w:tcBorders>
              <w:top w:val="single" w:sz="4" w:space="0" w:color="auto"/>
              <w:left w:val="nil"/>
              <w:bottom w:val="nil"/>
              <w:right w:val="nil"/>
            </w:tcBorders>
            <w:shd w:val="clear" w:color="auto" w:fill="D9D9D9" w:themeFill="background1" w:themeFillShade="D9"/>
            <w:vAlign w:val="center"/>
            <w:hideMark/>
          </w:tcPr>
          <w:p w14:paraId="1829142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-18,9</w:t>
            </w:r>
          </w:p>
        </w:tc>
      </w:tr>
      <w:tr w:rsidR="00A840CE" w:rsidRPr="002914BD" w14:paraId="49B77DED" w14:textId="77777777" w:rsidTr="00DD51CA">
        <w:trPr>
          <w:trHeight w:val="227"/>
        </w:trPr>
        <w:tc>
          <w:tcPr>
            <w:tcW w:w="413" w:type="pct"/>
            <w:tcBorders>
              <w:top w:val="nil"/>
              <w:left w:val="nil"/>
              <w:bottom w:val="nil"/>
              <w:right w:val="nil"/>
            </w:tcBorders>
            <w:shd w:val="clear" w:color="000000" w:fill="FFFFFF"/>
            <w:vAlign w:val="center"/>
            <w:hideMark/>
          </w:tcPr>
          <w:p w14:paraId="0B15BC31" w14:textId="2AB24E28" w:rsidR="00A840CE" w:rsidRPr="002914BD" w:rsidRDefault="00C212E7" w:rsidP="00A840CE">
            <w:pPr>
              <w:widowControl/>
              <w:autoSpaceDE/>
              <w:autoSpaceDN/>
              <w:rPr>
                <w:rFonts w:ascii="Arial Narrow" w:eastAsia="Times New Roman" w:hAnsi="Arial Narrow" w:cs="Times New Roman"/>
                <w:b/>
                <w:sz w:val="14"/>
                <w:szCs w:val="14"/>
                <w:lang w:eastAsia="it-IT"/>
              </w:rPr>
            </w:pPr>
            <w:r w:rsidRPr="00C212E7">
              <w:rPr>
                <w:rFonts w:ascii="Arial Narrow" w:eastAsia="Times New Roman" w:hAnsi="Arial Narrow" w:cs="Times New Roman"/>
                <w:b/>
                <w:sz w:val="14"/>
                <w:szCs w:val="14"/>
                <w:lang w:eastAsia="it-IT"/>
              </w:rPr>
              <w:t>Portugal</w:t>
            </w:r>
          </w:p>
        </w:tc>
        <w:tc>
          <w:tcPr>
            <w:tcW w:w="281" w:type="pct"/>
            <w:tcBorders>
              <w:top w:val="single" w:sz="4" w:space="0" w:color="auto"/>
              <w:left w:val="nil"/>
              <w:bottom w:val="nil"/>
              <w:right w:val="nil"/>
            </w:tcBorders>
            <w:shd w:val="clear" w:color="auto" w:fill="D9D9D9" w:themeFill="background1" w:themeFillShade="D9"/>
            <w:vAlign w:val="center"/>
            <w:hideMark/>
          </w:tcPr>
          <w:p w14:paraId="5BE157E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8.331</w:t>
            </w:r>
          </w:p>
        </w:tc>
        <w:tc>
          <w:tcPr>
            <w:tcW w:w="337" w:type="pct"/>
            <w:tcBorders>
              <w:top w:val="single" w:sz="4" w:space="0" w:color="auto"/>
              <w:left w:val="nil"/>
              <w:bottom w:val="nil"/>
              <w:right w:val="nil"/>
            </w:tcBorders>
            <w:shd w:val="clear" w:color="000000" w:fill="FFFFFF"/>
            <w:vAlign w:val="center"/>
            <w:hideMark/>
          </w:tcPr>
          <w:p w14:paraId="6EF50F6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+0,1</w:t>
            </w:r>
          </w:p>
        </w:tc>
        <w:tc>
          <w:tcPr>
            <w:tcW w:w="337" w:type="pct"/>
            <w:tcBorders>
              <w:top w:val="single" w:sz="4" w:space="0" w:color="auto"/>
              <w:left w:val="nil"/>
              <w:bottom w:val="nil"/>
              <w:right w:val="nil"/>
            </w:tcBorders>
            <w:shd w:val="clear" w:color="auto" w:fill="D9D9D9" w:themeFill="background1" w:themeFillShade="D9"/>
            <w:vAlign w:val="center"/>
            <w:hideMark/>
          </w:tcPr>
          <w:p w14:paraId="4A5DCDB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+0,2</w:t>
            </w:r>
          </w:p>
        </w:tc>
        <w:tc>
          <w:tcPr>
            <w:tcW w:w="337" w:type="pct"/>
            <w:tcBorders>
              <w:top w:val="single" w:sz="4" w:space="0" w:color="auto"/>
              <w:left w:val="nil"/>
              <w:bottom w:val="nil"/>
              <w:right w:val="nil"/>
            </w:tcBorders>
            <w:shd w:val="clear" w:color="000000" w:fill="FFFFFF"/>
            <w:vAlign w:val="center"/>
            <w:hideMark/>
          </w:tcPr>
          <w:p w14:paraId="0BAAE9B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+0,3</w:t>
            </w:r>
          </w:p>
        </w:tc>
        <w:tc>
          <w:tcPr>
            <w:tcW w:w="281" w:type="pct"/>
            <w:tcBorders>
              <w:top w:val="single" w:sz="4" w:space="0" w:color="auto"/>
              <w:left w:val="nil"/>
              <w:bottom w:val="nil"/>
              <w:right w:val="nil"/>
            </w:tcBorders>
            <w:shd w:val="clear" w:color="auto" w:fill="D9D9D9" w:themeFill="background1" w:themeFillShade="D9"/>
            <w:vAlign w:val="center"/>
            <w:hideMark/>
          </w:tcPr>
          <w:p w14:paraId="36D3BB7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3.265</w:t>
            </w:r>
          </w:p>
        </w:tc>
        <w:tc>
          <w:tcPr>
            <w:tcW w:w="337" w:type="pct"/>
            <w:tcBorders>
              <w:top w:val="single" w:sz="4" w:space="0" w:color="auto"/>
              <w:left w:val="nil"/>
              <w:bottom w:val="nil"/>
              <w:right w:val="nil"/>
            </w:tcBorders>
            <w:shd w:val="clear" w:color="000000" w:fill="FFFFFF"/>
            <w:vAlign w:val="center"/>
            <w:hideMark/>
          </w:tcPr>
          <w:p w14:paraId="73CC66E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-1,5</w:t>
            </w:r>
          </w:p>
        </w:tc>
        <w:tc>
          <w:tcPr>
            <w:tcW w:w="340" w:type="pct"/>
            <w:tcBorders>
              <w:top w:val="single" w:sz="4" w:space="0" w:color="auto"/>
              <w:left w:val="nil"/>
              <w:bottom w:val="nil"/>
              <w:right w:val="nil"/>
            </w:tcBorders>
            <w:shd w:val="clear" w:color="auto" w:fill="D9D9D9" w:themeFill="background1" w:themeFillShade="D9"/>
            <w:vAlign w:val="center"/>
            <w:hideMark/>
          </w:tcPr>
          <w:p w14:paraId="03938F9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-0,1</w:t>
            </w:r>
          </w:p>
        </w:tc>
        <w:tc>
          <w:tcPr>
            <w:tcW w:w="85" w:type="pct"/>
            <w:tcBorders>
              <w:top w:val="nil"/>
              <w:left w:val="nil"/>
              <w:bottom w:val="nil"/>
              <w:right w:val="nil"/>
            </w:tcBorders>
            <w:shd w:val="clear" w:color="000000" w:fill="FFFFFF"/>
            <w:vAlign w:val="center"/>
            <w:hideMark/>
          </w:tcPr>
          <w:p w14:paraId="4EF97E2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5468C11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9.224</w:t>
            </w:r>
          </w:p>
        </w:tc>
        <w:tc>
          <w:tcPr>
            <w:tcW w:w="337" w:type="pct"/>
            <w:tcBorders>
              <w:top w:val="single" w:sz="4" w:space="0" w:color="auto"/>
              <w:left w:val="nil"/>
              <w:bottom w:val="nil"/>
              <w:right w:val="nil"/>
            </w:tcBorders>
            <w:shd w:val="clear" w:color="000000" w:fill="FFFFFF"/>
            <w:vAlign w:val="center"/>
            <w:hideMark/>
          </w:tcPr>
          <w:p w14:paraId="51C5121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+5,8</w:t>
            </w:r>
          </w:p>
        </w:tc>
        <w:tc>
          <w:tcPr>
            <w:tcW w:w="337" w:type="pct"/>
            <w:tcBorders>
              <w:top w:val="single" w:sz="4" w:space="0" w:color="auto"/>
              <w:left w:val="nil"/>
              <w:bottom w:val="nil"/>
              <w:right w:val="nil"/>
            </w:tcBorders>
            <w:shd w:val="clear" w:color="auto" w:fill="D9D9D9" w:themeFill="background1" w:themeFillShade="D9"/>
            <w:vAlign w:val="center"/>
            <w:hideMark/>
          </w:tcPr>
          <w:p w14:paraId="1053915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+4,6</w:t>
            </w:r>
          </w:p>
        </w:tc>
        <w:tc>
          <w:tcPr>
            <w:tcW w:w="337" w:type="pct"/>
            <w:tcBorders>
              <w:top w:val="single" w:sz="4" w:space="0" w:color="auto"/>
              <w:left w:val="nil"/>
              <w:bottom w:val="nil"/>
              <w:right w:val="nil"/>
            </w:tcBorders>
            <w:shd w:val="clear" w:color="000000" w:fill="FFFFFF"/>
            <w:vAlign w:val="center"/>
            <w:hideMark/>
          </w:tcPr>
          <w:p w14:paraId="70FB64A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+10,7</w:t>
            </w:r>
          </w:p>
        </w:tc>
        <w:tc>
          <w:tcPr>
            <w:tcW w:w="281" w:type="pct"/>
            <w:tcBorders>
              <w:top w:val="single" w:sz="4" w:space="0" w:color="auto"/>
              <w:left w:val="nil"/>
              <w:bottom w:val="nil"/>
              <w:right w:val="nil"/>
            </w:tcBorders>
            <w:shd w:val="clear" w:color="auto" w:fill="D9D9D9" w:themeFill="background1" w:themeFillShade="D9"/>
            <w:vAlign w:val="center"/>
            <w:hideMark/>
          </w:tcPr>
          <w:p w14:paraId="7752829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3.498</w:t>
            </w:r>
          </w:p>
        </w:tc>
        <w:tc>
          <w:tcPr>
            <w:tcW w:w="337" w:type="pct"/>
            <w:tcBorders>
              <w:top w:val="single" w:sz="4" w:space="0" w:color="auto"/>
              <w:left w:val="nil"/>
              <w:bottom w:val="nil"/>
              <w:right w:val="nil"/>
            </w:tcBorders>
            <w:shd w:val="clear" w:color="000000" w:fill="FFFFFF"/>
            <w:vAlign w:val="center"/>
            <w:hideMark/>
          </w:tcPr>
          <w:p w14:paraId="3369906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+7,1</w:t>
            </w:r>
          </w:p>
        </w:tc>
        <w:tc>
          <w:tcPr>
            <w:tcW w:w="340" w:type="pct"/>
            <w:tcBorders>
              <w:top w:val="single" w:sz="4" w:space="0" w:color="auto"/>
              <w:left w:val="nil"/>
              <w:bottom w:val="nil"/>
              <w:right w:val="nil"/>
            </w:tcBorders>
            <w:shd w:val="clear" w:color="auto" w:fill="D9D9D9" w:themeFill="background1" w:themeFillShade="D9"/>
            <w:vAlign w:val="center"/>
            <w:hideMark/>
          </w:tcPr>
          <w:p w14:paraId="73D4E73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+9,6</w:t>
            </w:r>
          </w:p>
        </w:tc>
      </w:tr>
      <w:tr w:rsidR="00A840CE" w:rsidRPr="002914BD" w14:paraId="1E0093D9" w14:textId="77777777" w:rsidTr="00DD51CA">
        <w:trPr>
          <w:trHeight w:val="227"/>
        </w:trPr>
        <w:tc>
          <w:tcPr>
            <w:tcW w:w="413" w:type="pct"/>
            <w:tcBorders>
              <w:top w:val="single" w:sz="4" w:space="0" w:color="auto"/>
              <w:left w:val="nil"/>
              <w:bottom w:val="nil"/>
              <w:right w:val="nil"/>
            </w:tcBorders>
            <w:shd w:val="clear" w:color="000000" w:fill="FFFFFF"/>
            <w:vAlign w:val="center"/>
            <w:hideMark/>
          </w:tcPr>
          <w:p w14:paraId="1F66CFA1" w14:textId="77777777" w:rsidR="00A840CE" w:rsidRPr="002914BD" w:rsidRDefault="00A840CE" w:rsidP="00A840CE">
            <w:pPr>
              <w:widowControl/>
              <w:autoSpaceDE/>
              <w:autoSpaceDN/>
              <w:rPr>
                <w:rFonts w:ascii="Arial Narrow" w:eastAsia="Times New Roman" w:hAnsi="Arial Narrow" w:cs="Times New Roman"/>
                <w:b/>
                <w:sz w:val="14"/>
                <w:szCs w:val="14"/>
                <w:lang w:eastAsia="it-IT"/>
              </w:rPr>
            </w:pPr>
            <w:r w:rsidRPr="002914BD">
              <w:rPr>
                <w:rFonts w:ascii="Arial Narrow" w:eastAsia="Times New Roman" w:hAnsi="Arial Narrow" w:cs="Times New Roman"/>
                <w:b/>
                <w:sz w:val="14"/>
                <w:szCs w:val="14"/>
                <w:lang w:eastAsia="it-IT"/>
              </w:rPr>
              <w:t>Romania</w:t>
            </w:r>
          </w:p>
        </w:tc>
        <w:tc>
          <w:tcPr>
            <w:tcW w:w="281" w:type="pct"/>
            <w:tcBorders>
              <w:top w:val="single" w:sz="4" w:space="0" w:color="auto"/>
              <w:left w:val="nil"/>
              <w:bottom w:val="nil"/>
              <w:right w:val="nil"/>
            </w:tcBorders>
            <w:shd w:val="clear" w:color="auto" w:fill="D9D9D9" w:themeFill="background1" w:themeFillShade="D9"/>
            <w:vAlign w:val="center"/>
            <w:hideMark/>
          </w:tcPr>
          <w:p w14:paraId="463827D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16.824</w:t>
            </w:r>
          </w:p>
        </w:tc>
        <w:tc>
          <w:tcPr>
            <w:tcW w:w="337" w:type="pct"/>
            <w:tcBorders>
              <w:top w:val="single" w:sz="4" w:space="0" w:color="auto"/>
              <w:left w:val="nil"/>
              <w:bottom w:val="nil"/>
              <w:right w:val="nil"/>
            </w:tcBorders>
            <w:shd w:val="clear" w:color="000000" w:fill="FFFFFF"/>
            <w:vAlign w:val="center"/>
            <w:hideMark/>
          </w:tcPr>
          <w:p w14:paraId="735DEAA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-15,4</w:t>
            </w:r>
          </w:p>
        </w:tc>
        <w:tc>
          <w:tcPr>
            <w:tcW w:w="337" w:type="pct"/>
            <w:tcBorders>
              <w:top w:val="single" w:sz="4" w:space="0" w:color="auto"/>
              <w:left w:val="nil"/>
              <w:bottom w:val="nil"/>
              <w:right w:val="nil"/>
            </w:tcBorders>
            <w:shd w:val="clear" w:color="auto" w:fill="D9D9D9" w:themeFill="background1" w:themeFillShade="D9"/>
            <w:vAlign w:val="center"/>
            <w:hideMark/>
          </w:tcPr>
          <w:p w14:paraId="74FEF5C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+7,0</w:t>
            </w:r>
          </w:p>
        </w:tc>
        <w:tc>
          <w:tcPr>
            <w:tcW w:w="337" w:type="pct"/>
            <w:tcBorders>
              <w:top w:val="single" w:sz="4" w:space="0" w:color="auto"/>
              <w:left w:val="nil"/>
              <w:bottom w:val="nil"/>
              <w:right w:val="nil"/>
            </w:tcBorders>
            <w:shd w:val="clear" w:color="000000" w:fill="FFFFFF"/>
            <w:vAlign w:val="center"/>
            <w:hideMark/>
          </w:tcPr>
          <w:p w14:paraId="7428DF7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-9,5</w:t>
            </w:r>
          </w:p>
        </w:tc>
        <w:tc>
          <w:tcPr>
            <w:tcW w:w="281" w:type="pct"/>
            <w:tcBorders>
              <w:top w:val="single" w:sz="4" w:space="0" w:color="auto"/>
              <w:left w:val="nil"/>
              <w:bottom w:val="nil"/>
              <w:right w:val="nil"/>
            </w:tcBorders>
            <w:shd w:val="clear" w:color="auto" w:fill="D9D9D9" w:themeFill="background1" w:themeFillShade="D9"/>
            <w:vAlign w:val="center"/>
            <w:hideMark/>
          </w:tcPr>
          <w:p w14:paraId="5F10B26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8.275</w:t>
            </w:r>
          </w:p>
        </w:tc>
        <w:tc>
          <w:tcPr>
            <w:tcW w:w="337" w:type="pct"/>
            <w:tcBorders>
              <w:top w:val="single" w:sz="4" w:space="0" w:color="auto"/>
              <w:left w:val="nil"/>
              <w:bottom w:val="nil"/>
              <w:right w:val="nil"/>
            </w:tcBorders>
            <w:shd w:val="clear" w:color="000000" w:fill="FFFFFF"/>
            <w:vAlign w:val="center"/>
            <w:hideMark/>
          </w:tcPr>
          <w:p w14:paraId="1E99678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-5,9</w:t>
            </w:r>
          </w:p>
        </w:tc>
        <w:tc>
          <w:tcPr>
            <w:tcW w:w="340" w:type="pct"/>
            <w:tcBorders>
              <w:top w:val="single" w:sz="4" w:space="0" w:color="auto"/>
              <w:left w:val="nil"/>
              <w:bottom w:val="nil"/>
              <w:right w:val="nil"/>
            </w:tcBorders>
            <w:shd w:val="clear" w:color="auto" w:fill="D9D9D9" w:themeFill="background1" w:themeFillShade="D9"/>
            <w:vAlign w:val="center"/>
            <w:hideMark/>
          </w:tcPr>
          <w:p w14:paraId="7E2633E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-8,3</w:t>
            </w:r>
          </w:p>
        </w:tc>
        <w:tc>
          <w:tcPr>
            <w:tcW w:w="85" w:type="pct"/>
            <w:tcBorders>
              <w:top w:val="nil"/>
              <w:left w:val="nil"/>
              <w:bottom w:val="nil"/>
              <w:right w:val="nil"/>
            </w:tcBorders>
            <w:shd w:val="clear" w:color="000000" w:fill="FFFFFF"/>
            <w:vAlign w:val="center"/>
            <w:hideMark/>
          </w:tcPr>
          <w:p w14:paraId="1AA33C0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0341C6A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21.420</w:t>
            </w:r>
          </w:p>
        </w:tc>
        <w:tc>
          <w:tcPr>
            <w:tcW w:w="337" w:type="pct"/>
            <w:tcBorders>
              <w:top w:val="single" w:sz="4" w:space="0" w:color="auto"/>
              <w:left w:val="nil"/>
              <w:bottom w:val="nil"/>
              <w:right w:val="nil"/>
            </w:tcBorders>
            <w:shd w:val="clear" w:color="000000" w:fill="FFFFFF"/>
            <w:vAlign w:val="center"/>
            <w:hideMark/>
          </w:tcPr>
          <w:p w14:paraId="0D6F022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+16,9</w:t>
            </w:r>
          </w:p>
        </w:tc>
        <w:tc>
          <w:tcPr>
            <w:tcW w:w="337" w:type="pct"/>
            <w:tcBorders>
              <w:top w:val="single" w:sz="4" w:space="0" w:color="auto"/>
              <w:left w:val="nil"/>
              <w:bottom w:val="nil"/>
              <w:right w:val="nil"/>
            </w:tcBorders>
            <w:shd w:val="clear" w:color="auto" w:fill="D9D9D9" w:themeFill="background1" w:themeFillShade="D9"/>
            <w:vAlign w:val="center"/>
            <w:hideMark/>
          </w:tcPr>
          <w:p w14:paraId="76B1A9C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+10,8</w:t>
            </w:r>
          </w:p>
        </w:tc>
        <w:tc>
          <w:tcPr>
            <w:tcW w:w="337" w:type="pct"/>
            <w:tcBorders>
              <w:top w:val="single" w:sz="4" w:space="0" w:color="auto"/>
              <w:left w:val="nil"/>
              <w:bottom w:val="nil"/>
              <w:right w:val="nil"/>
            </w:tcBorders>
            <w:shd w:val="clear" w:color="000000" w:fill="FFFFFF"/>
            <w:vAlign w:val="center"/>
            <w:hideMark/>
          </w:tcPr>
          <w:p w14:paraId="18CBC09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+29,5</w:t>
            </w:r>
          </w:p>
        </w:tc>
        <w:tc>
          <w:tcPr>
            <w:tcW w:w="281" w:type="pct"/>
            <w:tcBorders>
              <w:top w:val="single" w:sz="4" w:space="0" w:color="auto"/>
              <w:left w:val="nil"/>
              <w:bottom w:val="nil"/>
              <w:right w:val="nil"/>
            </w:tcBorders>
            <w:shd w:val="clear" w:color="auto" w:fill="D9D9D9" w:themeFill="background1" w:themeFillShade="D9"/>
            <w:vAlign w:val="center"/>
            <w:hideMark/>
          </w:tcPr>
          <w:p w14:paraId="5BA9283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10.204</w:t>
            </w:r>
          </w:p>
        </w:tc>
        <w:tc>
          <w:tcPr>
            <w:tcW w:w="337" w:type="pct"/>
            <w:tcBorders>
              <w:top w:val="single" w:sz="4" w:space="0" w:color="auto"/>
              <w:left w:val="nil"/>
              <w:bottom w:val="nil"/>
              <w:right w:val="nil"/>
            </w:tcBorders>
            <w:shd w:val="clear" w:color="000000" w:fill="FFFFFF"/>
            <w:vAlign w:val="center"/>
            <w:hideMark/>
          </w:tcPr>
          <w:p w14:paraId="0378B66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+23,3</w:t>
            </w:r>
          </w:p>
        </w:tc>
        <w:tc>
          <w:tcPr>
            <w:tcW w:w="340" w:type="pct"/>
            <w:tcBorders>
              <w:top w:val="single" w:sz="4" w:space="0" w:color="auto"/>
              <w:left w:val="nil"/>
              <w:bottom w:val="nil"/>
              <w:right w:val="nil"/>
            </w:tcBorders>
            <w:shd w:val="clear" w:color="auto" w:fill="D9D9D9" w:themeFill="background1" w:themeFillShade="D9"/>
            <w:vAlign w:val="center"/>
            <w:hideMark/>
          </w:tcPr>
          <w:p w14:paraId="48F9460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+28,0</w:t>
            </w:r>
          </w:p>
        </w:tc>
      </w:tr>
      <w:tr w:rsidR="00A840CE" w:rsidRPr="002914BD" w14:paraId="3C98693F" w14:textId="77777777" w:rsidTr="00DD51CA">
        <w:trPr>
          <w:trHeight w:val="227"/>
        </w:trPr>
        <w:tc>
          <w:tcPr>
            <w:tcW w:w="413" w:type="pct"/>
            <w:tcBorders>
              <w:top w:val="single" w:sz="4" w:space="0" w:color="auto"/>
              <w:left w:val="nil"/>
              <w:bottom w:val="single" w:sz="4" w:space="0" w:color="auto"/>
              <w:right w:val="nil"/>
            </w:tcBorders>
            <w:shd w:val="clear" w:color="000000" w:fill="FFFFFF"/>
            <w:vAlign w:val="center"/>
            <w:hideMark/>
          </w:tcPr>
          <w:p w14:paraId="1734B7BD" w14:textId="7615599A" w:rsidR="00A840CE" w:rsidRPr="002914BD" w:rsidRDefault="00C212E7" w:rsidP="00A840CE">
            <w:pPr>
              <w:widowControl/>
              <w:autoSpaceDE/>
              <w:autoSpaceDN/>
              <w:rPr>
                <w:rFonts w:ascii="Arial Narrow" w:eastAsia="Times New Roman" w:hAnsi="Arial Narrow" w:cs="Times New Roman"/>
                <w:b/>
                <w:sz w:val="14"/>
                <w:szCs w:val="14"/>
                <w:lang w:eastAsia="it-IT"/>
              </w:rPr>
            </w:pPr>
            <w:r w:rsidRPr="00C212E7">
              <w:rPr>
                <w:rFonts w:ascii="Arial Narrow" w:eastAsia="Times New Roman" w:hAnsi="Arial Narrow" w:cs="Times New Roman"/>
                <w:b/>
                <w:sz w:val="14"/>
                <w:szCs w:val="14"/>
                <w:lang w:eastAsia="it-IT"/>
              </w:rPr>
              <w:t>Slovenia</w:t>
            </w:r>
          </w:p>
        </w:tc>
        <w:tc>
          <w:tcPr>
            <w:tcW w:w="281" w:type="pct"/>
            <w:tcBorders>
              <w:top w:val="single" w:sz="4" w:space="0" w:color="auto"/>
              <w:left w:val="nil"/>
              <w:bottom w:val="nil"/>
              <w:right w:val="nil"/>
            </w:tcBorders>
            <w:shd w:val="clear" w:color="auto" w:fill="D9D9D9" w:themeFill="background1" w:themeFillShade="D9"/>
            <w:vAlign w:val="center"/>
            <w:hideMark/>
          </w:tcPr>
          <w:p w14:paraId="5C79813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1.356</w:t>
            </w:r>
          </w:p>
        </w:tc>
        <w:tc>
          <w:tcPr>
            <w:tcW w:w="337" w:type="pct"/>
            <w:tcBorders>
              <w:top w:val="single" w:sz="4" w:space="0" w:color="auto"/>
              <w:left w:val="nil"/>
              <w:bottom w:val="nil"/>
              <w:right w:val="nil"/>
            </w:tcBorders>
            <w:shd w:val="clear" w:color="000000" w:fill="FFFFFF"/>
            <w:vAlign w:val="center"/>
            <w:hideMark/>
          </w:tcPr>
          <w:p w14:paraId="3C5ECD4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+5,5</w:t>
            </w:r>
          </w:p>
        </w:tc>
        <w:tc>
          <w:tcPr>
            <w:tcW w:w="337" w:type="pct"/>
            <w:tcBorders>
              <w:top w:val="single" w:sz="4" w:space="0" w:color="auto"/>
              <w:left w:val="nil"/>
              <w:bottom w:val="nil"/>
              <w:right w:val="nil"/>
            </w:tcBorders>
            <w:shd w:val="clear" w:color="auto" w:fill="D9D9D9" w:themeFill="background1" w:themeFillShade="D9"/>
            <w:vAlign w:val="center"/>
            <w:hideMark/>
          </w:tcPr>
          <w:p w14:paraId="1BF5323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-3,0</w:t>
            </w:r>
          </w:p>
        </w:tc>
        <w:tc>
          <w:tcPr>
            <w:tcW w:w="337" w:type="pct"/>
            <w:tcBorders>
              <w:top w:val="single" w:sz="4" w:space="0" w:color="auto"/>
              <w:left w:val="nil"/>
              <w:bottom w:val="nil"/>
              <w:right w:val="nil"/>
            </w:tcBorders>
            <w:shd w:val="clear" w:color="000000" w:fill="FFFFFF"/>
            <w:vAlign w:val="center"/>
            <w:hideMark/>
          </w:tcPr>
          <w:p w14:paraId="2895697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+2,4</w:t>
            </w:r>
          </w:p>
        </w:tc>
        <w:tc>
          <w:tcPr>
            <w:tcW w:w="281" w:type="pct"/>
            <w:tcBorders>
              <w:top w:val="single" w:sz="4" w:space="0" w:color="auto"/>
              <w:left w:val="nil"/>
              <w:bottom w:val="nil"/>
              <w:right w:val="nil"/>
            </w:tcBorders>
            <w:shd w:val="clear" w:color="auto" w:fill="D9D9D9" w:themeFill="background1" w:themeFillShade="D9"/>
            <w:vAlign w:val="center"/>
            <w:hideMark/>
          </w:tcPr>
          <w:p w14:paraId="06FCA8A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581</w:t>
            </w:r>
          </w:p>
        </w:tc>
        <w:tc>
          <w:tcPr>
            <w:tcW w:w="337" w:type="pct"/>
            <w:tcBorders>
              <w:top w:val="single" w:sz="4" w:space="0" w:color="auto"/>
              <w:left w:val="nil"/>
              <w:bottom w:val="nil"/>
              <w:right w:val="nil"/>
            </w:tcBorders>
            <w:shd w:val="clear" w:color="000000" w:fill="FFFFFF"/>
            <w:vAlign w:val="center"/>
            <w:hideMark/>
          </w:tcPr>
          <w:p w14:paraId="25DE795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+3,7</w:t>
            </w:r>
          </w:p>
        </w:tc>
        <w:tc>
          <w:tcPr>
            <w:tcW w:w="340" w:type="pct"/>
            <w:tcBorders>
              <w:top w:val="single" w:sz="4" w:space="0" w:color="auto"/>
              <w:left w:val="nil"/>
              <w:bottom w:val="nil"/>
              <w:right w:val="nil"/>
            </w:tcBorders>
            <w:shd w:val="clear" w:color="auto" w:fill="D9D9D9" w:themeFill="background1" w:themeFillShade="D9"/>
            <w:vAlign w:val="center"/>
            <w:hideMark/>
          </w:tcPr>
          <w:p w14:paraId="62E0D4D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+7,3</w:t>
            </w:r>
          </w:p>
        </w:tc>
        <w:tc>
          <w:tcPr>
            <w:tcW w:w="85" w:type="pct"/>
            <w:tcBorders>
              <w:top w:val="nil"/>
              <w:left w:val="nil"/>
              <w:bottom w:val="nil"/>
              <w:right w:val="nil"/>
            </w:tcBorders>
            <w:shd w:val="clear" w:color="000000" w:fill="FFFFFF"/>
            <w:vAlign w:val="center"/>
            <w:hideMark/>
          </w:tcPr>
          <w:p w14:paraId="66513F3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55F2693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1.329</w:t>
            </w:r>
          </w:p>
        </w:tc>
        <w:tc>
          <w:tcPr>
            <w:tcW w:w="337" w:type="pct"/>
            <w:tcBorders>
              <w:top w:val="single" w:sz="4" w:space="0" w:color="auto"/>
              <w:left w:val="nil"/>
              <w:bottom w:val="single" w:sz="4" w:space="0" w:color="auto"/>
              <w:right w:val="nil"/>
            </w:tcBorders>
            <w:shd w:val="clear" w:color="000000" w:fill="FFFFFF"/>
            <w:vAlign w:val="center"/>
            <w:hideMark/>
          </w:tcPr>
          <w:p w14:paraId="4FBBF73E"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-12,0</w:t>
            </w:r>
          </w:p>
        </w:tc>
        <w:tc>
          <w:tcPr>
            <w:tcW w:w="337" w:type="pct"/>
            <w:tcBorders>
              <w:top w:val="single" w:sz="4" w:space="0" w:color="auto"/>
              <w:left w:val="nil"/>
              <w:bottom w:val="nil"/>
              <w:right w:val="nil"/>
            </w:tcBorders>
            <w:shd w:val="clear" w:color="auto" w:fill="D9D9D9" w:themeFill="background1" w:themeFillShade="D9"/>
            <w:vAlign w:val="center"/>
            <w:hideMark/>
          </w:tcPr>
          <w:p w14:paraId="7908D43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+11,4</w:t>
            </w:r>
          </w:p>
        </w:tc>
        <w:tc>
          <w:tcPr>
            <w:tcW w:w="337" w:type="pct"/>
            <w:tcBorders>
              <w:top w:val="single" w:sz="4" w:space="0" w:color="auto"/>
              <w:left w:val="nil"/>
              <w:bottom w:val="nil"/>
              <w:right w:val="nil"/>
            </w:tcBorders>
            <w:shd w:val="clear" w:color="000000" w:fill="FFFFFF"/>
            <w:vAlign w:val="center"/>
            <w:hideMark/>
          </w:tcPr>
          <w:p w14:paraId="62C177B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-2,0</w:t>
            </w:r>
          </w:p>
        </w:tc>
        <w:tc>
          <w:tcPr>
            <w:tcW w:w="281" w:type="pct"/>
            <w:tcBorders>
              <w:top w:val="single" w:sz="4" w:space="0" w:color="auto"/>
              <w:left w:val="nil"/>
              <w:bottom w:val="nil"/>
              <w:right w:val="nil"/>
            </w:tcBorders>
            <w:shd w:val="clear" w:color="auto" w:fill="D9D9D9" w:themeFill="background1" w:themeFillShade="D9"/>
            <w:vAlign w:val="center"/>
            <w:hideMark/>
          </w:tcPr>
          <w:p w14:paraId="331AF44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475</w:t>
            </w:r>
          </w:p>
        </w:tc>
        <w:tc>
          <w:tcPr>
            <w:tcW w:w="337" w:type="pct"/>
            <w:tcBorders>
              <w:top w:val="single" w:sz="4" w:space="0" w:color="auto"/>
              <w:left w:val="nil"/>
              <w:bottom w:val="nil"/>
              <w:right w:val="nil"/>
            </w:tcBorders>
            <w:shd w:val="clear" w:color="000000" w:fill="FFFFFF"/>
            <w:vAlign w:val="center"/>
            <w:hideMark/>
          </w:tcPr>
          <w:p w14:paraId="2C19721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-18,2</w:t>
            </w:r>
          </w:p>
        </w:tc>
        <w:tc>
          <w:tcPr>
            <w:tcW w:w="340" w:type="pct"/>
            <w:tcBorders>
              <w:top w:val="single" w:sz="4" w:space="0" w:color="auto"/>
              <w:left w:val="nil"/>
              <w:bottom w:val="nil"/>
              <w:right w:val="nil"/>
            </w:tcBorders>
            <w:shd w:val="clear" w:color="auto" w:fill="D9D9D9" w:themeFill="background1" w:themeFillShade="D9"/>
            <w:vAlign w:val="center"/>
            <w:hideMark/>
          </w:tcPr>
          <w:p w14:paraId="673A248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-20,2</w:t>
            </w:r>
          </w:p>
        </w:tc>
      </w:tr>
      <w:tr w:rsidR="00A840CE" w:rsidRPr="002914BD" w14:paraId="6412DB99"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3E0A68AF" w14:textId="237EA738" w:rsidR="00A840CE" w:rsidRPr="002914BD" w:rsidRDefault="00C212E7" w:rsidP="00A840CE">
            <w:pPr>
              <w:widowControl/>
              <w:autoSpaceDE/>
              <w:autoSpaceDN/>
              <w:rPr>
                <w:rFonts w:ascii="Arial Narrow" w:eastAsia="Times New Roman" w:hAnsi="Arial Narrow" w:cs="Times New Roman"/>
                <w:b/>
                <w:sz w:val="14"/>
                <w:szCs w:val="14"/>
                <w:lang w:eastAsia="it-IT"/>
              </w:rPr>
            </w:pPr>
            <w:proofErr w:type="spellStart"/>
            <w:r w:rsidRPr="00C212E7">
              <w:rPr>
                <w:rFonts w:ascii="Arial Narrow" w:eastAsia="Times New Roman" w:hAnsi="Arial Narrow" w:cs="Times New Roman"/>
                <w:b/>
                <w:sz w:val="14"/>
                <w:szCs w:val="14"/>
                <w:lang w:eastAsia="it-IT"/>
              </w:rPr>
              <w:t>Slovakia</w:t>
            </w:r>
            <w:proofErr w:type="spellEnd"/>
          </w:p>
        </w:tc>
        <w:tc>
          <w:tcPr>
            <w:tcW w:w="281" w:type="pct"/>
            <w:tcBorders>
              <w:top w:val="single" w:sz="4" w:space="0" w:color="auto"/>
              <w:left w:val="nil"/>
              <w:bottom w:val="nil"/>
              <w:right w:val="nil"/>
            </w:tcBorders>
            <w:shd w:val="clear" w:color="auto" w:fill="D9D9D9" w:themeFill="background1" w:themeFillShade="D9"/>
            <w:vAlign w:val="center"/>
            <w:hideMark/>
          </w:tcPr>
          <w:p w14:paraId="305ED06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2.348</w:t>
            </w:r>
          </w:p>
        </w:tc>
        <w:tc>
          <w:tcPr>
            <w:tcW w:w="337" w:type="pct"/>
            <w:tcBorders>
              <w:top w:val="single" w:sz="4" w:space="0" w:color="auto"/>
              <w:left w:val="nil"/>
              <w:bottom w:val="nil"/>
              <w:right w:val="nil"/>
            </w:tcBorders>
            <w:shd w:val="clear" w:color="000000" w:fill="FFFFFF"/>
            <w:vAlign w:val="center"/>
            <w:hideMark/>
          </w:tcPr>
          <w:p w14:paraId="406DB63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+3,4</w:t>
            </w:r>
          </w:p>
        </w:tc>
        <w:tc>
          <w:tcPr>
            <w:tcW w:w="337" w:type="pct"/>
            <w:tcBorders>
              <w:top w:val="single" w:sz="4" w:space="0" w:color="auto"/>
              <w:left w:val="nil"/>
              <w:bottom w:val="nil"/>
              <w:right w:val="nil"/>
            </w:tcBorders>
            <w:shd w:val="clear" w:color="auto" w:fill="D9D9D9" w:themeFill="background1" w:themeFillShade="D9"/>
            <w:vAlign w:val="center"/>
            <w:hideMark/>
          </w:tcPr>
          <w:p w14:paraId="4BF3472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+0,5</w:t>
            </w:r>
          </w:p>
        </w:tc>
        <w:tc>
          <w:tcPr>
            <w:tcW w:w="337" w:type="pct"/>
            <w:tcBorders>
              <w:top w:val="single" w:sz="4" w:space="0" w:color="auto"/>
              <w:left w:val="nil"/>
              <w:bottom w:val="nil"/>
              <w:right w:val="nil"/>
            </w:tcBorders>
            <w:shd w:val="clear" w:color="000000" w:fill="FFFFFF"/>
            <w:vAlign w:val="center"/>
            <w:hideMark/>
          </w:tcPr>
          <w:p w14:paraId="4EFE46D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+3,8</w:t>
            </w:r>
          </w:p>
        </w:tc>
        <w:tc>
          <w:tcPr>
            <w:tcW w:w="281" w:type="pct"/>
            <w:tcBorders>
              <w:top w:val="single" w:sz="4" w:space="0" w:color="auto"/>
              <w:left w:val="nil"/>
              <w:bottom w:val="nil"/>
              <w:right w:val="nil"/>
            </w:tcBorders>
            <w:shd w:val="clear" w:color="auto" w:fill="D9D9D9" w:themeFill="background1" w:themeFillShade="D9"/>
            <w:vAlign w:val="center"/>
            <w:hideMark/>
          </w:tcPr>
          <w:p w14:paraId="0BF16AFF"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642</w:t>
            </w:r>
          </w:p>
        </w:tc>
        <w:tc>
          <w:tcPr>
            <w:tcW w:w="337" w:type="pct"/>
            <w:tcBorders>
              <w:top w:val="single" w:sz="4" w:space="0" w:color="auto"/>
              <w:left w:val="nil"/>
              <w:bottom w:val="nil"/>
              <w:right w:val="nil"/>
            </w:tcBorders>
            <w:shd w:val="clear" w:color="000000" w:fill="FFFFFF"/>
            <w:vAlign w:val="center"/>
            <w:hideMark/>
          </w:tcPr>
          <w:p w14:paraId="47A282E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+23,2</w:t>
            </w:r>
          </w:p>
        </w:tc>
        <w:tc>
          <w:tcPr>
            <w:tcW w:w="340" w:type="pct"/>
            <w:tcBorders>
              <w:top w:val="single" w:sz="4" w:space="0" w:color="auto"/>
              <w:left w:val="nil"/>
              <w:bottom w:val="nil"/>
              <w:right w:val="nil"/>
            </w:tcBorders>
            <w:shd w:val="clear" w:color="auto" w:fill="D9D9D9" w:themeFill="background1" w:themeFillShade="D9"/>
            <w:vAlign w:val="center"/>
            <w:hideMark/>
          </w:tcPr>
          <w:p w14:paraId="40843EE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+9,5</w:t>
            </w:r>
          </w:p>
        </w:tc>
        <w:tc>
          <w:tcPr>
            <w:tcW w:w="85" w:type="pct"/>
            <w:tcBorders>
              <w:top w:val="nil"/>
              <w:left w:val="nil"/>
              <w:bottom w:val="nil"/>
              <w:right w:val="nil"/>
            </w:tcBorders>
            <w:shd w:val="clear" w:color="000000" w:fill="FFFFFF"/>
            <w:vAlign w:val="center"/>
            <w:hideMark/>
          </w:tcPr>
          <w:p w14:paraId="2C6D976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nil"/>
              <w:right w:val="nil"/>
            </w:tcBorders>
            <w:shd w:val="clear" w:color="auto" w:fill="D9D9D9" w:themeFill="background1" w:themeFillShade="D9"/>
            <w:vAlign w:val="center"/>
            <w:hideMark/>
          </w:tcPr>
          <w:p w14:paraId="03563DD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2.541</w:t>
            </w:r>
          </w:p>
        </w:tc>
        <w:tc>
          <w:tcPr>
            <w:tcW w:w="337" w:type="pct"/>
            <w:tcBorders>
              <w:top w:val="nil"/>
              <w:left w:val="nil"/>
              <w:bottom w:val="single" w:sz="4" w:space="0" w:color="auto"/>
              <w:right w:val="nil"/>
            </w:tcBorders>
            <w:shd w:val="clear" w:color="000000" w:fill="FFFFFF"/>
            <w:vAlign w:val="center"/>
            <w:hideMark/>
          </w:tcPr>
          <w:p w14:paraId="1E8DFD8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+0,3</w:t>
            </w:r>
          </w:p>
        </w:tc>
        <w:tc>
          <w:tcPr>
            <w:tcW w:w="337" w:type="pct"/>
            <w:tcBorders>
              <w:top w:val="single" w:sz="4" w:space="0" w:color="auto"/>
              <w:left w:val="nil"/>
              <w:bottom w:val="nil"/>
              <w:right w:val="nil"/>
            </w:tcBorders>
            <w:shd w:val="clear" w:color="auto" w:fill="D9D9D9" w:themeFill="background1" w:themeFillShade="D9"/>
            <w:vAlign w:val="center"/>
            <w:hideMark/>
          </w:tcPr>
          <w:p w14:paraId="4844CB6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+7,9</w:t>
            </w:r>
          </w:p>
        </w:tc>
        <w:tc>
          <w:tcPr>
            <w:tcW w:w="337" w:type="pct"/>
            <w:tcBorders>
              <w:top w:val="single" w:sz="4" w:space="0" w:color="auto"/>
              <w:left w:val="nil"/>
              <w:bottom w:val="nil"/>
              <w:right w:val="nil"/>
            </w:tcBorders>
            <w:shd w:val="clear" w:color="000000" w:fill="FFFFFF"/>
            <w:vAlign w:val="center"/>
            <w:hideMark/>
          </w:tcPr>
          <w:p w14:paraId="123C560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+8,2</w:t>
            </w:r>
          </w:p>
        </w:tc>
        <w:tc>
          <w:tcPr>
            <w:tcW w:w="281" w:type="pct"/>
            <w:tcBorders>
              <w:top w:val="single" w:sz="4" w:space="0" w:color="auto"/>
              <w:left w:val="nil"/>
              <w:bottom w:val="nil"/>
              <w:right w:val="nil"/>
            </w:tcBorders>
            <w:shd w:val="clear" w:color="auto" w:fill="D9D9D9" w:themeFill="background1" w:themeFillShade="D9"/>
            <w:vAlign w:val="center"/>
            <w:hideMark/>
          </w:tcPr>
          <w:p w14:paraId="2FBD576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734</w:t>
            </w:r>
          </w:p>
        </w:tc>
        <w:tc>
          <w:tcPr>
            <w:tcW w:w="337" w:type="pct"/>
            <w:tcBorders>
              <w:top w:val="single" w:sz="4" w:space="0" w:color="auto"/>
              <w:left w:val="nil"/>
              <w:bottom w:val="nil"/>
              <w:right w:val="nil"/>
            </w:tcBorders>
            <w:shd w:val="clear" w:color="000000" w:fill="FFFFFF"/>
            <w:vAlign w:val="center"/>
            <w:hideMark/>
          </w:tcPr>
          <w:p w14:paraId="0DCF1D3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+14,4</w:t>
            </w:r>
          </w:p>
        </w:tc>
        <w:tc>
          <w:tcPr>
            <w:tcW w:w="340" w:type="pct"/>
            <w:tcBorders>
              <w:top w:val="single" w:sz="4" w:space="0" w:color="auto"/>
              <w:left w:val="nil"/>
              <w:bottom w:val="nil"/>
              <w:right w:val="nil"/>
            </w:tcBorders>
            <w:shd w:val="clear" w:color="auto" w:fill="D9D9D9" w:themeFill="background1" w:themeFillShade="D9"/>
            <w:vAlign w:val="center"/>
            <w:hideMark/>
          </w:tcPr>
          <w:p w14:paraId="5DA0275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+3,8</w:t>
            </w:r>
          </w:p>
        </w:tc>
      </w:tr>
      <w:tr w:rsidR="00A840CE" w:rsidRPr="002914BD" w14:paraId="68E34123"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427F5AFE" w14:textId="708FCB8A" w:rsidR="00A840CE" w:rsidRPr="002914BD" w:rsidRDefault="00C212E7" w:rsidP="00A840CE">
            <w:pPr>
              <w:widowControl/>
              <w:autoSpaceDE/>
              <w:autoSpaceDN/>
              <w:rPr>
                <w:rFonts w:ascii="Arial Narrow" w:eastAsia="Times New Roman" w:hAnsi="Arial Narrow" w:cs="Times New Roman"/>
                <w:b/>
                <w:sz w:val="14"/>
                <w:szCs w:val="14"/>
                <w:lang w:eastAsia="it-IT"/>
              </w:rPr>
            </w:pPr>
            <w:proofErr w:type="spellStart"/>
            <w:r w:rsidRPr="00C212E7">
              <w:rPr>
                <w:rFonts w:ascii="Arial Narrow" w:eastAsia="Times New Roman" w:hAnsi="Arial Narrow" w:cs="Times New Roman"/>
                <w:b/>
                <w:sz w:val="14"/>
                <w:szCs w:val="14"/>
                <w:lang w:eastAsia="it-IT"/>
              </w:rPr>
              <w:t>Finland</w:t>
            </w:r>
            <w:proofErr w:type="spellEnd"/>
          </w:p>
        </w:tc>
        <w:tc>
          <w:tcPr>
            <w:tcW w:w="281" w:type="pct"/>
            <w:tcBorders>
              <w:top w:val="single" w:sz="4" w:space="0" w:color="auto"/>
              <w:left w:val="nil"/>
              <w:bottom w:val="nil"/>
              <w:right w:val="nil"/>
            </w:tcBorders>
            <w:shd w:val="clear" w:color="auto" w:fill="D9D9D9" w:themeFill="background1" w:themeFillShade="D9"/>
            <w:vAlign w:val="center"/>
            <w:hideMark/>
          </w:tcPr>
          <w:p w14:paraId="2AD2970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4.537</w:t>
            </w:r>
          </w:p>
        </w:tc>
        <w:tc>
          <w:tcPr>
            <w:tcW w:w="337" w:type="pct"/>
            <w:tcBorders>
              <w:top w:val="single" w:sz="4" w:space="0" w:color="auto"/>
              <w:left w:val="nil"/>
              <w:bottom w:val="nil"/>
              <w:right w:val="nil"/>
            </w:tcBorders>
            <w:shd w:val="clear" w:color="000000" w:fill="FFFFFF"/>
            <w:vAlign w:val="center"/>
            <w:hideMark/>
          </w:tcPr>
          <w:p w14:paraId="6BF85F00"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-1,6</w:t>
            </w:r>
          </w:p>
        </w:tc>
        <w:tc>
          <w:tcPr>
            <w:tcW w:w="337" w:type="pct"/>
            <w:tcBorders>
              <w:top w:val="single" w:sz="4" w:space="0" w:color="auto"/>
              <w:left w:val="nil"/>
              <w:bottom w:val="nil"/>
              <w:right w:val="nil"/>
            </w:tcBorders>
            <w:shd w:val="clear" w:color="auto" w:fill="D9D9D9" w:themeFill="background1" w:themeFillShade="D9"/>
            <w:vAlign w:val="center"/>
            <w:hideMark/>
          </w:tcPr>
          <w:p w14:paraId="3261681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-3,3</w:t>
            </w:r>
          </w:p>
        </w:tc>
        <w:tc>
          <w:tcPr>
            <w:tcW w:w="337" w:type="pct"/>
            <w:tcBorders>
              <w:top w:val="single" w:sz="4" w:space="0" w:color="auto"/>
              <w:left w:val="nil"/>
              <w:bottom w:val="nil"/>
              <w:right w:val="nil"/>
            </w:tcBorders>
            <w:shd w:val="clear" w:color="000000" w:fill="FFFFFF"/>
            <w:vAlign w:val="center"/>
            <w:hideMark/>
          </w:tcPr>
          <w:p w14:paraId="5DE2A274"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-4,9</w:t>
            </w:r>
          </w:p>
        </w:tc>
        <w:tc>
          <w:tcPr>
            <w:tcW w:w="281" w:type="pct"/>
            <w:tcBorders>
              <w:top w:val="single" w:sz="4" w:space="0" w:color="auto"/>
              <w:left w:val="nil"/>
              <w:bottom w:val="nil"/>
              <w:right w:val="nil"/>
            </w:tcBorders>
            <w:shd w:val="clear" w:color="auto" w:fill="D9D9D9" w:themeFill="background1" w:themeFillShade="D9"/>
            <w:vAlign w:val="center"/>
            <w:hideMark/>
          </w:tcPr>
          <w:p w14:paraId="5A7F1827"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1.269</w:t>
            </w:r>
          </w:p>
        </w:tc>
        <w:tc>
          <w:tcPr>
            <w:tcW w:w="337" w:type="pct"/>
            <w:tcBorders>
              <w:top w:val="single" w:sz="4" w:space="0" w:color="auto"/>
              <w:left w:val="nil"/>
              <w:bottom w:val="nil"/>
              <w:right w:val="nil"/>
            </w:tcBorders>
            <w:shd w:val="clear" w:color="000000" w:fill="FFFFFF"/>
            <w:vAlign w:val="center"/>
            <w:hideMark/>
          </w:tcPr>
          <w:p w14:paraId="58CE6C1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-6,9</w:t>
            </w:r>
          </w:p>
        </w:tc>
        <w:tc>
          <w:tcPr>
            <w:tcW w:w="340" w:type="pct"/>
            <w:tcBorders>
              <w:top w:val="single" w:sz="4" w:space="0" w:color="auto"/>
              <w:left w:val="nil"/>
              <w:bottom w:val="nil"/>
              <w:right w:val="nil"/>
            </w:tcBorders>
            <w:shd w:val="clear" w:color="auto" w:fill="D9D9D9" w:themeFill="background1" w:themeFillShade="D9"/>
            <w:vAlign w:val="center"/>
            <w:hideMark/>
          </w:tcPr>
          <w:p w14:paraId="02161CC8"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-6,1</w:t>
            </w:r>
          </w:p>
        </w:tc>
        <w:tc>
          <w:tcPr>
            <w:tcW w:w="85" w:type="pct"/>
            <w:tcBorders>
              <w:top w:val="nil"/>
              <w:left w:val="nil"/>
              <w:bottom w:val="nil"/>
              <w:right w:val="nil"/>
            </w:tcBorders>
            <w:shd w:val="clear" w:color="000000" w:fill="FFFFFF"/>
            <w:vAlign w:val="center"/>
            <w:hideMark/>
          </w:tcPr>
          <w:p w14:paraId="255AD76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single" w:sz="4" w:space="0" w:color="auto"/>
              <w:right w:val="nil"/>
            </w:tcBorders>
            <w:shd w:val="clear" w:color="auto" w:fill="D9D9D9" w:themeFill="background1" w:themeFillShade="D9"/>
            <w:vAlign w:val="center"/>
            <w:hideMark/>
          </w:tcPr>
          <w:p w14:paraId="2905A35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4.460</w:t>
            </w:r>
          </w:p>
        </w:tc>
        <w:tc>
          <w:tcPr>
            <w:tcW w:w="337" w:type="pct"/>
            <w:tcBorders>
              <w:top w:val="nil"/>
              <w:left w:val="nil"/>
              <w:bottom w:val="single" w:sz="4" w:space="0" w:color="auto"/>
              <w:right w:val="nil"/>
            </w:tcBorders>
            <w:shd w:val="clear" w:color="000000" w:fill="FFFFFF"/>
            <w:vAlign w:val="center"/>
            <w:hideMark/>
          </w:tcPr>
          <w:p w14:paraId="58574DA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-6,2</w:t>
            </w:r>
          </w:p>
        </w:tc>
        <w:tc>
          <w:tcPr>
            <w:tcW w:w="337" w:type="pct"/>
            <w:tcBorders>
              <w:top w:val="single" w:sz="4" w:space="0" w:color="auto"/>
              <w:left w:val="nil"/>
              <w:bottom w:val="single" w:sz="4" w:space="0" w:color="auto"/>
              <w:right w:val="nil"/>
            </w:tcBorders>
            <w:shd w:val="clear" w:color="auto" w:fill="D9D9D9" w:themeFill="background1" w:themeFillShade="D9"/>
            <w:vAlign w:val="center"/>
            <w:hideMark/>
          </w:tcPr>
          <w:p w14:paraId="284B5A8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+4,8</w:t>
            </w:r>
          </w:p>
        </w:tc>
        <w:tc>
          <w:tcPr>
            <w:tcW w:w="337" w:type="pct"/>
            <w:tcBorders>
              <w:top w:val="single" w:sz="4" w:space="0" w:color="auto"/>
              <w:left w:val="nil"/>
              <w:bottom w:val="single" w:sz="4" w:space="0" w:color="auto"/>
              <w:right w:val="nil"/>
            </w:tcBorders>
            <w:shd w:val="clear" w:color="000000" w:fill="FFFFFF"/>
            <w:vAlign w:val="center"/>
            <w:hideMark/>
          </w:tcPr>
          <w:p w14:paraId="6DDD033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w:t>
            </w:r>
          </w:p>
        </w:tc>
        <w:tc>
          <w:tcPr>
            <w:tcW w:w="281" w:type="pct"/>
            <w:tcBorders>
              <w:top w:val="single" w:sz="4" w:space="0" w:color="auto"/>
              <w:left w:val="nil"/>
              <w:bottom w:val="single" w:sz="4" w:space="0" w:color="auto"/>
              <w:right w:val="nil"/>
            </w:tcBorders>
            <w:shd w:val="clear" w:color="auto" w:fill="D9D9D9" w:themeFill="background1" w:themeFillShade="D9"/>
            <w:vAlign w:val="center"/>
            <w:hideMark/>
          </w:tcPr>
          <w:p w14:paraId="52D095AA"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1.075</w:t>
            </w:r>
          </w:p>
        </w:tc>
        <w:tc>
          <w:tcPr>
            <w:tcW w:w="337" w:type="pct"/>
            <w:tcBorders>
              <w:top w:val="single" w:sz="4" w:space="0" w:color="auto"/>
              <w:left w:val="nil"/>
              <w:bottom w:val="single" w:sz="4" w:space="0" w:color="auto"/>
              <w:right w:val="nil"/>
            </w:tcBorders>
            <w:shd w:val="clear" w:color="000000" w:fill="FFFFFF"/>
            <w:vAlign w:val="center"/>
            <w:hideMark/>
          </w:tcPr>
          <w:p w14:paraId="270A886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-15,3</w:t>
            </w:r>
          </w:p>
        </w:tc>
        <w:tc>
          <w:tcPr>
            <w:tcW w:w="340" w:type="pct"/>
            <w:tcBorders>
              <w:top w:val="single" w:sz="4" w:space="0" w:color="auto"/>
              <w:left w:val="nil"/>
              <w:bottom w:val="single" w:sz="4" w:space="0" w:color="auto"/>
              <w:right w:val="nil"/>
            </w:tcBorders>
            <w:shd w:val="clear" w:color="auto" w:fill="D9D9D9" w:themeFill="background1" w:themeFillShade="D9"/>
            <w:vAlign w:val="center"/>
            <w:hideMark/>
          </w:tcPr>
          <w:p w14:paraId="5A1EC11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-13,7</w:t>
            </w:r>
          </w:p>
        </w:tc>
      </w:tr>
      <w:tr w:rsidR="00A840CE" w:rsidRPr="002914BD" w14:paraId="79419ECC" w14:textId="77777777" w:rsidTr="00DD51CA">
        <w:trPr>
          <w:trHeight w:val="227"/>
        </w:trPr>
        <w:tc>
          <w:tcPr>
            <w:tcW w:w="413" w:type="pct"/>
            <w:tcBorders>
              <w:top w:val="nil"/>
              <w:left w:val="nil"/>
              <w:bottom w:val="single" w:sz="4" w:space="0" w:color="auto"/>
              <w:right w:val="nil"/>
            </w:tcBorders>
            <w:shd w:val="clear" w:color="000000" w:fill="FFFFFF"/>
            <w:vAlign w:val="center"/>
            <w:hideMark/>
          </w:tcPr>
          <w:p w14:paraId="7146C01E" w14:textId="4C6EAD90" w:rsidR="00A840CE" w:rsidRPr="002914BD" w:rsidRDefault="00C212E7" w:rsidP="00A840CE">
            <w:pPr>
              <w:widowControl/>
              <w:autoSpaceDE/>
              <w:autoSpaceDN/>
              <w:rPr>
                <w:rFonts w:ascii="Arial Narrow" w:eastAsia="Times New Roman" w:hAnsi="Arial Narrow" w:cs="Times New Roman"/>
                <w:b/>
                <w:sz w:val="14"/>
                <w:szCs w:val="14"/>
                <w:lang w:eastAsia="it-IT"/>
              </w:rPr>
            </w:pPr>
            <w:proofErr w:type="spellStart"/>
            <w:r w:rsidRPr="00C212E7">
              <w:rPr>
                <w:rFonts w:ascii="Arial Narrow" w:eastAsia="Times New Roman" w:hAnsi="Arial Narrow" w:cs="Times New Roman"/>
                <w:b/>
                <w:sz w:val="14"/>
                <w:szCs w:val="14"/>
                <w:lang w:eastAsia="it-IT"/>
              </w:rPr>
              <w:t>Sweden</w:t>
            </w:r>
            <w:proofErr w:type="spellEnd"/>
          </w:p>
        </w:tc>
        <w:tc>
          <w:tcPr>
            <w:tcW w:w="281" w:type="pct"/>
            <w:tcBorders>
              <w:top w:val="single" w:sz="4" w:space="0" w:color="auto"/>
              <w:left w:val="nil"/>
              <w:bottom w:val="single" w:sz="4" w:space="0" w:color="auto"/>
              <w:right w:val="nil"/>
            </w:tcBorders>
            <w:shd w:val="clear" w:color="auto" w:fill="D9D9D9" w:themeFill="background1" w:themeFillShade="D9"/>
            <w:vAlign w:val="center"/>
            <w:hideMark/>
          </w:tcPr>
          <w:p w14:paraId="4245280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6.172</w:t>
            </w:r>
          </w:p>
        </w:tc>
        <w:tc>
          <w:tcPr>
            <w:tcW w:w="337" w:type="pct"/>
            <w:tcBorders>
              <w:top w:val="single" w:sz="4" w:space="0" w:color="auto"/>
              <w:left w:val="nil"/>
              <w:bottom w:val="single" w:sz="4" w:space="0" w:color="auto"/>
              <w:right w:val="nil"/>
            </w:tcBorders>
            <w:shd w:val="clear" w:color="000000" w:fill="FFFFFF"/>
            <w:vAlign w:val="center"/>
            <w:hideMark/>
          </w:tcPr>
          <w:p w14:paraId="721D420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-1,5</w:t>
            </w:r>
          </w:p>
        </w:tc>
        <w:tc>
          <w:tcPr>
            <w:tcW w:w="337" w:type="pct"/>
            <w:tcBorders>
              <w:top w:val="single" w:sz="4" w:space="0" w:color="auto"/>
              <w:left w:val="nil"/>
              <w:bottom w:val="single" w:sz="4" w:space="0" w:color="auto"/>
              <w:right w:val="nil"/>
            </w:tcBorders>
            <w:shd w:val="clear" w:color="auto" w:fill="D9D9D9" w:themeFill="background1" w:themeFillShade="D9"/>
            <w:vAlign w:val="center"/>
            <w:hideMark/>
          </w:tcPr>
          <w:p w14:paraId="677AC3D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-11,3</w:t>
            </w:r>
          </w:p>
        </w:tc>
        <w:tc>
          <w:tcPr>
            <w:tcW w:w="337" w:type="pct"/>
            <w:tcBorders>
              <w:top w:val="single" w:sz="4" w:space="0" w:color="auto"/>
              <w:left w:val="nil"/>
              <w:bottom w:val="single" w:sz="4" w:space="0" w:color="auto"/>
              <w:right w:val="nil"/>
            </w:tcBorders>
            <w:shd w:val="clear" w:color="000000" w:fill="FFFFFF"/>
            <w:vAlign w:val="center"/>
            <w:hideMark/>
          </w:tcPr>
          <w:p w14:paraId="6BB7B2B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+0,9</w:t>
            </w:r>
          </w:p>
        </w:tc>
        <w:tc>
          <w:tcPr>
            <w:tcW w:w="281" w:type="pct"/>
            <w:tcBorders>
              <w:top w:val="single" w:sz="4" w:space="0" w:color="auto"/>
              <w:left w:val="nil"/>
              <w:bottom w:val="single" w:sz="4" w:space="0" w:color="auto"/>
              <w:right w:val="nil"/>
            </w:tcBorders>
            <w:shd w:val="clear" w:color="auto" w:fill="D9D9D9" w:themeFill="background1" w:themeFillShade="D9"/>
            <w:vAlign w:val="center"/>
            <w:hideMark/>
          </w:tcPr>
          <w:p w14:paraId="014F3B39"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1.747</w:t>
            </w:r>
          </w:p>
        </w:tc>
        <w:tc>
          <w:tcPr>
            <w:tcW w:w="337" w:type="pct"/>
            <w:tcBorders>
              <w:top w:val="single" w:sz="4" w:space="0" w:color="auto"/>
              <w:left w:val="nil"/>
              <w:bottom w:val="single" w:sz="4" w:space="0" w:color="auto"/>
              <w:right w:val="nil"/>
            </w:tcBorders>
            <w:shd w:val="clear" w:color="000000" w:fill="FFFFFF"/>
            <w:vAlign w:val="center"/>
            <w:hideMark/>
          </w:tcPr>
          <w:p w14:paraId="579FA431"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+10,0</w:t>
            </w:r>
          </w:p>
        </w:tc>
        <w:tc>
          <w:tcPr>
            <w:tcW w:w="340" w:type="pct"/>
            <w:tcBorders>
              <w:top w:val="single" w:sz="4" w:space="0" w:color="auto"/>
              <w:left w:val="nil"/>
              <w:bottom w:val="single" w:sz="4" w:space="0" w:color="auto"/>
              <w:right w:val="nil"/>
            </w:tcBorders>
            <w:shd w:val="clear" w:color="auto" w:fill="D9D9D9" w:themeFill="background1" w:themeFillShade="D9"/>
            <w:vAlign w:val="center"/>
            <w:hideMark/>
          </w:tcPr>
          <w:p w14:paraId="226AC54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-2,0</w:t>
            </w:r>
          </w:p>
        </w:tc>
        <w:tc>
          <w:tcPr>
            <w:tcW w:w="85" w:type="pct"/>
            <w:tcBorders>
              <w:top w:val="nil"/>
              <w:left w:val="nil"/>
              <w:bottom w:val="nil"/>
              <w:right w:val="nil"/>
            </w:tcBorders>
            <w:shd w:val="clear" w:color="000000" w:fill="FFFFFF"/>
            <w:vAlign w:val="center"/>
            <w:hideMark/>
          </w:tcPr>
          <w:p w14:paraId="751EA25C"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 </w:t>
            </w:r>
          </w:p>
        </w:tc>
        <w:tc>
          <w:tcPr>
            <w:tcW w:w="281" w:type="pct"/>
            <w:tcBorders>
              <w:top w:val="single" w:sz="4" w:space="0" w:color="auto"/>
              <w:left w:val="nil"/>
              <w:bottom w:val="single" w:sz="4" w:space="0" w:color="auto"/>
              <w:right w:val="nil"/>
            </w:tcBorders>
            <w:shd w:val="clear" w:color="auto" w:fill="D9D9D9" w:themeFill="background1" w:themeFillShade="D9"/>
            <w:vAlign w:val="center"/>
            <w:hideMark/>
          </w:tcPr>
          <w:p w14:paraId="3347896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6.709</w:t>
            </w:r>
          </w:p>
        </w:tc>
        <w:tc>
          <w:tcPr>
            <w:tcW w:w="337" w:type="pct"/>
            <w:tcBorders>
              <w:top w:val="single" w:sz="4" w:space="0" w:color="auto"/>
              <w:left w:val="nil"/>
              <w:bottom w:val="single" w:sz="4" w:space="0" w:color="auto"/>
              <w:right w:val="nil"/>
            </w:tcBorders>
            <w:shd w:val="clear" w:color="000000" w:fill="FFFFFF"/>
            <w:vAlign w:val="center"/>
            <w:hideMark/>
          </w:tcPr>
          <w:p w14:paraId="5A6EF022"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-4,0</w:t>
            </w:r>
          </w:p>
        </w:tc>
        <w:tc>
          <w:tcPr>
            <w:tcW w:w="337" w:type="pct"/>
            <w:tcBorders>
              <w:top w:val="single" w:sz="4" w:space="0" w:color="auto"/>
              <w:left w:val="nil"/>
              <w:bottom w:val="single" w:sz="4" w:space="0" w:color="auto"/>
              <w:right w:val="nil"/>
            </w:tcBorders>
            <w:shd w:val="clear" w:color="auto" w:fill="D9D9D9" w:themeFill="background1" w:themeFillShade="D9"/>
            <w:vAlign w:val="center"/>
            <w:hideMark/>
          </w:tcPr>
          <w:p w14:paraId="6CFF3FA3"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+9,5</w:t>
            </w:r>
          </w:p>
        </w:tc>
        <w:tc>
          <w:tcPr>
            <w:tcW w:w="337" w:type="pct"/>
            <w:tcBorders>
              <w:top w:val="single" w:sz="4" w:space="0" w:color="auto"/>
              <w:left w:val="nil"/>
              <w:bottom w:val="single" w:sz="4" w:space="0" w:color="auto"/>
              <w:right w:val="nil"/>
            </w:tcBorders>
            <w:shd w:val="clear" w:color="000000" w:fill="FFFFFF"/>
            <w:vAlign w:val="center"/>
            <w:hideMark/>
          </w:tcPr>
          <w:p w14:paraId="173930A6"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+5,2</w:t>
            </w:r>
          </w:p>
        </w:tc>
        <w:tc>
          <w:tcPr>
            <w:tcW w:w="281" w:type="pct"/>
            <w:tcBorders>
              <w:top w:val="single" w:sz="4" w:space="0" w:color="auto"/>
              <w:left w:val="nil"/>
              <w:bottom w:val="single" w:sz="4" w:space="0" w:color="auto"/>
              <w:right w:val="nil"/>
            </w:tcBorders>
            <w:shd w:val="clear" w:color="auto" w:fill="D9D9D9" w:themeFill="background1" w:themeFillShade="D9"/>
            <w:vAlign w:val="center"/>
            <w:hideMark/>
          </w:tcPr>
          <w:p w14:paraId="080C2175"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1.838</w:t>
            </w:r>
          </w:p>
        </w:tc>
        <w:tc>
          <w:tcPr>
            <w:tcW w:w="337" w:type="pct"/>
            <w:tcBorders>
              <w:top w:val="single" w:sz="4" w:space="0" w:color="auto"/>
              <w:left w:val="nil"/>
              <w:bottom w:val="single" w:sz="4" w:space="0" w:color="auto"/>
              <w:right w:val="nil"/>
            </w:tcBorders>
            <w:shd w:val="clear" w:color="000000" w:fill="FFFFFF"/>
            <w:vAlign w:val="center"/>
            <w:hideMark/>
          </w:tcPr>
          <w:p w14:paraId="546C2E1D"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+5,2</w:t>
            </w:r>
          </w:p>
        </w:tc>
        <w:tc>
          <w:tcPr>
            <w:tcW w:w="340" w:type="pct"/>
            <w:tcBorders>
              <w:top w:val="single" w:sz="4" w:space="0" w:color="auto"/>
              <w:left w:val="nil"/>
              <w:bottom w:val="single" w:sz="4" w:space="0" w:color="auto"/>
              <w:right w:val="nil"/>
            </w:tcBorders>
            <w:shd w:val="clear" w:color="auto" w:fill="D9D9D9" w:themeFill="background1" w:themeFillShade="D9"/>
            <w:vAlign w:val="center"/>
            <w:hideMark/>
          </w:tcPr>
          <w:p w14:paraId="5531F99B" w14:textId="77777777" w:rsidR="00A840CE" w:rsidRPr="002914BD" w:rsidRDefault="00A840CE" w:rsidP="00A840CE">
            <w:pPr>
              <w:widowControl/>
              <w:autoSpaceDE/>
              <w:autoSpaceDN/>
              <w:jc w:val="right"/>
              <w:rPr>
                <w:rFonts w:ascii="Arial Narrow" w:eastAsia="Times New Roman" w:hAnsi="Arial Narrow" w:cs="Times New Roman"/>
                <w:sz w:val="14"/>
                <w:szCs w:val="14"/>
                <w:lang w:eastAsia="it-IT"/>
              </w:rPr>
            </w:pPr>
            <w:r w:rsidRPr="002914BD">
              <w:rPr>
                <w:rFonts w:ascii="Arial Narrow" w:eastAsia="Times New Roman" w:hAnsi="Arial Narrow" w:cs="Times New Roman"/>
                <w:sz w:val="14"/>
                <w:szCs w:val="14"/>
                <w:lang w:eastAsia="it-IT"/>
              </w:rPr>
              <w:t>-0,1</w:t>
            </w:r>
          </w:p>
        </w:tc>
      </w:tr>
    </w:tbl>
    <w:p w14:paraId="2B47371E" w14:textId="15F90A42" w:rsidR="005107D2" w:rsidRDefault="005107D2" w:rsidP="00655083">
      <w:pPr>
        <w:spacing w:before="99"/>
        <w:ind w:right="-36"/>
        <w:jc w:val="both"/>
        <w:outlineLvl w:val="1"/>
        <w:rPr>
          <w:spacing w:val="14"/>
          <w:w w:val="80"/>
          <w:sz w:val="21"/>
          <w:szCs w:val="21"/>
        </w:rPr>
      </w:pPr>
    </w:p>
    <w:p w14:paraId="5B2E5923" w14:textId="53F7A2EE" w:rsidR="00906FA0" w:rsidRPr="003163D0" w:rsidRDefault="00C97FE8" w:rsidP="007B79FB">
      <w:pPr>
        <w:spacing w:before="99"/>
        <w:ind w:right="-36"/>
        <w:jc w:val="both"/>
        <w:outlineLvl w:val="1"/>
        <w:rPr>
          <w:rFonts w:ascii="Arial Narrow" w:hAnsi="Arial Narrow" w:cs="Arial"/>
          <w:iCs/>
          <w:noProof/>
          <w:color w:val="595959" w:themeColor="text1" w:themeTint="A6"/>
          <w:lang w:val="en-US"/>
        </w:rPr>
      </w:pPr>
      <w:r w:rsidRPr="003163D0">
        <w:rPr>
          <w:rFonts w:ascii="Arial Narrow" w:hAnsi="Arial Narrow" w:cs="Arial"/>
          <w:b/>
          <w:iCs/>
          <w:noProof/>
          <w:color w:val="595959" w:themeColor="text1" w:themeTint="A6"/>
          <w:lang w:val="en-US"/>
        </w:rPr>
        <w:t>FIGURE</w:t>
      </w:r>
      <w:r w:rsidR="00CD655E" w:rsidRPr="003163D0">
        <w:rPr>
          <w:rFonts w:ascii="Arial Narrow" w:hAnsi="Arial Narrow" w:cs="Arial"/>
          <w:b/>
          <w:iCs/>
          <w:noProof/>
          <w:color w:val="595959" w:themeColor="text1" w:themeTint="A6"/>
          <w:lang w:val="en-US"/>
        </w:rPr>
        <w:t xml:space="preserve"> </w:t>
      </w:r>
      <w:r w:rsidR="00AA5A13" w:rsidRPr="003163D0">
        <w:rPr>
          <w:rFonts w:ascii="Arial Narrow" w:hAnsi="Arial Narrow" w:cs="Arial"/>
          <w:b/>
          <w:iCs/>
          <w:noProof/>
          <w:color w:val="595959" w:themeColor="text1" w:themeTint="A6"/>
          <w:lang w:val="en-US"/>
        </w:rPr>
        <w:t>1</w:t>
      </w:r>
      <w:r w:rsidR="00262F04" w:rsidRPr="003163D0">
        <w:rPr>
          <w:rFonts w:ascii="Arial Narrow" w:hAnsi="Arial Narrow" w:cs="Arial"/>
          <w:b/>
          <w:iCs/>
          <w:noProof/>
          <w:color w:val="595959" w:themeColor="text1" w:themeTint="A6"/>
          <w:lang w:val="en-US"/>
        </w:rPr>
        <w:t>3</w:t>
      </w:r>
      <w:r w:rsidR="00DD51CA" w:rsidRPr="003163D0">
        <w:rPr>
          <w:rFonts w:ascii="Arial Narrow" w:hAnsi="Arial Narrow" w:cs="Arial"/>
          <w:b/>
          <w:iCs/>
          <w:noProof/>
          <w:color w:val="595959" w:themeColor="text1" w:themeTint="A6"/>
          <w:lang w:val="en-US"/>
        </w:rPr>
        <w:t xml:space="preserve">. </w:t>
      </w:r>
      <w:r w:rsidR="003163D0" w:rsidRPr="003163D0">
        <w:rPr>
          <w:rFonts w:ascii="Arial Narrow" w:hAnsi="Arial Narrow" w:cs="Arial"/>
          <w:b/>
          <w:iCs/>
          <w:noProof/>
          <w:color w:val="595959" w:themeColor="text1" w:themeTint="A6"/>
          <w:lang w:val="en-US"/>
        </w:rPr>
        <w:t>PRODUCTION AND VALUE ADDED OF EU27 AGRICULTURE, CLASSIFICATION OF THE MAIN MEMBER STATES</w:t>
      </w:r>
      <w:r w:rsidR="00906FA0" w:rsidRPr="003163D0">
        <w:rPr>
          <w:rFonts w:ascii="Arial Narrow" w:hAnsi="Arial Narrow" w:cs="Arial"/>
          <w:iCs/>
          <w:noProof/>
          <w:color w:val="595959" w:themeColor="text1" w:themeTint="A6"/>
          <w:lang w:val="en-US"/>
        </w:rPr>
        <w:t xml:space="preserve">. </w:t>
      </w:r>
      <w:r w:rsidR="003163D0" w:rsidRPr="003163D0">
        <w:rPr>
          <w:rFonts w:ascii="Arial Narrow" w:hAnsi="Arial Narrow" w:cs="Arial"/>
          <w:iCs/>
          <w:noProof/>
          <w:color w:val="595959" w:themeColor="text1" w:themeTint="A6"/>
          <w:lang w:val="en-US"/>
        </w:rPr>
        <w:t>Year 2021. current values in millions of euros</w:t>
      </w:r>
    </w:p>
    <w:p w14:paraId="29774016" w14:textId="10EDC08A" w:rsidR="00DD51CA" w:rsidRDefault="003E3FE2" w:rsidP="00DD51CA">
      <w:pPr>
        <w:spacing w:before="99"/>
        <w:ind w:right="-36"/>
        <w:jc w:val="both"/>
        <w:outlineLvl w:val="1"/>
        <w:rPr>
          <w:spacing w:val="14"/>
          <w:w w:val="80"/>
          <w:sz w:val="21"/>
          <w:szCs w:val="21"/>
        </w:rPr>
      </w:pPr>
      <w:r>
        <w:rPr>
          <w:noProof/>
          <w:lang w:eastAsia="it-IT"/>
        </w:rPr>
        <w:drawing>
          <wp:inline distT="0" distB="0" distL="0" distR="0" wp14:anchorId="0C00371E" wp14:editId="5CA2E498">
            <wp:extent cx="6120000" cy="2160000"/>
            <wp:effectExtent l="0" t="0" r="14605" b="12065"/>
            <wp:docPr id="29"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E3C8EF" w14:textId="34F20C44" w:rsidR="00E43AA5" w:rsidRDefault="00E43AA5" w:rsidP="00DD51CA">
      <w:pPr>
        <w:spacing w:before="99"/>
        <w:ind w:right="-36"/>
        <w:jc w:val="both"/>
        <w:outlineLvl w:val="1"/>
        <w:rPr>
          <w:spacing w:val="14"/>
          <w:w w:val="80"/>
          <w:sz w:val="21"/>
          <w:szCs w:val="21"/>
        </w:rPr>
      </w:pPr>
      <w:r>
        <w:rPr>
          <w:spacing w:val="14"/>
          <w:w w:val="80"/>
          <w:sz w:val="21"/>
          <w:szCs w:val="21"/>
        </w:rPr>
        <w:br w:type="page"/>
      </w:r>
    </w:p>
    <w:p w14:paraId="6780839A" w14:textId="77777777" w:rsidR="00F75E5D" w:rsidRDefault="00F75E5D" w:rsidP="00B6542E">
      <w:pPr>
        <w:spacing w:after="120"/>
        <w:ind w:right="-34"/>
        <w:jc w:val="both"/>
        <w:outlineLvl w:val="1"/>
        <w:rPr>
          <w:rFonts w:ascii="Arial Narrow" w:hAnsi="Arial Narrow" w:cs="Arial"/>
          <w:b/>
          <w:iCs/>
          <w:noProof/>
          <w:color w:val="595959" w:themeColor="text1" w:themeTint="A6"/>
        </w:rPr>
      </w:pPr>
    </w:p>
    <w:p w14:paraId="24B99683" w14:textId="2A051C9A" w:rsidR="00262F04" w:rsidRPr="003E3FE2" w:rsidRDefault="003E3FE2" w:rsidP="00B6542E">
      <w:pPr>
        <w:spacing w:after="120"/>
        <w:ind w:right="-34"/>
        <w:jc w:val="both"/>
        <w:outlineLvl w:val="1"/>
        <w:rPr>
          <w:rFonts w:ascii="Arial Narrow" w:hAnsi="Arial Narrow" w:cs="Arial"/>
          <w:iCs/>
          <w:noProof/>
          <w:color w:val="595959" w:themeColor="text1" w:themeTint="A6"/>
          <w:lang w:val="en-US"/>
        </w:rPr>
      </w:pPr>
      <w:r w:rsidRPr="003E3FE2">
        <w:rPr>
          <w:rFonts w:ascii="Arial Narrow" w:hAnsi="Arial Narrow" w:cs="Arial"/>
          <w:b/>
          <w:iCs/>
          <w:noProof/>
          <w:color w:val="595959" w:themeColor="text1" w:themeTint="A6"/>
          <w:lang w:val="en-US"/>
        </w:rPr>
        <w:t>FIGURE</w:t>
      </w:r>
      <w:r w:rsidR="00262F04" w:rsidRPr="003E3FE2">
        <w:rPr>
          <w:rFonts w:ascii="Arial Narrow" w:hAnsi="Arial Narrow" w:cs="Arial"/>
          <w:b/>
          <w:iCs/>
          <w:noProof/>
          <w:color w:val="595959" w:themeColor="text1" w:themeTint="A6"/>
          <w:lang w:val="en-US"/>
        </w:rPr>
        <w:t xml:space="preserve"> 14. </w:t>
      </w:r>
      <w:r w:rsidRPr="003E3FE2">
        <w:rPr>
          <w:rFonts w:ascii="Arial Narrow" w:hAnsi="Arial Narrow" w:cs="Arial"/>
          <w:b/>
          <w:iCs/>
          <w:noProof/>
          <w:color w:val="595959" w:themeColor="text1" w:themeTint="A6"/>
          <w:lang w:val="en-US"/>
        </w:rPr>
        <w:t>INDICATOR A FOR EU27 AND MAIN EUROPEAN COUNTRIES</w:t>
      </w:r>
      <w:r w:rsidR="00CD1FE7" w:rsidRPr="003E3FE2">
        <w:rPr>
          <w:rFonts w:ascii="Arial Narrow" w:hAnsi="Arial Narrow" w:cs="Arial"/>
          <w:b/>
          <w:iCs/>
          <w:noProof/>
          <w:color w:val="595959" w:themeColor="text1" w:themeTint="A6"/>
          <w:lang w:val="en-US"/>
        </w:rPr>
        <w:t xml:space="preserve">. </w:t>
      </w:r>
      <w:r w:rsidRPr="003E3FE2">
        <w:rPr>
          <w:rFonts w:ascii="Arial Narrow" w:hAnsi="Arial Narrow" w:cs="Arial"/>
          <w:iCs/>
          <w:noProof/>
          <w:color w:val="595959" w:themeColor="text1" w:themeTint="A6"/>
          <w:lang w:val="en-US"/>
        </w:rPr>
        <w:t>Year 2021, annual percentage changes</w:t>
      </w:r>
    </w:p>
    <w:p w14:paraId="2ECF5C2E" w14:textId="362577B8" w:rsidR="00262F04" w:rsidRDefault="003E3FE2" w:rsidP="00262F04">
      <w:pPr>
        <w:rPr>
          <w:spacing w:val="14"/>
          <w:w w:val="80"/>
          <w:sz w:val="21"/>
          <w:szCs w:val="21"/>
        </w:rPr>
      </w:pPr>
      <w:r>
        <w:rPr>
          <w:noProof/>
          <w:lang w:eastAsia="it-IT"/>
        </w:rPr>
        <w:drawing>
          <wp:inline distT="0" distB="0" distL="0" distR="0" wp14:anchorId="566E9F84" wp14:editId="5088E414">
            <wp:extent cx="6122670" cy="2160000"/>
            <wp:effectExtent l="0" t="0" r="11430" b="12065"/>
            <wp:docPr id="32" name="Gra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CF33FB" w14:textId="77777777" w:rsidR="001A61C3" w:rsidRDefault="00E1683C" w:rsidP="00D75B01">
      <w:pPr>
        <w:rPr>
          <w:sz w:val="26"/>
          <w:szCs w:val="26"/>
        </w:rPr>
      </w:pPr>
      <w:r>
        <w:rPr>
          <w:sz w:val="26"/>
          <w:szCs w:val="26"/>
        </w:rPr>
        <w:br w:type="page"/>
      </w:r>
      <w:bookmarkStart w:id="0" w:name="_Toc97051472"/>
    </w:p>
    <w:p w14:paraId="394DA7DD" w14:textId="55386708" w:rsidR="001A61C3" w:rsidRPr="002F49E7" w:rsidRDefault="002F49E7" w:rsidP="001A61C3">
      <w:pPr>
        <w:rPr>
          <w:rFonts w:ascii="Trebuchet MS" w:hAnsi="Trebuchet MS"/>
          <w:sz w:val="24"/>
          <w:szCs w:val="24"/>
          <w:lang w:val="en-US"/>
        </w:rPr>
      </w:pPr>
      <w:r w:rsidRPr="002F49E7">
        <w:rPr>
          <w:rFonts w:ascii="Trebuchet MS" w:hAnsi="Trebuchet MS"/>
          <w:b/>
          <w:color w:val="595959" w:themeColor="text1" w:themeTint="A6"/>
          <w:sz w:val="24"/>
          <w:szCs w:val="24"/>
          <w:lang w:val="en-US"/>
        </w:rPr>
        <w:lastRenderedPageBreak/>
        <w:t>The 2022 Budget Law and the expected measures envisaged</w:t>
      </w:r>
      <w:r w:rsidR="001A61C3" w:rsidRPr="002F49E7">
        <w:rPr>
          <w:rFonts w:ascii="Trebuchet MS" w:hAnsi="Trebuchet MS"/>
          <w:b/>
          <w:color w:val="595959" w:themeColor="text1" w:themeTint="A6"/>
          <w:sz w:val="24"/>
          <w:szCs w:val="24"/>
          <w:lang w:val="en-US"/>
        </w:rPr>
        <w:t> </w:t>
      </w:r>
    </w:p>
    <w:p w14:paraId="732DA30C" w14:textId="77777777" w:rsidR="001A61C3" w:rsidRPr="002F49E7" w:rsidRDefault="001A61C3" w:rsidP="001A61C3">
      <w:pPr>
        <w:spacing w:line="360" w:lineRule="auto"/>
        <w:jc w:val="both"/>
        <w:rPr>
          <w:rFonts w:ascii="Times New Roman" w:eastAsia="Times New Roman" w:hAnsi="Times New Roman"/>
          <w:b/>
          <w:bCs/>
          <w:caps/>
          <w:color w:val="17365D"/>
          <w:sz w:val="24"/>
          <w:szCs w:val="24"/>
          <w:lang w:val="en-US" w:eastAsia="it-IT"/>
        </w:rPr>
      </w:pPr>
    </w:p>
    <w:p w14:paraId="38D4F46D" w14:textId="3A758C71" w:rsidR="001A61C3" w:rsidRPr="002F49E7" w:rsidRDefault="002F49E7" w:rsidP="001A61C3">
      <w:pPr>
        <w:pStyle w:val="Stile1"/>
        <w:rPr>
          <w:rFonts w:ascii="Trebuchet MS" w:eastAsia="Times New Roman" w:hAnsi="Trebuchet MS" w:cs="Arial"/>
          <w:b/>
          <w:caps/>
          <w:color w:val="595959" w:themeColor="text1" w:themeTint="A6"/>
          <w:kern w:val="3"/>
          <w:lang w:val="en-US" w:eastAsia="it-IT"/>
        </w:rPr>
      </w:pPr>
      <w:r w:rsidRPr="002F49E7">
        <w:rPr>
          <w:rFonts w:ascii="Trebuchet MS" w:eastAsia="Times New Roman" w:hAnsi="Trebuchet MS" w:cs="Arial"/>
          <w:b/>
          <w:color w:val="595959" w:themeColor="text1" w:themeTint="A6"/>
          <w:kern w:val="3"/>
          <w:lang w:val="en-US" w:eastAsia="it-IT"/>
        </w:rPr>
        <w:t>Interventions to support and relaunch the agricultural sector</w:t>
      </w:r>
    </w:p>
    <w:p w14:paraId="5CB1D72F" w14:textId="775903EA" w:rsidR="001A61C3" w:rsidRPr="002F49E7" w:rsidRDefault="002F49E7" w:rsidP="001A61C3">
      <w:pPr>
        <w:suppressAutoHyphens/>
        <w:spacing w:after="80"/>
        <w:jc w:val="both"/>
        <w:rPr>
          <w:rFonts w:ascii="Trebuchet MS" w:eastAsia="Times New Roman" w:hAnsi="Trebuchet MS" w:cs="Times New Roman"/>
          <w:color w:val="595959"/>
          <w:sz w:val="20"/>
          <w:szCs w:val="20"/>
          <w:lang w:val="en-US"/>
        </w:rPr>
      </w:pPr>
      <w:r w:rsidRPr="002F49E7">
        <w:rPr>
          <w:rFonts w:ascii="Trebuchet MS" w:eastAsia="Times New Roman" w:hAnsi="Trebuchet MS" w:cs="Times New Roman"/>
          <w:color w:val="595959"/>
          <w:sz w:val="20"/>
          <w:szCs w:val="20"/>
          <w:lang w:val="en-US"/>
        </w:rPr>
        <w:t xml:space="preserve">The financial </w:t>
      </w:r>
      <w:r w:rsidR="00211BB9" w:rsidRPr="002F49E7">
        <w:rPr>
          <w:rFonts w:ascii="Trebuchet MS" w:eastAsia="Times New Roman" w:hAnsi="Trebuchet MS" w:cs="Times New Roman"/>
          <w:color w:val="595959"/>
          <w:sz w:val="20"/>
          <w:szCs w:val="20"/>
          <w:lang w:val="en-US"/>
        </w:rPr>
        <w:t>interventions envisaged</w:t>
      </w:r>
      <w:r w:rsidRPr="002F49E7">
        <w:rPr>
          <w:rFonts w:ascii="Trebuchet MS" w:eastAsia="Times New Roman" w:hAnsi="Trebuchet MS" w:cs="Times New Roman"/>
          <w:color w:val="595959"/>
          <w:sz w:val="20"/>
          <w:szCs w:val="20"/>
          <w:lang w:val="en-US"/>
        </w:rPr>
        <w:t xml:space="preserve"> by the budget law - Law 234/2021 – do provide for an allocation of about two billion euros and have been reclassified, as shown here below, into interventions for the risk management (</w:t>
      </w:r>
      <w:r w:rsidR="00211BB9" w:rsidRPr="002F49E7">
        <w:rPr>
          <w:rFonts w:ascii="Trebuchet MS" w:eastAsia="Times New Roman" w:hAnsi="Trebuchet MS" w:cs="Times New Roman"/>
          <w:color w:val="595959"/>
          <w:sz w:val="20"/>
          <w:szCs w:val="20"/>
          <w:lang w:val="en-US"/>
        </w:rPr>
        <w:t>including crop</w:t>
      </w:r>
      <w:r w:rsidRPr="002F49E7">
        <w:rPr>
          <w:rFonts w:ascii="Trebuchet MS" w:eastAsia="Times New Roman" w:hAnsi="Trebuchet MS" w:cs="Times New Roman"/>
          <w:color w:val="595959"/>
          <w:sz w:val="20"/>
          <w:szCs w:val="20"/>
          <w:lang w:val="en-US"/>
        </w:rPr>
        <w:t xml:space="preserve">-protection), interventions for the development of the agri-food chain and fisheries, interventions in support of investments and interventions not otherwise classifiable. There are, then, </w:t>
      </w:r>
      <w:proofErr w:type="gramStart"/>
      <w:r w:rsidRPr="002F49E7">
        <w:rPr>
          <w:rFonts w:ascii="Trebuchet MS" w:eastAsia="Times New Roman" w:hAnsi="Trebuchet MS" w:cs="Times New Roman"/>
          <w:color w:val="595959"/>
          <w:sz w:val="20"/>
          <w:szCs w:val="20"/>
          <w:lang w:val="en-US"/>
        </w:rPr>
        <w:t>fiscal</w:t>
      </w:r>
      <w:proofErr w:type="gramEnd"/>
      <w:r w:rsidRPr="002F49E7">
        <w:rPr>
          <w:rFonts w:ascii="Trebuchet MS" w:eastAsia="Times New Roman" w:hAnsi="Trebuchet MS" w:cs="Times New Roman"/>
          <w:color w:val="595959"/>
          <w:sz w:val="20"/>
          <w:szCs w:val="20"/>
          <w:lang w:val="en-US"/>
        </w:rPr>
        <w:t xml:space="preserve"> and tributary benefits, contributory and social security benefits in addition to intersectoral interventions that encompass also the primary sector.</w:t>
      </w:r>
    </w:p>
    <w:p w14:paraId="4AFE0D96" w14:textId="77777777" w:rsidR="001A61C3" w:rsidRPr="002F49E7" w:rsidRDefault="001A61C3">
      <w:pPr>
        <w:rPr>
          <w:sz w:val="26"/>
          <w:szCs w:val="26"/>
          <w:lang w:val="en-US"/>
        </w:rPr>
      </w:pPr>
    </w:p>
    <w:p w14:paraId="0F5C0504" w14:textId="2AF8B37A" w:rsidR="001A61C3" w:rsidRDefault="002F49E7" w:rsidP="001A61C3">
      <w:pPr>
        <w:widowControl/>
        <w:suppressAutoHyphens/>
        <w:autoSpaceDE/>
        <w:spacing w:after="100"/>
        <w:textAlignment w:val="baseline"/>
        <w:rPr>
          <w:rFonts w:ascii="Trebuchet MS" w:eastAsia="Times New Roman" w:hAnsi="Trebuchet MS" w:cs="Arial"/>
          <w:b/>
          <w:color w:val="595959" w:themeColor="text1" w:themeTint="A6"/>
          <w:kern w:val="3"/>
          <w:lang w:eastAsia="it-IT"/>
        </w:rPr>
      </w:pPr>
      <w:r w:rsidRPr="002F49E7">
        <w:rPr>
          <w:rFonts w:ascii="Trebuchet MS" w:eastAsia="Times New Roman" w:hAnsi="Trebuchet MS" w:cs="Arial"/>
          <w:b/>
          <w:color w:val="595959" w:themeColor="text1" w:themeTint="A6"/>
          <w:kern w:val="3"/>
          <w:lang w:eastAsia="it-IT"/>
        </w:rPr>
        <w:t xml:space="preserve">Risk management </w:t>
      </w:r>
      <w:r w:rsidR="00211BB9" w:rsidRPr="002F49E7">
        <w:rPr>
          <w:rFonts w:ascii="Trebuchet MS" w:eastAsia="Times New Roman" w:hAnsi="Trebuchet MS" w:cs="Arial"/>
          <w:b/>
          <w:color w:val="595959" w:themeColor="text1" w:themeTint="A6"/>
          <w:kern w:val="3"/>
          <w:lang w:eastAsia="it-IT"/>
        </w:rPr>
        <w:t xml:space="preserve">and </w:t>
      </w:r>
      <w:proofErr w:type="spellStart"/>
      <w:r w:rsidR="00211BB9" w:rsidRPr="002F49E7">
        <w:rPr>
          <w:rFonts w:ascii="Trebuchet MS" w:eastAsia="Times New Roman" w:hAnsi="Trebuchet MS" w:cs="Arial"/>
          <w:b/>
          <w:color w:val="595959" w:themeColor="text1" w:themeTint="A6"/>
          <w:kern w:val="3"/>
          <w:lang w:eastAsia="it-IT"/>
        </w:rPr>
        <w:t>crop</w:t>
      </w:r>
      <w:r w:rsidRPr="002F49E7">
        <w:rPr>
          <w:rFonts w:ascii="Trebuchet MS" w:eastAsia="Times New Roman" w:hAnsi="Trebuchet MS" w:cs="Arial"/>
          <w:b/>
          <w:color w:val="595959" w:themeColor="text1" w:themeTint="A6"/>
          <w:kern w:val="3"/>
          <w:lang w:eastAsia="it-IT"/>
        </w:rPr>
        <w:t>-protection</w:t>
      </w:r>
      <w:proofErr w:type="spellEnd"/>
    </w:p>
    <w:p w14:paraId="15EE2F85" w14:textId="06A8726C" w:rsidR="00457714" w:rsidRPr="001A61C3" w:rsidRDefault="002F49E7" w:rsidP="001A61C3">
      <w:pPr>
        <w:widowControl/>
        <w:suppressAutoHyphens/>
        <w:autoSpaceDE/>
        <w:spacing w:after="100"/>
        <w:textAlignment w:val="baseline"/>
        <w:rPr>
          <w:rFonts w:ascii="Trebuchet MS" w:eastAsia="Times New Roman" w:hAnsi="Trebuchet MS" w:cs="Arial"/>
          <w:b/>
          <w:color w:val="595959" w:themeColor="text1" w:themeTint="A6"/>
          <w:kern w:val="3"/>
          <w:lang w:eastAsia="it-IT"/>
        </w:rPr>
      </w:pPr>
      <w:r>
        <w:rPr>
          <w:noProof/>
          <w:lang w:eastAsia="it-IT"/>
        </w:rPr>
        <w:drawing>
          <wp:inline distT="0" distB="0" distL="0" distR="0" wp14:anchorId="073A5E8C" wp14:editId="6549D502">
            <wp:extent cx="3866515" cy="2900087"/>
            <wp:effectExtent l="0" t="0" r="63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3206" cy="2912606"/>
                    </a:xfrm>
                    <a:prstGeom prst="rect">
                      <a:avLst/>
                    </a:prstGeom>
                    <a:noFill/>
                    <a:ln>
                      <a:noFill/>
                    </a:ln>
                  </pic:spPr>
                </pic:pic>
              </a:graphicData>
            </a:graphic>
          </wp:inline>
        </w:drawing>
      </w:r>
    </w:p>
    <w:p w14:paraId="44601501" w14:textId="5DEDEA67" w:rsidR="00457714" w:rsidRDefault="00457714">
      <w:pPr>
        <w:rPr>
          <w:noProof/>
          <w:lang w:eastAsia="it-IT"/>
        </w:rPr>
      </w:pPr>
    </w:p>
    <w:p w14:paraId="52267321" w14:textId="77777777" w:rsidR="00457714" w:rsidRDefault="00457714" w:rsidP="00457714">
      <w:pPr>
        <w:spacing w:after="80"/>
        <w:jc w:val="both"/>
        <w:rPr>
          <w:rFonts w:ascii="Trebuchet MS" w:eastAsia="Times New Roman" w:hAnsi="Trebuchet MS" w:cs="Arial"/>
          <w:color w:val="595959"/>
          <w:sz w:val="20"/>
          <w:szCs w:val="20"/>
          <w:lang w:eastAsia="it-IT"/>
        </w:rPr>
      </w:pPr>
    </w:p>
    <w:p w14:paraId="6C532352" w14:textId="7ECBCCE9" w:rsidR="006F4488" w:rsidRPr="005E3784" w:rsidRDefault="006F4488" w:rsidP="006F4488">
      <w:pPr>
        <w:spacing w:after="80"/>
        <w:jc w:val="both"/>
        <w:rPr>
          <w:rFonts w:ascii="Trebuchet MS" w:hAnsi="Trebuchet MS" w:cs="Arial"/>
          <w:color w:val="595959"/>
          <w:sz w:val="20"/>
          <w:szCs w:val="20"/>
          <w:lang w:val="en-GB"/>
        </w:rPr>
      </w:pPr>
      <w:r>
        <w:rPr>
          <w:color w:val="595959"/>
          <w:sz w:val="20"/>
          <w:szCs w:val="20"/>
          <w:lang w:val="en"/>
        </w:rPr>
        <w:t>The</w:t>
      </w:r>
      <w:r w:rsidRPr="008E4FD3">
        <w:rPr>
          <w:color w:val="595959"/>
          <w:sz w:val="20"/>
          <w:szCs w:val="20"/>
          <w:lang w:val="en"/>
        </w:rPr>
        <w:t xml:space="preserve"> most </w:t>
      </w:r>
      <w:r>
        <w:rPr>
          <w:color w:val="595959"/>
          <w:sz w:val="20"/>
          <w:szCs w:val="20"/>
          <w:lang w:val="en"/>
        </w:rPr>
        <w:t xml:space="preserve">relevant </w:t>
      </w:r>
      <w:r w:rsidRPr="008E4FD3">
        <w:rPr>
          <w:color w:val="595959"/>
          <w:sz w:val="20"/>
          <w:szCs w:val="20"/>
          <w:lang w:val="en"/>
        </w:rPr>
        <w:t xml:space="preserve">financial </w:t>
      </w:r>
      <w:r w:rsidR="00211BB9" w:rsidRPr="008E4FD3">
        <w:rPr>
          <w:color w:val="595959"/>
          <w:sz w:val="20"/>
          <w:szCs w:val="20"/>
          <w:lang w:val="en"/>
        </w:rPr>
        <w:t xml:space="preserve">measures </w:t>
      </w:r>
      <w:r w:rsidR="00211BB9">
        <w:rPr>
          <w:color w:val="595959"/>
          <w:sz w:val="20"/>
          <w:szCs w:val="20"/>
          <w:lang w:val="en"/>
        </w:rPr>
        <w:t>concern</w:t>
      </w:r>
      <w:r w:rsidRPr="008E4FD3">
        <w:rPr>
          <w:color w:val="595959"/>
          <w:sz w:val="20"/>
          <w:szCs w:val="20"/>
          <w:lang w:val="en"/>
        </w:rPr>
        <w:t xml:space="preserve"> risk management in agriculture,</w:t>
      </w:r>
      <w:r>
        <w:rPr>
          <w:color w:val="595959"/>
          <w:sz w:val="20"/>
          <w:szCs w:val="20"/>
          <w:lang w:val="en"/>
        </w:rPr>
        <w:t xml:space="preserve"> i.e.</w:t>
      </w:r>
      <w:r w:rsidRPr="008E4FD3">
        <w:rPr>
          <w:color w:val="595959"/>
          <w:sz w:val="20"/>
          <w:szCs w:val="20"/>
          <w:lang w:val="en"/>
        </w:rPr>
        <w:t xml:space="preserve">: </w:t>
      </w:r>
    </w:p>
    <w:p w14:paraId="4C7EFE38" w14:textId="77777777" w:rsidR="006F4488" w:rsidRPr="005E3784" w:rsidRDefault="006F4488" w:rsidP="006F4488">
      <w:pPr>
        <w:pStyle w:val="Paragrafoelenco"/>
        <w:widowControl/>
        <w:numPr>
          <w:ilvl w:val="0"/>
          <w:numId w:val="47"/>
        </w:numPr>
        <w:suppressAutoHyphens/>
        <w:autoSpaceDE/>
        <w:spacing w:after="80"/>
        <w:jc w:val="both"/>
        <w:textAlignment w:val="baseline"/>
        <w:rPr>
          <w:rFonts w:ascii="Trebuchet MS" w:hAnsi="Trebuchet MS" w:cs="Arial"/>
          <w:color w:val="595959"/>
          <w:sz w:val="20"/>
          <w:szCs w:val="20"/>
          <w:lang w:val="en-GB"/>
        </w:rPr>
      </w:pPr>
      <w:r w:rsidRPr="008E4FD3">
        <w:rPr>
          <w:color w:val="595959"/>
          <w:sz w:val="20"/>
          <w:szCs w:val="20"/>
          <w:lang w:val="en"/>
        </w:rPr>
        <w:t xml:space="preserve">the establishment of the </w:t>
      </w:r>
      <w:r w:rsidRPr="008E4FD3">
        <w:rPr>
          <w:b/>
          <w:bCs/>
          <w:color w:val="595959"/>
          <w:sz w:val="20"/>
          <w:szCs w:val="20"/>
          <w:lang w:val="en"/>
        </w:rPr>
        <w:t>national mutual fund</w:t>
      </w:r>
      <w:r w:rsidRPr="008E4FD3">
        <w:rPr>
          <w:color w:val="595959"/>
          <w:sz w:val="20"/>
          <w:szCs w:val="20"/>
          <w:lang w:val="en"/>
        </w:rPr>
        <w:t xml:space="preserve"> to cover catastrophic risks to agricultural </w:t>
      </w:r>
      <w:proofErr w:type="gramStart"/>
      <w:r w:rsidRPr="008E4FD3">
        <w:rPr>
          <w:color w:val="595959"/>
          <w:sz w:val="20"/>
          <w:szCs w:val="20"/>
          <w:lang w:val="en"/>
        </w:rPr>
        <w:t>production;</w:t>
      </w:r>
      <w:proofErr w:type="gramEnd"/>
      <w:r w:rsidRPr="008E4FD3">
        <w:rPr>
          <w:color w:val="595959"/>
          <w:sz w:val="20"/>
          <w:szCs w:val="20"/>
          <w:lang w:val="en"/>
        </w:rPr>
        <w:t xml:space="preserve"> </w:t>
      </w:r>
    </w:p>
    <w:p w14:paraId="3EEB86E1" w14:textId="77777777" w:rsidR="006F4488" w:rsidRPr="008E4FD3" w:rsidRDefault="006F4488" w:rsidP="006F4488">
      <w:pPr>
        <w:pStyle w:val="Paragrafoelenco"/>
        <w:widowControl/>
        <w:numPr>
          <w:ilvl w:val="0"/>
          <w:numId w:val="47"/>
        </w:numPr>
        <w:suppressAutoHyphens/>
        <w:autoSpaceDE/>
        <w:spacing w:after="80"/>
        <w:jc w:val="both"/>
        <w:textAlignment w:val="baseline"/>
        <w:rPr>
          <w:rFonts w:ascii="Trebuchet MS" w:hAnsi="Trebuchet MS" w:cs="Arial"/>
          <w:color w:val="595959"/>
          <w:sz w:val="20"/>
          <w:szCs w:val="20"/>
        </w:rPr>
      </w:pPr>
      <w:r w:rsidRPr="008E4FD3">
        <w:rPr>
          <w:b/>
          <w:color w:val="595959"/>
          <w:sz w:val="20"/>
          <w:szCs w:val="20"/>
          <w:lang w:val="en"/>
        </w:rPr>
        <w:t>subsidized insurance</w:t>
      </w:r>
      <w:r w:rsidRPr="008E4FD3">
        <w:rPr>
          <w:color w:val="595959"/>
          <w:sz w:val="20"/>
          <w:szCs w:val="20"/>
          <w:lang w:val="en"/>
        </w:rPr>
        <w:t xml:space="preserve">. </w:t>
      </w:r>
    </w:p>
    <w:p w14:paraId="24D6C178" w14:textId="34CB4B39" w:rsidR="00457714" w:rsidRPr="001203CB" w:rsidRDefault="006F4488" w:rsidP="006F4488">
      <w:pPr>
        <w:spacing w:after="80"/>
        <w:ind w:left="50"/>
        <w:jc w:val="both"/>
        <w:rPr>
          <w:rFonts w:ascii="Trebuchet MS" w:hAnsi="Trebuchet MS" w:cs="Arial"/>
          <w:color w:val="595959"/>
          <w:sz w:val="20"/>
          <w:szCs w:val="20"/>
          <w:lang w:val="en-US"/>
        </w:rPr>
      </w:pPr>
      <w:r>
        <w:rPr>
          <w:color w:val="595959"/>
          <w:sz w:val="20"/>
          <w:szCs w:val="20"/>
          <w:lang w:val="en"/>
        </w:rPr>
        <w:t xml:space="preserve"> This </w:t>
      </w:r>
      <w:r w:rsidRPr="008E4FD3">
        <w:rPr>
          <w:color w:val="595959"/>
          <w:sz w:val="20"/>
          <w:szCs w:val="20"/>
          <w:lang w:val="en"/>
        </w:rPr>
        <w:t>measure</w:t>
      </w:r>
      <w:r>
        <w:rPr>
          <w:color w:val="595959"/>
          <w:sz w:val="20"/>
          <w:szCs w:val="20"/>
          <w:lang w:val="en"/>
        </w:rPr>
        <w:t xml:space="preserve"> </w:t>
      </w:r>
      <w:proofErr w:type="gramStart"/>
      <w:r>
        <w:rPr>
          <w:color w:val="595959"/>
          <w:sz w:val="20"/>
          <w:szCs w:val="20"/>
          <w:lang w:val="en"/>
        </w:rPr>
        <w:t>envisages</w:t>
      </w:r>
      <w:r w:rsidRPr="008E4FD3">
        <w:rPr>
          <w:color w:val="595959"/>
          <w:sz w:val="20"/>
          <w:szCs w:val="20"/>
          <w:lang w:val="en"/>
        </w:rPr>
        <w:t xml:space="preserve"> also</w:t>
      </w:r>
      <w:proofErr w:type="gramEnd"/>
      <w:r w:rsidRPr="008E4FD3">
        <w:rPr>
          <w:color w:val="595959"/>
          <w:sz w:val="20"/>
          <w:szCs w:val="20"/>
          <w:lang w:val="en"/>
        </w:rPr>
        <w:t xml:space="preserve"> </w:t>
      </w:r>
      <w:r>
        <w:rPr>
          <w:color w:val="595959"/>
          <w:sz w:val="20"/>
          <w:szCs w:val="20"/>
          <w:lang w:val="en"/>
        </w:rPr>
        <w:t>the possibility</w:t>
      </w:r>
      <w:r w:rsidRPr="008E4FD3">
        <w:rPr>
          <w:color w:val="595959"/>
          <w:sz w:val="20"/>
          <w:szCs w:val="20"/>
          <w:lang w:val="en"/>
        </w:rPr>
        <w:t xml:space="preserve"> to maintain, for a maximum period of 3 years and under certain conditions, the </w:t>
      </w:r>
      <w:r w:rsidRPr="008E4FD3">
        <w:rPr>
          <w:b/>
          <w:bCs/>
          <w:color w:val="595959"/>
          <w:sz w:val="20"/>
          <w:szCs w:val="20"/>
          <w:lang w:val="en"/>
        </w:rPr>
        <w:t>farmer</w:t>
      </w:r>
      <w:r>
        <w:rPr>
          <w:b/>
          <w:bCs/>
          <w:color w:val="595959"/>
          <w:sz w:val="20"/>
          <w:szCs w:val="20"/>
          <w:lang w:val="en"/>
        </w:rPr>
        <w:t xml:space="preserve"> status</w:t>
      </w:r>
      <w:r w:rsidRPr="008E4FD3">
        <w:rPr>
          <w:color w:val="595959"/>
          <w:sz w:val="20"/>
          <w:szCs w:val="20"/>
          <w:lang w:val="en"/>
        </w:rPr>
        <w:t>.</w:t>
      </w:r>
    </w:p>
    <w:p w14:paraId="6C46F48E" w14:textId="77777777" w:rsidR="00457714" w:rsidRPr="001203CB" w:rsidRDefault="00457714" w:rsidP="00457714">
      <w:pPr>
        <w:suppressAutoHyphens/>
        <w:spacing w:before="120"/>
        <w:jc w:val="both"/>
        <w:rPr>
          <w:sz w:val="14"/>
          <w:szCs w:val="26"/>
          <w:lang w:val="en-US"/>
        </w:rPr>
      </w:pPr>
    </w:p>
    <w:p w14:paraId="7E3648FD" w14:textId="717FDF74" w:rsidR="00457714" w:rsidRPr="004A2F6C" w:rsidRDefault="001203CB" w:rsidP="00E43AA5">
      <w:pPr>
        <w:suppressAutoHyphens/>
        <w:spacing w:before="120"/>
        <w:rPr>
          <w:rFonts w:ascii="Arial Narrow" w:hAnsi="Arial Narrow" w:cs="Arial"/>
          <w:iCs/>
          <w:noProof/>
          <w:color w:val="595959" w:themeColor="text1" w:themeTint="A6"/>
          <w:lang w:val="en-GB"/>
        </w:rPr>
      </w:pPr>
      <w:r w:rsidRPr="001203CB">
        <w:rPr>
          <w:rFonts w:ascii="Arial Narrow" w:hAnsi="Arial Narrow" w:cs="Arial"/>
          <w:b/>
          <w:iCs/>
          <w:noProof/>
          <w:color w:val="595959" w:themeColor="text1" w:themeTint="A6"/>
          <w:lang w:val="en-US"/>
        </w:rPr>
        <w:t>FIGURE</w:t>
      </w:r>
      <w:r w:rsidR="00C83340" w:rsidRPr="001203CB">
        <w:rPr>
          <w:rFonts w:ascii="Arial Narrow" w:hAnsi="Arial Narrow" w:cs="Arial"/>
          <w:b/>
          <w:iCs/>
          <w:noProof/>
          <w:color w:val="595959" w:themeColor="text1" w:themeTint="A6"/>
          <w:lang w:val="en-US"/>
        </w:rPr>
        <w:t xml:space="preserve"> 15</w:t>
      </w:r>
      <w:r w:rsidR="00457714" w:rsidRPr="001203CB">
        <w:rPr>
          <w:rFonts w:ascii="Arial Narrow" w:hAnsi="Arial Narrow" w:cs="Arial"/>
          <w:b/>
          <w:iCs/>
          <w:noProof/>
          <w:color w:val="595959" w:themeColor="text1" w:themeTint="A6"/>
          <w:lang w:val="en-US"/>
        </w:rPr>
        <w:t xml:space="preserve">. </w:t>
      </w:r>
      <w:r w:rsidRPr="001203CB">
        <w:rPr>
          <w:rFonts w:ascii="Arial Narrow" w:hAnsi="Arial Narrow" w:cs="Arial"/>
          <w:b/>
          <w:bCs/>
          <w:iCs/>
          <w:noProof/>
          <w:color w:val="595959" w:themeColor="text1" w:themeTint="A6"/>
          <w:lang w:val="en-US"/>
        </w:rPr>
        <w:t>FARMS AND INSURED VALUES  BY MAIN INSURED PRODUCTS AND BY REGION</w:t>
      </w:r>
      <w:r w:rsidR="00457714" w:rsidRPr="001203CB">
        <w:rPr>
          <w:rFonts w:ascii="Arial Narrow" w:hAnsi="Arial Narrow" w:cs="Arial"/>
          <w:b/>
          <w:bCs/>
          <w:iCs/>
          <w:noProof/>
          <w:color w:val="595959" w:themeColor="text1" w:themeTint="A6"/>
          <w:lang w:val="en-US"/>
        </w:rPr>
        <w:br/>
      </w:r>
      <w:r>
        <w:rPr>
          <w:rFonts w:ascii="Arial Narrow" w:hAnsi="Arial Narrow" w:cs="Arial"/>
          <w:iCs/>
          <w:noProof/>
          <w:color w:val="595959" w:themeColor="text1" w:themeTint="A6"/>
          <w:lang w:val="en-US"/>
        </w:rPr>
        <w:t>Year</w:t>
      </w:r>
      <w:r w:rsidR="00457714" w:rsidRPr="001203CB">
        <w:rPr>
          <w:rFonts w:ascii="Arial Narrow" w:hAnsi="Arial Narrow" w:cs="Arial"/>
          <w:iCs/>
          <w:noProof/>
          <w:color w:val="595959" w:themeColor="text1" w:themeTint="A6"/>
          <w:lang w:val="en-US"/>
        </w:rPr>
        <w:t xml:space="preserve"> 2020</w:t>
      </w:r>
    </w:p>
    <w:p w14:paraId="161B781C" w14:textId="7F5B84C5" w:rsidR="001A61C3" w:rsidRPr="004A2F6C" w:rsidRDefault="00AA41E7">
      <w:pPr>
        <w:rPr>
          <w:sz w:val="26"/>
          <w:szCs w:val="26"/>
          <w:lang w:val="en-US"/>
        </w:rPr>
      </w:pPr>
      <w:r>
        <w:rPr>
          <w:noProof/>
          <w:lang w:eastAsia="it-IT"/>
        </w:rPr>
        <w:drawing>
          <wp:inline distT="0" distB="0" distL="0" distR="0" wp14:anchorId="75017712" wp14:editId="76D83EDF">
            <wp:extent cx="6120000" cy="2160000"/>
            <wp:effectExtent l="0" t="0" r="14605" b="12065"/>
            <wp:docPr id="2" name="Grafico 2">
              <a:extLst xmlns:a="http://schemas.openxmlformats.org/drawingml/2006/main">
                <a:ext uri="{FF2B5EF4-FFF2-40B4-BE49-F238E27FC236}">
                  <a16:creationId xmlns:a16="http://schemas.microsoft.com/office/drawing/2014/main" id="{85CF393E-8215-44D1-A336-2B2DC7BD3C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07A310" w14:textId="371D4D80" w:rsidR="00457714" w:rsidRPr="001203CB" w:rsidRDefault="001203CB" w:rsidP="00457714">
      <w:pPr>
        <w:jc w:val="both"/>
        <w:rPr>
          <w:rFonts w:ascii="Arial" w:hAnsi="Arial" w:cs="Arial"/>
          <w:iCs/>
          <w:noProof/>
          <w:sz w:val="15"/>
          <w:szCs w:val="15"/>
          <w:lang w:val="en-US"/>
        </w:rPr>
      </w:pPr>
      <w:r w:rsidRPr="001203CB">
        <w:rPr>
          <w:rFonts w:ascii="Arial" w:hAnsi="Arial" w:cs="Arial"/>
          <w:iCs/>
          <w:noProof/>
          <w:sz w:val="15"/>
          <w:szCs w:val="15"/>
          <w:lang w:val="en-US"/>
        </w:rPr>
        <w:t>Source: elaboration on ISMEA data</w:t>
      </w:r>
    </w:p>
    <w:p w14:paraId="0547B7EF" w14:textId="77777777" w:rsidR="00360729" w:rsidRPr="001203CB" w:rsidRDefault="00360729" w:rsidP="00457714">
      <w:pPr>
        <w:spacing w:after="80"/>
        <w:ind w:left="51"/>
        <w:jc w:val="both"/>
        <w:rPr>
          <w:rFonts w:ascii="Trebuchet MS" w:hAnsi="Trebuchet MS" w:cs="Arial"/>
          <w:color w:val="595959"/>
          <w:sz w:val="20"/>
          <w:szCs w:val="20"/>
          <w:lang w:val="en-US"/>
        </w:rPr>
      </w:pPr>
    </w:p>
    <w:p w14:paraId="528E7743" w14:textId="268A33CC" w:rsidR="006F4488" w:rsidRPr="005E3784" w:rsidRDefault="006F4488" w:rsidP="006F4488">
      <w:pPr>
        <w:spacing w:after="80"/>
        <w:ind w:left="51"/>
        <w:jc w:val="both"/>
        <w:rPr>
          <w:rFonts w:ascii="Trebuchet MS" w:hAnsi="Trebuchet MS" w:cs="Arial"/>
          <w:color w:val="595959"/>
          <w:sz w:val="20"/>
          <w:szCs w:val="20"/>
          <w:lang w:val="en-GB"/>
        </w:rPr>
      </w:pPr>
      <w:r>
        <w:rPr>
          <w:color w:val="595959"/>
          <w:sz w:val="20"/>
          <w:szCs w:val="20"/>
          <w:lang w:val="en"/>
        </w:rPr>
        <w:t xml:space="preserve">Among </w:t>
      </w:r>
      <w:r w:rsidRPr="008E4FD3">
        <w:rPr>
          <w:color w:val="595959"/>
          <w:sz w:val="20"/>
          <w:szCs w:val="20"/>
          <w:lang w:val="en"/>
        </w:rPr>
        <w:t xml:space="preserve">the interventions related to </w:t>
      </w:r>
      <w:r>
        <w:rPr>
          <w:color w:val="595959"/>
          <w:sz w:val="20"/>
          <w:szCs w:val="20"/>
          <w:lang w:val="en"/>
        </w:rPr>
        <w:t>crop</w:t>
      </w:r>
      <w:r w:rsidRPr="00C667A4">
        <w:rPr>
          <w:b/>
          <w:bCs/>
          <w:color w:val="595959"/>
          <w:sz w:val="20"/>
          <w:szCs w:val="20"/>
          <w:lang w:val="en"/>
        </w:rPr>
        <w:t>- protection</w:t>
      </w:r>
      <w:r>
        <w:rPr>
          <w:color w:val="595959"/>
          <w:sz w:val="20"/>
          <w:szCs w:val="20"/>
          <w:lang w:val="en"/>
        </w:rPr>
        <w:t xml:space="preserve"> </w:t>
      </w:r>
      <w:r w:rsidRPr="008E4FD3">
        <w:rPr>
          <w:color w:val="595959"/>
          <w:sz w:val="20"/>
          <w:szCs w:val="20"/>
          <w:lang w:val="en"/>
        </w:rPr>
        <w:t>we</w:t>
      </w:r>
      <w:r>
        <w:rPr>
          <w:color w:val="595959"/>
          <w:sz w:val="20"/>
          <w:szCs w:val="20"/>
          <w:lang w:val="en"/>
        </w:rPr>
        <w:t xml:space="preserve"> point out</w:t>
      </w:r>
      <w:r w:rsidRPr="008E4FD3">
        <w:rPr>
          <w:color w:val="595959"/>
          <w:sz w:val="20"/>
          <w:szCs w:val="20"/>
          <w:lang w:val="en"/>
        </w:rPr>
        <w:t>:</w:t>
      </w:r>
    </w:p>
    <w:p w14:paraId="3E8228EC" w14:textId="77777777" w:rsidR="006F4488" w:rsidRPr="005E3784" w:rsidRDefault="006F4488" w:rsidP="006F4488">
      <w:pPr>
        <w:pStyle w:val="Paragrafoelenco"/>
        <w:widowControl/>
        <w:numPr>
          <w:ilvl w:val="0"/>
          <w:numId w:val="48"/>
        </w:numPr>
        <w:tabs>
          <w:tab w:val="left" w:pos="633"/>
        </w:tabs>
        <w:suppressAutoHyphens/>
        <w:spacing w:after="80"/>
        <w:ind w:left="567" w:hanging="283"/>
        <w:jc w:val="both"/>
        <w:rPr>
          <w:rFonts w:ascii="Trebuchet MS" w:hAnsi="Trebuchet MS" w:cs="Arial"/>
          <w:color w:val="595959"/>
          <w:sz w:val="20"/>
          <w:szCs w:val="20"/>
          <w:lang w:val="en-GB"/>
        </w:rPr>
      </w:pPr>
      <w:r w:rsidRPr="008E4FD3">
        <w:rPr>
          <w:b/>
          <w:bCs/>
          <w:color w:val="595959"/>
          <w:sz w:val="20"/>
          <w:szCs w:val="20"/>
          <w:lang w:val="en"/>
        </w:rPr>
        <w:t>Bark beetle insect</w:t>
      </w:r>
      <w:r w:rsidRPr="008E4FD3">
        <w:rPr>
          <w:color w:val="595959"/>
          <w:sz w:val="20"/>
          <w:szCs w:val="20"/>
          <w:lang w:val="en"/>
        </w:rPr>
        <w:t xml:space="preserve">: establishment of a Fund aimed </w:t>
      </w:r>
      <w:r>
        <w:rPr>
          <w:color w:val="595959"/>
          <w:sz w:val="20"/>
          <w:szCs w:val="20"/>
          <w:lang w:val="en"/>
        </w:rPr>
        <w:t xml:space="preserve">at </w:t>
      </w:r>
      <w:r w:rsidRPr="008E4FD3">
        <w:rPr>
          <w:color w:val="595959"/>
          <w:sz w:val="20"/>
          <w:szCs w:val="20"/>
          <w:lang w:val="en"/>
        </w:rPr>
        <w:t>adopt</w:t>
      </w:r>
      <w:r>
        <w:rPr>
          <w:color w:val="595959"/>
          <w:sz w:val="20"/>
          <w:szCs w:val="20"/>
          <w:lang w:val="en"/>
        </w:rPr>
        <w:t>ing</w:t>
      </w:r>
      <w:r w:rsidRPr="008E4FD3">
        <w:rPr>
          <w:color w:val="595959"/>
          <w:sz w:val="20"/>
          <w:szCs w:val="20"/>
          <w:lang w:val="en"/>
        </w:rPr>
        <w:t xml:space="preserve"> exceptional </w:t>
      </w:r>
      <w:proofErr w:type="gramStart"/>
      <w:r w:rsidRPr="008E4FD3">
        <w:rPr>
          <w:color w:val="595959"/>
          <w:sz w:val="20"/>
          <w:szCs w:val="20"/>
          <w:lang w:val="en"/>
        </w:rPr>
        <w:t xml:space="preserve">measures </w:t>
      </w:r>
      <w:r>
        <w:rPr>
          <w:color w:val="595959"/>
          <w:sz w:val="20"/>
          <w:szCs w:val="20"/>
          <w:lang w:val="en"/>
        </w:rPr>
        <w:t xml:space="preserve"> for</w:t>
      </w:r>
      <w:proofErr w:type="gramEnd"/>
      <w:r>
        <w:rPr>
          <w:color w:val="595959"/>
          <w:sz w:val="20"/>
          <w:szCs w:val="20"/>
          <w:lang w:val="en"/>
        </w:rPr>
        <w:t xml:space="preserve"> </w:t>
      </w:r>
      <w:r w:rsidRPr="008E4FD3">
        <w:rPr>
          <w:color w:val="595959"/>
          <w:sz w:val="20"/>
          <w:szCs w:val="20"/>
          <w:lang w:val="en"/>
        </w:rPr>
        <w:t xml:space="preserve">containing the damage caused by the spread of the insect that attacks </w:t>
      </w:r>
      <w:r>
        <w:rPr>
          <w:color w:val="595959"/>
          <w:sz w:val="20"/>
          <w:szCs w:val="20"/>
          <w:lang w:val="en"/>
        </w:rPr>
        <w:t xml:space="preserve">mostly </w:t>
      </w:r>
      <w:r w:rsidRPr="008E4FD3">
        <w:rPr>
          <w:color w:val="595959"/>
          <w:sz w:val="20"/>
          <w:szCs w:val="20"/>
          <w:lang w:val="en"/>
        </w:rPr>
        <w:t xml:space="preserve">firs and pines, but </w:t>
      </w:r>
      <w:r>
        <w:rPr>
          <w:color w:val="595959"/>
          <w:sz w:val="20"/>
          <w:szCs w:val="20"/>
          <w:lang w:val="en"/>
        </w:rPr>
        <w:t xml:space="preserve">that </w:t>
      </w:r>
      <w:r w:rsidRPr="008E4FD3">
        <w:rPr>
          <w:color w:val="595959"/>
          <w:sz w:val="20"/>
          <w:szCs w:val="20"/>
          <w:lang w:val="en"/>
        </w:rPr>
        <w:t xml:space="preserve">can also </w:t>
      </w:r>
      <w:r>
        <w:rPr>
          <w:color w:val="595959"/>
          <w:sz w:val="20"/>
          <w:szCs w:val="20"/>
          <w:lang w:val="en"/>
        </w:rPr>
        <w:t xml:space="preserve"> damage </w:t>
      </w:r>
      <w:r w:rsidRPr="008E4FD3">
        <w:rPr>
          <w:color w:val="595959"/>
          <w:sz w:val="20"/>
          <w:szCs w:val="20"/>
          <w:lang w:val="en"/>
        </w:rPr>
        <w:t xml:space="preserve">fruit trees, such as apple trees and vines; </w:t>
      </w:r>
    </w:p>
    <w:p w14:paraId="2268A893" w14:textId="77777777" w:rsidR="006F4488" w:rsidRPr="005E3784" w:rsidRDefault="006F4488" w:rsidP="006F4488">
      <w:pPr>
        <w:pStyle w:val="Paragrafoelenco"/>
        <w:widowControl/>
        <w:numPr>
          <w:ilvl w:val="0"/>
          <w:numId w:val="48"/>
        </w:numPr>
        <w:tabs>
          <w:tab w:val="left" w:pos="633"/>
        </w:tabs>
        <w:suppressAutoHyphens/>
        <w:spacing w:after="80"/>
        <w:ind w:left="567" w:hanging="283"/>
        <w:jc w:val="both"/>
        <w:rPr>
          <w:rFonts w:ascii="Trebuchet MS" w:hAnsi="Trebuchet MS" w:cs="Arial"/>
          <w:color w:val="595959"/>
          <w:sz w:val="20"/>
          <w:szCs w:val="20"/>
          <w:lang w:val="en-GB"/>
        </w:rPr>
      </w:pPr>
      <w:r w:rsidRPr="008E4FD3">
        <w:rPr>
          <w:color w:val="595959"/>
          <w:sz w:val="20"/>
          <w:szCs w:val="20"/>
          <w:lang w:val="en"/>
        </w:rPr>
        <w:t xml:space="preserve">Establishment, at the Ministry of Ecological Transition, of a Fund for the </w:t>
      </w:r>
      <w:r w:rsidRPr="008E4FD3">
        <w:rPr>
          <w:b/>
          <w:bCs/>
          <w:color w:val="595959"/>
          <w:sz w:val="20"/>
          <w:szCs w:val="20"/>
          <w:lang w:val="en"/>
        </w:rPr>
        <w:t xml:space="preserve">control of invasive alien </w:t>
      </w:r>
      <w:proofErr w:type="gramStart"/>
      <w:r w:rsidRPr="008E4FD3">
        <w:rPr>
          <w:b/>
          <w:bCs/>
          <w:color w:val="595959"/>
          <w:sz w:val="20"/>
          <w:szCs w:val="20"/>
          <w:lang w:val="en"/>
        </w:rPr>
        <w:t>species</w:t>
      </w:r>
      <w:r w:rsidRPr="008E4FD3">
        <w:rPr>
          <w:color w:val="595959"/>
          <w:sz w:val="20"/>
          <w:szCs w:val="20"/>
          <w:lang w:val="en"/>
        </w:rPr>
        <w:t>;</w:t>
      </w:r>
      <w:proofErr w:type="gramEnd"/>
    </w:p>
    <w:p w14:paraId="2417C3C7" w14:textId="76BDA4CE" w:rsidR="006F4488" w:rsidRPr="005E3784" w:rsidRDefault="006F4488" w:rsidP="006F4488">
      <w:pPr>
        <w:pStyle w:val="Paragrafoelenco"/>
        <w:widowControl/>
        <w:numPr>
          <w:ilvl w:val="0"/>
          <w:numId w:val="48"/>
        </w:numPr>
        <w:tabs>
          <w:tab w:val="left" w:pos="633"/>
        </w:tabs>
        <w:suppressAutoHyphens/>
        <w:spacing w:after="80"/>
        <w:ind w:left="567" w:hanging="283"/>
        <w:jc w:val="both"/>
        <w:rPr>
          <w:color w:val="595959"/>
          <w:sz w:val="20"/>
          <w:szCs w:val="20"/>
          <w:lang w:val="en"/>
        </w:rPr>
      </w:pPr>
      <w:r w:rsidRPr="008E4FD3">
        <w:rPr>
          <w:color w:val="595959"/>
          <w:sz w:val="20"/>
          <w:szCs w:val="20"/>
          <w:lang w:val="en"/>
        </w:rPr>
        <w:t xml:space="preserve">The phenomenon of the </w:t>
      </w:r>
      <w:r w:rsidRPr="008E4FD3">
        <w:rPr>
          <w:b/>
          <w:bCs/>
          <w:color w:val="595959"/>
          <w:sz w:val="20"/>
          <w:szCs w:val="20"/>
          <w:lang w:val="en"/>
        </w:rPr>
        <w:t>bacterium of Xylella fastidiosa</w:t>
      </w:r>
      <w:r w:rsidRPr="008E4FD3">
        <w:rPr>
          <w:color w:val="595959"/>
          <w:sz w:val="20"/>
          <w:szCs w:val="20"/>
          <w:lang w:val="en"/>
        </w:rPr>
        <w:t xml:space="preserve"> has strongly affected the olive-oil sector of</w:t>
      </w:r>
      <w:r>
        <w:rPr>
          <w:color w:val="595959"/>
          <w:sz w:val="20"/>
          <w:szCs w:val="20"/>
          <w:lang w:val="en"/>
        </w:rPr>
        <w:t xml:space="preserve"> Apulia,</w:t>
      </w:r>
      <w:r w:rsidRPr="008E4FD3">
        <w:rPr>
          <w:color w:val="595959"/>
          <w:sz w:val="20"/>
          <w:szCs w:val="20"/>
          <w:lang w:val="en"/>
        </w:rPr>
        <w:t xml:space="preserve"> </w:t>
      </w:r>
      <w:r>
        <w:rPr>
          <w:color w:val="595959"/>
          <w:sz w:val="20"/>
          <w:szCs w:val="20"/>
          <w:lang w:val="en"/>
        </w:rPr>
        <w:t>especially</w:t>
      </w:r>
      <w:r w:rsidRPr="008E4FD3">
        <w:rPr>
          <w:color w:val="595959"/>
          <w:sz w:val="20"/>
          <w:szCs w:val="20"/>
          <w:lang w:val="en"/>
        </w:rPr>
        <w:t xml:space="preserve"> </w:t>
      </w:r>
      <w:r>
        <w:rPr>
          <w:color w:val="595959"/>
          <w:sz w:val="20"/>
          <w:szCs w:val="20"/>
          <w:lang w:val="en"/>
        </w:rPr>
        <w:t xml:space="preserve">in </w:t>
      </w:r>
      <w:r w:rsidRPr="008E4FD3">
        <w:rPr>
          <w:color w:val="595959"/>
          <w:sz w:val="20"/>
          <w:szCs w:val="20"/>
          <w:lang w:val="en"/>
        </w:rPr>
        <w:t xml:space="preserve">Salento. </w:t>
      </w:r>
      <w:r>
        <w:rPr>
          <w:color w:val="595959"/>
          <w:sz w:val="20"/>
          <w:szCs w:val="20"/>
          <w:lang w:val="en"/>
        </w:rPr>
        <w:t xml:space="preserve"> Besides </w:t>
      </w:r>
      <w:r w:rsidRPr="008E4FD3">
        <w:rPr>
          <w:color w:val="595959"/>
          <w:sz w:val="20"/>
          <w:szCs w:val="20"/>
          <w:lang w:val="en"/>
        </w:rPr>
        <w:t xml:space="preserve">the measures </w:t>
      </w:r>
      <w:r>
        <w:rPr>
          <w:color w:val="595959"/>
          <w:sz w:val="20"/>
          <w:szCs w:val="20"/>
          <w:lang w:val="en"/>
        </w:rPr>
        <w:t xml:space="preserve">already </w:t>
      </w:r>
      <w:r w:rsidRPr="008E4FD3">
        <w:rPr>
          <w:color w:val="595959"/>
          <w:sz w:val="20"/>
          <w:szCs w:val="20"/>
          <w:lang w:val="en"/>
        </w:rPr>
        <w:t xml:space="preserve">launched in 2013, </w:t>
      </w:r>
      <w:r w:rsidRPr="00C667A4">
        <w:rPr>
          <w:color w:val="595959"/>
          <w:sz w:val="20"/>
          <w:szCs w:val="20"/>
          <w:lang w:val="en"/>
        </w:rPr>
        <w:t>many</w:t>
      </w:r>
      <w:r>
        <w:rPr>
          <w:i/>
          <w:iCs/>
          <w:color w:val="595959"/>
          <w:sz w:val="20"/>
          <w:szCs w:val="20"/>
          <w:lang w:val="en"/>
        </w:rPr>
        <w:t xml:space="preserve"> </w:t>
      </w:r>
      <w:r w:rsidRPr="008E4FD3">
        <w:rPr>
          <w:b/>
          <w:bCs/>
          <w:color w:val="595959"/>
          <w:sz w:val="20"/>
          <w:szCs w:val="20"/>
          <w:lang w:val="en"/>
        </w:rPr>
        <w:t>research activities</w:t>
      </w:r>
      <w:r w:rsidRPr="008E4FD3">
        <w:rPr>
          <w:color w:val="595959"/>
          <w:sz w:val="20"/>
          <w:szCs w:val="20"/>
          <w:lang w:val="en"/>
        </w:rPr>
        <w:t xml:space="preserve"> conducted by the CNR</w:t>
      </w:r>
      <w:r>
        <w:rPr>
          <w:color w:val="595959"/>
          <w:sz w:val="20"/>
          <w:szCs w:val="20"/>
          <w:lang w:val="en"/>
        </w:rPr>
        <w:t xml:space="preserve"> have been financed with the aim of limiting</w:t>
      </w:r>
      <w:r w:rsidRPr="008E4FD3">
        <w:rPr>
          <w:color w:val="595959"/>
          <w:sz w:val="20"/>
          <w:szCs w:val="20"/>
          <w:lang w:val="en"/>
        </w:rPr>
        <w:t xml:space="preserve"> the spread of the harmful </w:t>
      </w:r>
      <w:r w:rsidR="00D75FA3" w:rsidRPr="008E4FD3">
        <w:rPr>
          <w:color w:val="595959"/>
          <w:sz w:val="20"/>
          <w:szCs w:val="20"/>
          <w:lang w:val="en"/>
        </w:rPr>
        <w:t>organism</w:t>
      </w:r>
      <w:r w:rsidR="00D75FA3">
        <w:rPr>
          <w:color w:val="595959"/>
          <w:sz w:val="20"/>
          <w:szCs w:val="20"/>
          <w:lang w:val="en"/>
        </w:rPr>
        <w:t xml:space="preserve"> and</w:t>
      </w:r>
      <w:r>
        <w:rPr>
          <w:color w:val="595959"/>
          <w:sz w:val="20"/>
          <w:szCs w:val="20"/>
          <w:lang w:val="en"/>
        </w:rPr>
        <w:t xml:space="preserve"> it has been introduced </w:t>
      </w:r>
      <w:r w:rsidRPr="008E4FD3">
        <w:rPr>
          <w:color w:val="595959"/>
          <w:sz w:val="20"/>
          <w:szCs w:val="20"/>
          <w:lang w:val="en"/>
        </w:rPr>
        <w:t xml:space="preserve">the </w:t>
      </w:r>
      <w:r w:rsidRPr="008E4FD3">
        <w:rPr>
          <w:b/>
          <w:bCs/>
          <w:color w:val="595959"/>
          <w:sz w:val="20"/>
          <w:szCs w:val="20"/>
          <w:lang w:val="en"/>
        </w:rPr>
        <w:t>replanting</w:t>
      </w:r>
      <w:r w:rsidRPr="008E4FD3">
        <w:rPr>
          <w:color w:val="595959"/>
          <w:sz w:val="20"/>
          <w:szCs w:val="20"/>
          <w:lang w:val="en"/>
        </w:rPr>
        <w:t xml:space="preserve"> of plants recognized as tolerant or resistant to Xylella</w:t>
      </w:r>
      <w:r w:rsidRPr="005E3784">
        <w:rPr>
          <w:color w:val="595959"/>
          <w:sz w:val="20"/>
          <w:szCs w:val="20"/>
          <w:lang w:val="en"/>
        </w:rPr>
        <w:t>.</w:t>
      </w:r>
    </w:p>
    <w:p w14:paraId="5765164B" w14:textId="5F91F8BD" w:rsidR="00457714" w:rsidRPr="001203CB" w:rsidRDefault="006F4488" w:rsidP="006F4488">
      <w:pPr>
        <w:pStyle w:val="Paragrafoelenco"/>
        <w:widowControl/>
        <w:numPr>
          <w:ilvl w:val="0"/>
          <w:numId w:val="48"/>
        </w:numPr>
        <w:tabs>
          <w:tab w:val="left" w:pos="633"/>
        </w:tabs>
        <w:suppressAutoHyphens/>
        <w:spacing w:after="80"/>
        <w:ind w:left="567" w:hanging="283"/>
        <w:jc w:val="both"/>
        <w:rPr>
          <w:rFonts w:ascii="Trebuchet MS" w:hAnsi="Trebuchet MS"/>
          <w:color w:val="595959"/>
          <w:sz w:val="20"/>
          <w:szCs w:val="20"/>
          <w:lang w:val="en-US"/>
        </w:rPr>
      </w:pPr>
      <w:r>
        <w:rPr>
          <w:color w:val="595959"/>
          <w:sz w:val="20"/>
          <w:szCs w:val="20"/>
          <w:lang w:val="en"/>
        </w:rPr>
        <w:t>In addition t</w:t>
      </w:r>
      <w:r w:rsidRPr="008E4FD3">
        <w:rPr>
          <w:color w:val="595959"/>
          <w:sz w:val="20"/>
          <w:szCs w:val="20"/>
          <w:lang w:val="en"/>
        </w:rPr>
        <w:t xml:space="preserve">o these </w:t>
      </w:r>
      <w:r>
        <w:rPr>
          <w:color w:val="595959"/>
          <w:sz w:val="20"/>
          <w:szCs w:val="20"/>
          <w:lang w:val="en"/>
        </w:rPr>
        <w:t xml:space="preserve">measures there </w:t>
      </w:r>
      <w:r w:rsidRPr="008E4FD3">
        <w:rPr>
          <w:color w:val="595959"/>
          <w:sz w:val="20"/>
          <w:szCs w:val="20"/>
          <w:lang w:val="en"/>
        </w:rPr>
        <w:t xml:space="preserve">is also </w:t>
      </w:r>
      <w:r w:rsidR="00D75FA3" w:rsidRPr="008E4FD3">
        <w:rPr>
          <w:color w:val="595959"/>
          <w:sz w:val="20"/>
          <w:szCs w:val="20"/>
          <w:lang w:val="en"/>
        </w:rPr>
        <w:t>the</w:t>
      </w:r>
      <w:r w:rsidR="00D75FA3" w:rsidRPr="008E4FD3">
        <w:rPr>
          <w:b/>
          <w:bCs/>
          <w:color w:val="595959"/>
          <w:sz w:val="20"/>
          <w:szCs w:val="20"/>
          <w:lang w:val="en"/>
        </w:rPr>
        <w:t xml:space="preserve"> </w:t>
      </w:r>
      <w:r w:rsidR="00D75FA3">
        <w:rPr>
          <w:b/>
          <w:bCs/>
          <w:color w:val="595959"/>
          <w:sz w:val="20"/>
          <w:szCs w:val="20"/>
          <w:lang w:val="en"/>
        </w:rPr>
        <w:t>preservation</w:t>
      </w:r>
      <w:r>
        <w:rPr>
          <w:b/>
          <w:bCs/>
          <w:color w:val="595959"/>
          <w:sz w:val="20"/>
          <w:szCs w:val="20"/>
          <w:lang w:val="en"/>
        </w:rPr>
        <w:t xml:space="preserve"> </w:t>
      </w:r>
      <w:r w:rsidRPr="008E4FD3">
        <w:rPr>
          <w:b/>
          <w:bCs/>
          <w:color w:val="595959"/>
          <w:sz w:val="20"/>
          <w:szCs w:val="20"/>
          <w:lang w:val="en"/>
        </w:rPr>
        <w:t xml:space="preserve">of the quality of </w:t>
      </w:r>
      <w:r>
        <w:rPr>
          <w:b/>
          <w:bCs/>
          <w:color w:val="595959"/>
          <w:sz w:val="20"/>
          <w:szCs w:val="20"/>
          <w:lang w:val="en"/>
        </w:rPr>
        <w:t xml:space="preserve">the </w:t>
      </w:r>
      <w:r w:rsidRPr="008E4FD3">
        <w:rPr>
          <w:b/>
          <w:bCs/>
          <w:color w:val="595959"/>
          <w:sz w:val="20"/>
          <w:szCs w:val="20"/>
          <w:lang w:val="en"/>
        </w:rPr>
        <w:t>national cork</w:t>
      </w:r>
      <w:r w:rsidRPr="008E4FD3">
        <w:rPr>
          <w:color w:val="595959"/>
          <w:sz w:val="20"/>
          <w:szCs w:val="20"/>
          <w:lang w:val="en"/>
        </w:rPr>
        <w:t xml:space="preserve"> and </w:t>
      </w:r>
      <w:r>
        <w:rPr>
          <w:color w:val="595959"/>
          <w:sz w:val="20"/>
          <w:szCs w:val="20"/>
          <w:lang w:val="en"/>
        </w:rPr>
        <w:t xml:space="preserve">the </w:t>
      </w:r>
      <w:r w:rsidRPr="008E4FD3">
        <w:rPr>
          <w:color w:val="595959"/>
          <w:sz w:val="20"/>
          <w:szCs w:val="20"/>
          <w:lang w:val="en"/>
        </w:rPr>
        <w:t>monitoring of</w:t>
      </w:r>
      <w:r>
        <w:rPr>
          <w:color w:val="595959"/>
          <w:sz w:val="20"/>
          <w:szCs w:val="20"/>
          <w:lang w:val="en"/>
        </w:rPr>
        <w:t xml:space="preserve"> the</w:t>
      </w:r>
      <w:r w:rsidRPr="008E4FD3">
        <w:rPr>
          <w:color w:val="595959"/>
          <w:sz w:val="20"/>
          <w:szCs w:val="20"/>
          <w:lang w:val="en"/>
        </w:rPr>
        <w:t xml:space="preserve"> </w:t>
      </w:r>
      <w:proofErr w:type="spellStart"/>
      <w:r w:rsidRPr="00C667A4">
        <w:rPr>
          <w:i/>
          <w:iCs/>
          <w:color w:val="595959"/>
          <w:sz w:val="20"/>
          <w:szCs w:val="20"/>
          <w:lang w:val="en"/>
        </w:rPr>
        <w:t>Coraebus</w:t>
      </w:r>
      <w:proofErr w:type="spellEnd"/>
      <w:r w:rsidRPr="00C667A4">
        <w:rPr>
          <w:i/>
          <w:iCs/>
          <w:color w:val="595959"/>
          <w:sz w:val="20"/>
          <w:szCs w:val="20"/>
          <w:lang w:val="en"/>
        </w:rPr>
        <w:t xml:space="preserve"> </w:t>
      </w:r>
      <w:proofErr w:type="spellStart"/>
      <w:r w:rsidRPr="00C667A4">
        <w:rPr>
          <w:i/>
          <w:iCs/>
          <w:color w:val="595959"/>
          <w:sz w:val="20"/>
          <w:szCs w:val="20"/>
          <w:lang w:val="en"/>
        </w:rPr>
        <w:t>undatus</w:t>
      </w:r>
      <w:proofErr w:type="spellEnd"/>
      <w:r w:rsidRPr="008E4FD3">
        <w:rPr>
          <w:color w:val="595959"/>
          <w:sz w:val="20"/>
          <w:szCs w:val="20"/>
          <w:lang w:val="en"/>
        </w:rPr>
        <w:t>, through heat treatment.</w:t>
      </w:r>
      <w:r w:rsidR="00457714" w:rsidRPr="001203CB">
        <w:rPr>
          <w:rFonts w:ascii="Trebuchet MS" w:hAnsi="Trebuchet MS" w:cs="Arial"/>
          <w:color w:val="595959"/>
          <w:sz w:val="20"/>
          <w:szCs w:val="20"/>
          <w:lang w:val="en-US"/>
        </w:rPr>
        <w:t xml:space="preserve"> </w:t>
      </w:r>
    </w:p>
    <w:p w14:paraId="46F348A2" w14:textId="77777777" w:rsidR="00457714" w:rsidRPr="001203CB" w:rsidRDefault="00457714">
      <w:pPr>
        <w:rPr>
          <w:sz w:val="26"/>
          <w:szCs w:val="26"/>
          <w:lang w:val="en-US"/>
        </w:rPr>
      </w:pPr>
    </w:p>
    <w:p w14:paraId="5C3E3C0A" w14:textId="3AF92CF7" w:rsidR="00457714" w:rsidRPr="001203CB" w:rsidRDefault="001203CB" w:rsidP="00457714">
      <w:pPr>
        <w:widowControl/>
        <w:suppressAutoHyphens/>
        <w:autoSpaceDE/>
        <w:spacing w:after="100"/>
        <w:textAlignment w:val="baseline"/>
        <w:rPr>
          <w:rFonts w:ascii="Trebuchet MS" w:eastAsia="Times New Roman" w:hAnsi="Trebuchet MS" w:cs="Arial"/>
          <w:b/>
          <w:color w:val="595959" w:themeColor="text1" w:themeTint="A6"/>
          <w:kern w:val="3"/>
          <w:lang w:val="en-US" w:eastAsia="it-IT"/>
        </w:rPr>
      </w:pPr>
      <w:r w:rsidRPr="001203CB">
        <w:rPr>
          <w:rFonts w:ascii="Trebuchet MS" w:eastAsia="Times New Roman" w:hAnsi="Trebuchet MS" w:cs="Arial"/>
          <w:b/>
          <w:color w:val="595959" w:themeColor="text1" w:themeTint="A6"/>
          <w:kern w:val="3"/>
          <w:lang w:val="en-US" w:eastAsia="it-IT"/>
        </w:rPr>
        <w:t>Development of agri-food and fisheries supply chains</w:t>
      </w:r>
      <w:r w:rsidR="00457714" w:rsidRPr="001203CB">
        <w:rPr>
          <w:rFonts w:ascii="Trebuchet MS" w:eastAsia="Times New Roman" w:hAnsi="Trebuchet MS" w:cs="Arial"/>
          <w:b/>
          <w:color w:val="595959" w:themeColor="text1" w:themeTint="A6"/>
          <w:kern w:val="3"/>
          <w:lang w:val="en-US" w:eastAsia="it-IT"/>
        </w:rPr>
        <w:t xml:space="preserve"> </w:t>
      </w:r>
    </w:p>
    <w:p w14:paraId="30919642" w14:textId="10E7093A" w:rsidR="00457714" w:rsidRPr="001203CB" w:rsidRDefault="001203CB">
      <w:pPr>
        <w:rPr>
          <w:sz w:val="26"/>
          <w:szCs w:val="26"/>
          <w:lang w:val="en-US"/>
        </w:rPr>
      </w:pPr>
      <w:r>
        <w:rPr>
          <w:noProof/>
          <w:lang w:eastAsia="it-IT"/>
        </w:rPr>
        <w:drawing>
          <wp:inline distT="0" distB="0" distL="0" distR="0" wp14:anchorId="0A59A3A1" wp14:editId="2BE71BC0">
            <wp:extent cx="4063365" cy="3047734"/>
            <wp:effectExtent l="0" t="0" r="0" b="635"/>
            <wp:docPr id="4" name="Immagine 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avolo&#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2651" cy="3062200"/>
                    </a:xfrm>
                    <a:prstGeom prst="rect">
                      <a:avLst/>
                    </a:prstGeom>
                    <a:noFill/>
                    <a:ln>
                      <a:noFill/>
                    </a:ln>
                  </pic:spPr>
                </pic:pic>
              </a:graphicData>
            </a:graphic>
          </wp:inline>
        </w:drawing>
      </w:r>
    </w:p>
    <w:p w14:paraId="622F9B51" w14:textId="77777777" w:rsidR="00457714" w:rsidRPr="001203CB" w:rsidRDefault="00457714">
      <w:pPr>
        <w:rPr>
          <w:sz w:val="26"/>
          <w:szCs w:val="26"/>
          <w:lang w:val="en-US"/>
        </w:rPr>
      </w:pPr>
    </w:p>
    <w:p w14:paraId="619C98DA" w14:textId="77777777" w:rsidR="006F4488" w:rsidRPr="005E3784" w:rsidRDefault="006F4488" w:rsidP="006F4488">
      <w:pPr>
        <w:spacing w:after="80"/>
        <w:jc w:val="both"/>
        <w:rPr>
          <w:rFonts w:ascii="Trebuchet MS" w:hAnsi="Trebuchet MS" w:cs="Arial"/>
          <w:color w:val="595959"/>
          <w:sz w:val="20"/>
          <w:szCs w:val="20"/>
          <w:lang w:val="en-GB"/>
        </w:rPr>
      </w:pPr>
      <w:r w:rsidRPr="008E4FD3">
        <w:rPr>
          <w:color w:val="595959"/>
          <w:sz w:val="20"/>
          <w:szCs w:val="20"/>
          <w:lang w:val="en"/>
        </w:rPr>
        <w:t>Among the interventions dedicated to the development of the agri-food and fisheries supply chains we find newly established interventions and other</w:t>
      </w:r>
      <w:r>
        <w:rPr>
          <w:color w:val="595959"/>
          <w:sz w:val="20"/>
          <w:szCs w:val="20"/>
          <w:lang w:val="en"/>
        </w:rPr>
        <w:t>-ones</w:t>
      </w:r>
      <w:r w:rsidRPr="008E4FD3">
        <w:rPr>
          <w:color w:val="595959"/>
          <w:sz w:val="20"/>
          <w:szCs w:val="20"/>
          <w:lang w:val="en"/>
        </w:rPr>
        <w:t xml:space="preserve"> of extension </w:t>
      </w:r>
      <w:r>
        <w:rPr>
          <w:color w:val="595959"/>
          <w:sz w:val="20"/>
          <w:szCs w:val="20"/>
          <w:lang w:val="en"/>
        </w:rPr>
        <w:t xml:space="preserve">of previous </w:t>
      </w:r>
      <w:r w:rsidRPr="008E4FD3">
        <w:rPr>
          <w:color w:val="595959"/>
          <w:sz w:val="20"/>
          <w:szCs w:val="20"/>
          <w:lang w:val="en"/>
        </w:rPr>
        <w:t>funding. In the first case we</w:t>
      </w:r>
      <w:r>
        <w:rPr>
          <w:color w:val="595959"/>
          <w:sz w:val="20"/>
          <w:szCs w:val="20"/>
          <w:lang w:val="en"/>
        </w:rPr>
        <w:t xml:space="preserve"> quote for reference</w:t>
      </w:r>
      <w:r w:rsidRPr="008E4FD3">
        <w:rPr>
          <w:color w:val="595959"/>
          <w:sz w:val="20"/>
          <w:szCs w:val="20"/>
          <w:lang w:val="en"/>
        </w:rPr>
        <w:t>:</w:t>
      </w:r>
    </w:p>
    <w:p w14:paraId="4FA0C80C" w14:textId="27E4408C" w:rsidR="006F4488" w:rsidRPr="005E3784" w:rsidRDefault="006F4488" w:rsidP="006F4488">
      <w:pPr>
        <w:spacing w:after="80"/>
        <w:jc w:val="both"/>
        <w:rPr>
          <w:rFonts w:ascii="Trebuchet MS" w:hAnsi="Trebuchet MS" w:cs="Arial"/>
          <w:color w:val="595959"/>
          <w:sz w:val="20"/>
          <w:szCs w:val="20"/>
          <w:lang w:val="en-GB"/>
        </w:rPr>
      </w:pPr>
      <w:r w:rsidRPr="008E4FD3">
        <w:rPr>
          <w:b/>
          <w:bCs/>
          <w:color w:val="595959"/>
          <w:sz w:val="20"/>
          <w:szCs w:val="20"/>
          <w:lang w:val="en"/>
        </w:rPr>
        <w:t xml:space="preserve">the Fund for the support of </w:t>
      </w:r>
      <w:r>
        <w:rPr>
          <w:b/>
          <w:bCs/>
          <w:color w:val="595959"/>
          <w:sz w:val="20"/>
          <w:szCs w:val="20"/>
          <w:lang w:val="en"/>
        </w:rPr>
        <w:t xml:space="preserve">the </w:t>
      </w:r>
      <w:r w:rsidRPr="008E4FD3">
        <w:rPr>
          <w:b/>
          <w:bCs/>
          <w:color w:val="595959"/>
          <w:sz w:val="20"/>
          <w:szCs w:val="20"/>
          <w:lang w:val="en"/>
        </w:rPr>
        <w:t>Italian food and wine</w:t>
      </w:r>
      <w:r>
        <w:rPr>
          <w:b/>
          <w:bCs/>
          <w:color w:val="595959"/>
          <w:sz w:val="20"/>
          <w:szCs w:val="20"/>
          <w:lang w:val="en"/>
        </w:rPr>
        <w:t xml:space="preserve"> sector</w:t>
      </w:r>
      <w:r w:rsidRPr="008E4FD3">
        <w:rPr>
          <w:b/>
          <w:bCs/>
          <w:color w:val="595959"/>
          <w:sz w:val="20"/>
          <w:szCs w:val="20"/>
          <w:lang w:val="en"/>
        </w:rPr>
        <w:t xml:space="preserve"> </w:t>
      </w:r>
      <w:r w:rsidRPr="008E4FD3">
        <w:rPr>
          <w:color w:val="595959"/>
          <w:sz w:val="20"/>
          <w:szCs w:val="20"/>
          <w:lang w:val="en"/>
        </w:rPr>
        <w:t xml:space="preserve">aimed </w:t>
      </w:r>
      <w:r>
        <w:rPr>
          <w:color w:val="595959"/>
          <w:sz w:val="20"/>
          <w:szCs w:val="20"/>
          <w:lang w:val="en"/>
        </w:rPr>
        <w:t xml:space="preserve">at </w:t>
      </w:r>
      <w:r w:rsidRPr="008E4FD3">
        <w:rPr>
          <w:color w:val="595959"/>
          <w:sz w:val="20"/>
          <w:szCs w:val="20"/>
          <w:lang w:val="en"/>
        </w:rPr>
        <w:t>promoting and supporting the Italian catering and pastry excellence</w:t>
      </w:r>
      <w:r>
        <w:rPr>
          <w:color w:val="595959"/>
          <w:sz w:val="20"/>
          <w:szCs w:val="20"/>
          <w:lang w:val="en"/>
        </w:rPr>
        <w:t>s</w:t>
      </w:r>
      <w:r w:rsidRPr="008E4FD3">
        <w:rPr>
          <w:color w:val="595959"/>
          <w:sz w:val="20"/>
          <w:szCs w:val="20"/>
          <w:lang w:val="en"/>
        </w:rPr>
        <w:t xml:space="preserve"> and enhancing the Italian agri-food and wine heritage, also through interventions that encourage the </w:t>
      </w:r>
      <w:r w:rsidRPr="008E4FD3">
        <w:rPr>
          <w:b/>
          <w:bCs/>
          <w:color w:val="595959"/>
          <w:sz w:val="20"/>
          <w:szCs w:val="20"/>
          <w:lang w:val="en"/>
        </w:rPr>
        <w:t>enhancement</w:t>
      </w:r>
      <w:r w:rsidRPr="008E4FD3">
        <w:rPr>
          <w:color w:val="595959"/>
          <w:sz w:val="20"/>
          <w:szCs w:val="20"/>
          <w:lang w:val="en"/>
        </w:rPr>
        <w:t xml:space="preserve"> of </w:t>
      </w:r>
      <w:r w:rsidRPr="008E4FD3">
        <w:rPr>
          <w:b/>
          <w:bCs/>
          <w:color w:val="595959"/>
          <w:sz w:val="20"/>
          <w:szCs w:val="20"/>
          <w:lang w:val="en"/>
        </w:rPr>
        <w:t>products with designation of origin and geographical</w:t>
      </w:r>
      <w:r>
        <w:rPr>
          <w:lang w:val="en"/>
        </w:rPr>
        <w:t xml:space="preserve"> </w:t>
      </w:r>
      <w:proofErr w:type="gramStart"/>
      <w:r w:rsidRPr="008E4FD3">
        <w:rPr>
          <w:color w:val="595959"/>
          <w:sz w:val="20"/>
          <w:szCs w:val="20"/>
          <w:lang w:val="en"/>
        </w:rPr>
        <w:t xml:space="preserve">indication </w:t>
      </w:r>
      <w:r>
        <w:rPr>
          <w:color w:val="595959"/>
          <w:sz w:val="20"/>
          <w:szCs w:val="20"/>
          <w:lang w:val="en"/>
        </w:rPr>
        <w:t xml:space="preserve"> as</w:t>
      </w:r>
      <w:proofErr w:type="gramEnd"/>
      <w:r>
        <w:rPr>
          <w:color w:val="595959"/>
          <w:sz w:val="20"/>
          <w:szCs w:val="20"/>
          <w:lang w:val="en"/>
        </w:rPr>
        <w:t xml:space="preserve"> well as the </w:t>
      </w:r>
      <w:r w:rsidRPr="008E4FD3">
        <w:rPr>
          <w:color w:val="595959"/>
          <w:sz w:val="20"/>
          <w:szCs w:val="20"/>
          <w:lang w:val="en"/>
        </w:rPr>
        <w:t>Italian agri-food excellences.</w:t>
      </w:r>
      <w:r>
        <w:rPr>
          <w:color w:val="595959"/>
          <w:sz w:val="20"/>
          <w:szCs w:val="20"/>
          <w:lang w:val="en"/>
        </w:rPr>
        <w:t xml:space="preserve"> For this purpose</w:t>
      </w:r>
      <w:r w:rsidRPr="008E4FD3">
        <w:rPr>
          <w:color w:val="595959"/>
          <w:sz w:val="20"/>
          <w:szCs w:val="20"/>
          <w:lang w:val="en"/>
        </w:rPr>
        <w:t xml:space="preserve">, two </w:t>
      </w:r>
      <w:r w:rsidR="00DC6F12" w:rsidRPr="008E4FD3">
        <w:rPr>
          <w:color w:val="595959"/>
          <w:sz w:val="20"/>
          <w:szCs w:val="20"/>
          <w:lang w:val="en"/>
        </w:rPr>
        <w:t xml:space="preserve">funds </w:t>
      </w:r>
      <w:r w:rsidR="00DC6F12">
        <w:rPr>
          <w:color w:val="595959"/>
          <w:sz w:val="20"/>
          <w:szCs w:val="20"/>
          <w:lang w:val="en"/>
        </w:rPr>
        <w:t>have</w:t>
      </w:r>
      <w:r>
        <w:rPr>
          <w:color w:val="595959"/>
          <w:sz w:val="20"/>
          <w:szCs w:val="20"/>
          <w:lang w:val="en"/>
        </w:rPr>
        <w:t xml:space="preserve"> been set up</w:t>
      </w:r>
      <w:r w:rsidRPr="008E4FD3">
        <w:rPr>
          <w:color w:val="595959"/>
          <w:sz w:val="20"/>
          <w:szCs w:val="20"/>
          <w:lang w:val="en"/>
        </w:rPr>
        <w:t xml:space="preserve"> at </w:t>
      </w:r>
      <w:proofErr w:type="spellStart"/>
      <w:r w:rsidRPr="008E4FD3">
        <w:rPr>
          <w:color w:val="595959"/>
          <w:sz w:val="20"/>
          <w:szCs w:val="20"/>
          <w:lang w:val="en"/>
        </w:rPr>
        <w:t>MiPAAF</w:t>
      </w:r>
      <w:proofErr w:type="spellEnd"/>
      <w:r>
        <w:rPr>
          <w:color w:val="595959"/>
          <w:sz w:val="20"/>
          <w:szCs w:val="20"/>
          <w:lang w:val="en"/>
        </w:rPr>
        <w:t xml:space="preserve"> named</w:t>
      </w:r>
      <w:r w:rsidRPr="008E4FD3">
        <w:rPr>
          <w:color w:val="595959"/>
          <w:sz w:val="20"/>
          <w:szCs w:val="20"/>
          <w:lang w:val="en"/>
        </w:rPr>
        <w:t>, respectively:</w:t>
      </w:r>
    </w:p>
    <w:p w14:paraId="662760EE" w14:textId="69A604B7" w:rsidR="006F4488" w:rsidRPr="005E3784" w:rsidRDefault="006F4488" w:rsidP="006F4488">
      <w:pPr>
        <w:pStyle w:val="Paragrafoelenco"/>
        <w:widowControl/>
        <w:numPr>
          <w:ilvl w:val="1"/>
          <w:numId w:val="49"/>
        </w:numPr>
        <w:tabs>
          <w:tab w:val="left" w:pos="284"/>
        </w:tabs>
        <w:suppressAutoHyphens/>
        <w:spacing w:after="80"/>
        <w:ind w:left="709" w:hanging="425"/>
        <w:jc w:val="both"/>
        <w:textAlignment w:val="baseline"/>
        <w:rPr>
          <w:rFonts w:ascii="Trebuchet MS" w:hAnsi="Trebuchet MS" w:cs="Arial"/>
          <w:color w:val="595959"/>
          <w:sz w:val="20"/>
          <w:szCs w:val="20"/>
          <w:lang w:val="en-GB"/>
        </w:rPr>
      </w:pPr>
      <w:r w:rsidRPr="008E4FD3">
        <w:rPr>
          <w:color w:val="595959"/>
          <w:sz w:val="20"/>
          <w:szCs w:val="20"/>
          <w:lang w:val="en"/>
        </w:rPr>
        <w:t xml:space="preserve">current-account fund for the </w:t>
      </w:r>
      <w:r w:rsidRPr="008E4FD3">
        <w:rPr>
          <w:b/>
          <w:bCs/>
          <w:color w:val="595959"/>
          <w:sz w:val="20"/>
          <w:szCs w:val="20"/>
          <w:lang w:val="en"/>
        </w:rPr>
        <w:t>support of the excellence</w:t>
      </w:r>
      <w:r>
        <w:rPr>
          <w:b/>
          <w:bCs/>
          <w:color w:val="595959"/>
          <w:sz w:val="20"/>
          <w:szCs w:val="20"/>
          <w:lang w:val="en"/>
        </w:rPr>
        <w:t>s</w:t>
      </w:r>
      <w:r w:rsidRPr="008E4FD3">
        <w:rPr>
          <w:b/>
          <w:bCs/>
          <w:color w:val="595959"/>
          <w:sz w:val="20"/>
          <w:szCs w:val="20"/>
          <w:lang w:val="en"/>
        </w:rPr>
        <w:t xml:space="preserve"> of </w:t>
      </w:r>
      <w:r>
        <w:rPr>
          <w:b/>
          <w:bCs/>
          <w:color w:val="595959"/>
          <w:sz w:val="20"/>
          <w:szCs w:val="20"/>
          <w:lang w:val="en"/>
        </w:rPr>
        <w:t xml:space="preserve">the </w:t>
      </w:r>
      <w:r w:rsidRPr="008E4FD3">
        <w:rPr>
          <w:b/>
          <w:bCs/>
          <w:color w:val="595959"/>
          <w:sz w:val="20"/>
          <w:szCs w:val="20"/>
          <w:lang w:val="en"/>
        </w:rPr>
        <w:t>Italian gastronomy and agri-food</w:t>
      </w:r>
      <w:r>
        <w:rPr>
          <w:b/>
          <w:bCs/>
          <w:color w:val="595959"/>
          <w:sz w:val="20"/>
          <w:szCs w:val="20"/>
          <w:lang w:val="en"/>
        </w:rPr>
        <w:t xml:space="preserve"> </w:t>
      </w:r>
      <w:proofErr w:type="gramStart"/>
      <w:r>
        <w:rPr>
          <w:b/>
          <w:bCs/>
          <w:color w:val="595959"/>
          <w:sz w:val="20"/>
          <w:szCs w:val="20"/>
          <w:lang w:val="en"/>
        </w:rPr>
        <w:t>sector</w:t>
      </w:r>
      <w:r w:rsidRPr="008E4FD3">
        <w:rPr>
          <w:color w:val="595959"/>
          <w:sz w:val="20"/>
          <w:szCs w:val="20"/>
          <w:lang w:val="en"/>
        </w:rPr>
        <w:t>;</w:t>
      </w:r>
      <w:proofErr w:type="gramEnd"/>
    </w:p>
    <w:p w14:paraId="285B7DBA" w14:textId="210FD6A5" w:rsidR="00457714" w:rsidRPr="001203CB" w:rsidRDefault="006F4488" w:rsidP="006F4488">
      <w:pPr>
        <w:pStyle w:val="Paragrafoelenco"/>
        <w:widowControl/>
        <w:numPr>
          <w:ilvl w:val="1"/>
          <w:numId w:val="49"/>
        </w:numPr>
        <w:tabs>
          <w:tab w:val="left" w:pos="284"/>
        </w:tabs>
        <w:suppressAutoHyphens/>
        <w:spacing w:after="80"/>
        <w:ind w:left="709" w:hanging="425"/>
        <w:jc w:val="both"/>
        <w:textAlignment w:val="baseline"/>
        <w:rPr>
          <w:rFonts w:ascii="Trebuchet MS" w:hAnsi="Trebuchet MS" w:cs="Arial"/>
          <w:color w:val="595959"/>
          <w:sz w:val="20"/>
          <w:szCs w:val="20"/>
          <w:lang w:val="en-US"/>
        </w:rPr>
      </w:pPr>
      <w:r w:rsidRPr="008E4FD3">
        <w:rPr>
          <w:color w:val="595959"/>
          <w:sz w:val="20"/>
          <w:szCs w:val="20"/>
          <w:lang w:val="en"/>
        </w:rPr>
        <w:t xml:space="preserve">capital </w:t>
      </w:r>
      <w:r w:rsidRPr="005E3784">
        <w:rPr>
          <w:color w:val="595959"/>
          <w:sz w:val="20"/>
          <w:szCs w:val="20"/>
          <w:lang w:val="en"/>
        </w:rPr>
        <w:t>fund</w:t>
      </w:r>
      <w:r>
        <w:rPr>
          <w:lang w:val="en"/>
        </w:rPr>
        <w:t xml:space="preserve"> </w:t>
      </w:r>
      <w:r w:rsidRPr="008E4FD3">
        <w:rPr>
          <w:b/>
          <w:bCs/>
          <w:color w:val="595959"/>
          <w:sz w:val="20"/>
          <w:szCs w:val="20"/>
          <w:lang w:val="en"/>
        </w:rPr>
        <w:t>for the support of the excellence</w:t>
      </w:r>
      <w:r>
        <w:rPr>
          <w:b/>
          <w:bCs/>
          <w:color w:val="595959"/>
          <w:sz w:val="20"/>
          <w:szCs w:val="20"/>
          <w:lang w:val="en"/>
        </w:rPr>
        <w:t>s</w:t>
      </w:r>
      <w:r w:rsidRPr="008E4FD3">
        <w:rPr>
          <w:b/>
          <w:bCs/>
          <w:color w:val="595959"/>
          <w:sz w:val="20"/>
          <w:szCs w:val="20"/>
          <w:lang w:val="en"/>
        </w:rPr>
        <w:t xml:space="preserve"> of </w:t>
      </w:r>
      <w:r>
        <w:rPr>
          <w:b/>
          <w:bCs/>
          <w:color w:val="595959"/>
          <w:sz w:val="20"/>
          <w:szCs w:val="20"/>
          <w:lang w:val="en"/>
        </w:rPr>
        <w:t xml:space="preserve">the </w:t>
      </w:r>
      <w:r w:rsidRPr="008E4FD3">
        <w:rPr>
          <w:b/>
          <w:bCs/>
          <w:color w:val="595959"/>
          <w:sz w:val="20"/>
          <w:szCs w:val="20"/>
          <w:lang w:val="en"/>
        </w:rPr>
        <w:t>Italian gastronomy and agri-food</w:t>
      </w:r>
      <w:r>
        <w:rPr>
          <w:b/>
          <w:bCs/>
          <w:color w:val="595959"/>
          <w:sz w:val="20"/>
          <w:szCs w:val="20"/>
          <w:lang w:val="en"/>
        </w:rPr>
        <w:t xml:space="preserve"> sector</w:t>
      </w:r>
      <w:r w:rsidRPr="008E4FD3">
        <w:rPr>
          <w:color w:val="595959"/>
          <w:sz w:val="20"/>
          <w:szCs w:val="20"/>
          <w:lang w:val="en"/>
        </w:rPr>
        <w:t>.</w:t>
      </w:r>
    </w:p>
    <w:p w14:paraId="58F310E0" w14:textId="77777777" w:rsidR="00457714" w:rsidRPr="001203CB" w:rsidRDefault="00457714" w:rsidP="00457714">
      <w:pPr>
        <w:pStyle w:val="Paragrafoelenco"/>
        <w:widowControl/>
        <w:suppressAutoHyphens/>
        <w:spacing w:after="80"/>
        <w:ind w:left="1440" w:firstLine="0"/>
        <w:jc w:val="both"/>
        <w:textAlignment w:val="baseline"/>
        <w:rPr>
          <w:rFonts w:ascii="Trebuchet MS" w:hAnsi="Trebuchet MS" w:cs="Arial"/>
          <w:color w:val="595959"/>
          <w:sz w:val="20"/>
          <w:szCs w:val="20"/>
          <w:lang w:val="en-US"/>
        </w:rPr>
      </w:pPr>
    </w:p>
    <w:p w14:paraId="509DDC03" w14:textId="77777777" w:rsidR="006F4488" w:rsidRPr="005E3784" w:rsidRDefault="006F4488" w:rsidP="006F4488">
      <w:pPr>
        <w:spacing w:after="80"/>
        <w:jc w:val="both"/>
        <w:rPr>
          <w:rFonts w:ascii="Trebuchet MS" w:hAnsi="Trebuchet MS" w:cs="Arial"/>
          <w:color w:val="595959"/>
          <w:sz w:val="20"/>
          <w:szCs w:val="20"/>
          <w:lang w:val="en-GB"/>
        </w:rPr>
      </w:pPr>
      <w:r>
        <w:rPr>
          <w:color w:val="595959"/>
          <w:sz w:val="20"/>
          <w:szCs w:val="20"/>
          <w:lang w:val="en"/>
        </w:rPr>
        <w:t>At the same time</w:t>
      </w:r>
      <w:r w:rsidRPr="008E4FD3">
        <w:rPr>
          <w:color w:val="595959"/>
          <w:sz w:val="20"/>
          <w:szCs w:val="20"/>
          <w:lang w:val="en"/>
        </w:rPr>
        <w:t>,</w:t>
      </w:r>
      <w:r>
        <w:rPr>
          <w:color w:val="595959"/>
          <w:sz w:val="20"/>
          <w:szCs w:val="20"/>
          <w:lang w:val="en"/>
        </w:rPr>
        <w:t xml:space="preserve"> </w:t>
      </w:r>
      <w:proofErr w:type="gramStart"/>
      <w:r>
        <w:rPr>
          <w:color w:val="595959"/>
          <w:sz w:val="20"/>
          <w:szCs w:val="20"/>
          <w:lang w:val="en"/>
        </w:rPr>
        <w:t>in order</w:t>
      </w:r>
      <w:r w:rsidRPr="008E4FD3">
        <w:rPr>
          <w:color w:val="595959"/>
          <w:sz w:val="20"/>
          <w:szCs w:val="20"/>
          <w:lang w:val="en"/>
        </w:rPr>
        <w:t xml:space="preserve"> to</w:t>
      </w:r>
      <w:proofErr w:type="gramEnd"/>
      <w:r w:rsidRPr="008E4FD3">
        <w:rPr>
          <w:color w:val="595959"/>
          <w:sz w:val="20"/>
          <w:szCs w:val="20"/>
          <w:lang w:val="en"/>
        </w:rPr>
        <w:t xml:space="preserve"> promote the ecological transition in the catering sector,</w:t>
      </w:r>
      <w:r>
        <w:rPr>
          <w:color w:val="595959"/>
          <w:sz w:val="20"/>
          <w:szCs w:val="20"/>
          <w:lang w:val="en"/>
        </w:rPr>
        <w:t xml:space="preserve"> </w:t>
      </w:r>
      <w:proofErr w:type="spellStart"/>
      <w:r>
        <w:rPr>
          <w:color w:val="595959"/>
          <w:sz w:val="20"/>
          <w:szCs w:val="20"/>
          <w:lang w:val="en"/>
        </w:rPr>
        <w:t>MiPAAF</w:t>
      </w:r>
      <w:proofErr w:type="spellEnd"/>
      <w:r>
        <w:rPr>
          <w:color w:val="595959"/>
          <w:sz w:val="20"/>
          <w:szCs w:val="20"/>
          <w:lang w:val="en"/>
        </w:rPr>
        <w:t xml:space="preserve"> has set up</w:t>
      </w:r>
      <w:r w:rsidRPr="008E4FD3">
        <w:rPr>
          <w:color w:val="595959"/>
          <w:sz w:val="20"/>
          <w:szCs w:val="20"/>
          <w:lang w:val="en"/>
        </w:rPr>
        <w:t xml:space="preserve"> a fund, with </w:t>
      </w:r>
      <w:r>
        <w:rPr>
          <w:color w:val="595959"/>
          <w:sz w:val="20"/>
          <w:szCs w:val="20"/>
          <w:lang w:val="en"/>
        </w:rPr>
        <w:t xml:space="preserve">an allocation </w:t>
      </w:r>
      <w:r w:rsidRPr="008E4FD3">
        <w:rPr>
          <w:color w:val="595959"/>
          <w:sz w:val="20"/>
          <w:szCs w:val="20"/>
          <w:lang w:val="en"/>
        </w:rPr>
        <w:t>of one million euros for the year 2022.</w:t>
      </w:r>
    </w:p>
    <w:p w14:paraId="530E48BD" w14:textId="4F7940A8" w:rsidR="006F4488" w:rsidRPr="005E3784" w:rsidRDefault="006F4488" w:rsidP="006F4488">
      <w:pPr>
        <w:spacing w:after="80"/>
        <w:jc w:val="both"/>
        <w:rPr>
          <w:rFonts w:ascii="Trebuchet MS" w:hAnsi="Trebuchet MS" w:cs="Arial"/>
          <w:color w:val="595959"/>
          <w:sz w:val="20"/>
          <w:szCs w:val="20"/>
          <w:lang w:val="en-GB"/>
        </w:rPr>
      </w:pPr>
      <w:r w:rsidRPr="008E4FD3">
        <w:rPr>
          <w:color w:val="595959"/>
          <w:sz w:val="20"/>
          <w:szCs w:val="20"/>
          <w:lang w:val="en"/>
        </w:rPr>
        <w:t xml:space="preserve">Regarding the </w:t>
      </w:r>
      <w:r w:rsidRPr="008E4FD3">
        <w:rPr>
          <w:b/>
          <w:bCs/>
          <w:color w:val="595959"/>
          <w:sz w:val="20"/>
          <w:szCs w:val="20"/>
          <w:lang w:val="en"/>
        </w:rPr>
        <w:t>labelling of products,</w:t>
      </w:r>
      <w:r w:rsidRPr="008E4FD3">
        <w:rPr>
          <w:color w:val="595959"/>
          <w:sz w:val="20"/>
          <w:szCs w:val="20"/>
          <w:lang w:val="en"/>
        </w:rPr>
        <w:t xml:space="preserve"> paragraph </w:t>
      </w:r>
      <w:r w:rsidR="00DC6F12" w:rsidRPr="008E4FD3">
        <w:rPr>
          <w:color w:val="595959"/>
          <w:sz w:val="20"/>
          <w:szCs w:val="20"/>
          <w:lang w:val="en"/>
        </w:rPr>
        <w:t xml:space="preserve">842 </w:t>
      </w:r>
      <w:r w:rsidR="00DC6F12">
        <w:rPr>
          <w:color w:val="595959"/>
          <w:sz w:val="20"/>
          <w:szCs w:val="20"/>
          <w:lang w:val="en"/>
        </w:rPr>
        <w:t>envisages</w:t>
      </w:r>
      <w:r>
        <w:rPr>
          <w:color w:val="595959"/>
          <w:sz w:val="20"/>
          <w:szCs w:val="20"/>
          <w:lang w:val="en"/>
        </w:rPr>
        <w:t xml:space="preserve"> </w:t>
      </w:r>
      <w:r w:rsidRPr="008E4FD3">
        <w:rPr>
          <w:color w:val="595959"/>
          <w:sz w:val="20"/>
          <w:szCs w:val="20"/>
          <w:lang w:val="en"/>
        </w:rPr>
        <w:t xml:space="preserve">a contribution for the promotion of local territories, in favor </w:t>
      </w:r>
      <w:r w:rsidR="00DC6F12" w:rsidRPr="008E4FD3">
        <w:rPr>
          <w:color w:val="595959"/>
          <w:sz w:val="20"/>
          <w:szCs w:val="20"/>
          <w:lang w:val="en"/>
        </w:rPr>
        <w:t xml:space="preserve">of </w:t>
      </w:r>
      <w:r w:rsidR="0057151B">
        <w:rPr>
          <w:color w:val="595959"/>
          <w:sz w:val="20"/>
          <w:szCs w:val="20"/>
          <w:lang w:val="en"/>
        </w:rPr>
        <w:t>PDO,</w:t>
      </w:r>
      <w:r w:rsidRPr="008E4FD3">
        <w:rPr>
          <w:color w:val="595959"/>
          <w:sz w:val="20"/>
          <w:szCs w:val="20"/>
          <w:lang w:val="en"/>
        </w:rPr>
        <w:t xml:space="preserve"> </w:t>
      </w:r>
      <w:r>
        <w:rPr>
          <w:color w:val="595959"/>
          <w:sz w:val="20"/>
          <w:szCs w:val="20"/>
          <w:lang w:val="en"/>
        </w:rPr>
        <w:t xml:space="preserve">PGI </w:t>
      </w:r>
      <w:r w:rsidRPr="008E4FD3">
        <w:rPr>
          <w:color w:val="595959"/>
          <w:sz w:val="20"/>
          <w:szCs w:val="20"/>
          <w:lang w:val="en"/>
        </w:rPr>
        <w:t>and organic wine producers who invest in digital labelling systems, allowing through a QR-code affixed to the labels, a dynamic communication from the producer to the consumer, conveying the latter on institutional sites and web pages dedicated to cultural, tourist and rural promotion of the local territories.</w:t>
      </w:r>
    </w:p>
    <w:p w14:paraId="660958D8" w14:textId="77777777" w:rsidR="006F4488" w:rsidRPr="005E3784" w:rsidRDefault="006F4488" w:rsidP="006F4488">
      <w:pPr>
        <w:spacing w:after="80"/>
        <w:jc w:val="both"/>
        <w:rPr>
          <w:rFonts w:ascii="Trebuchet MS" w:hAnsi="Trebuchet MS" w:cs="Arial"/>
          <w:color w:val="595959"/>
          <w:sz w:val="20"/>
          <w:szCs w:val="20"/>
          <w:lang w:val="en-GB"/>
        </w:rPr>
      </w:pPr>
      <w:r w:rsidRPr="008E4FD3">
        <w:rPr>
          <w:color w:val="595959"/>
          <w:sz w:val="20"/>
          <w:szCs w:val="20"/>
          <w:lang w:val="en"/>
        </w:rPr>
        <w:lastRenderedPageBreak/>
        <w:t xml:space="preserve">Interventions to support </w:t>
      </w:r>
      <w:r w:rsidRPr="008E4FD3">
        <w:rPr>
          <w:b/>
          <w:bCs/>
          <w:color w:val="595959"/>
          <w:sz w:val="20"/>
          <w:szCs w:val="20"/>
          <w:lang w:val="en"/>
        </w:rPr>
        <w:t xml:space="preserve">beekeeping supply chains, </w:t>
      </w:r>
      <w:r w:rsidRPr="008E4FD3">
        <w:rPr>
          <w:color w:val="595959"/>
          <w:sz w:val="20"/>
          <w:szCs w:val="20"/>
          <w:lang w:val="en"/>
        </w:rPr>
        <w:t>and to promote the competitive development of the nut sector</w:t>
      </w:r>
      <w:r w:rsidRPr="008E4FD3">
        <w:rPr>
          <w:b/>
          <w:bCs/>
          <w:color w:val="595959"/>
          <w:sz w:val="20"/>
          <w:szCs w:val="20"/>
          <w:lang w:val="en"/>
        </w:rPr>
        <w:t xml:space="preserve"> and minor supply chains</w:t>
      </w:r>
      <w:r w:rsidRPr="008E4FD3">
        <w:rPr>
          <w:color w:val="595959"/>
          <w:sz w:val="20"/>
          <w:szCs w:val="20"/>
          <w:lang w:val="en"/>
        </w:rPr>
        <w:t xml:space="preserve"> by encouraging research and modernization of forestry management techniques, favoring enhancement </w:t>
      </w:r>
      <w:proofErr w:type="gramStart"/>
      <w:r w:rsidRPr="008E4FD3">
        <w:rPr>
          <w:color w:val="595959"/>
          <w:sz w:val="20"/>
          <w:szCs w:val="20"/>
          <w:lang w:val="en"/>
        </w:rPr>
        <w:t>programs</w:t>
      </w:r>
      <w:proofErr w:type="gramEnd"/>
      <w:r w:rsidRPr="008E4FD3">
        <w:rPr>
          <w:color w:val="595959"/>
          <w:sz w:val="20"/>
          <w:szCs w:val="20"/>
          <w:lang w:val="en"/>
        </w:rPr>
        <w:t xml:space="preserve"> and supporting the refinancing of sector</w:t>
      </w:r>
      <w:r>
        <w:rPr>
          <w:color w:val="595959"/>
          <w:sz w:val="20"/>
          <w:szCs w:val="20"/>
          <w:lang w:val="en"/>
        </w:rPr>
        <w:t>al</w:t>
      </w:r>
      <w:r w:rsidRPr="008E4FD3">
        <w:rPr>
          <w:color w:val="595959"/>
          <w:sz w:val="20"/>
          <w:szCs w:val="20"/>
          <w:lang w:val="en"/>
        </w:rPr>
        <w:t xml:space="preserve"> plans.</w:t>
      </w:r>
    </w:p>
    <w:p w14:paraId="0FA23CAD" w14:textId="77777777" w:rsidR="006F4488" w:rsidRPr="005E3784" w:rsidRDefault="006F4488" w:rsidP="006F4488">
      <w:pPr>
        <w:spacing w:after="80"/>
        <w:jc w:val="both"/>
        <w:rPr>
          <w:rFonts w:ascii="Trebuchet MS" w:hAnsi="Trebuchet MS" w:cs="Arial"/>
          <w:color w:val="595959"/>
          <w:sz w:val="20"/>
          <w:szCs w:val="20"/>
          <w:lang w:val="en-GB"/>
        </w:rPr>
      </w:pPr>
      <w:proofErr w:type="spellStart"/>
      <w:r w:rsidRPr="008E4FD3">
        <w:rPr>
          <w:color w:val="595959"/>
          <w:sz w:val="20"/>
          <w:szCs w:val="20"/>
          <w:lang w:val="en"/>
        </w:rPr>
        <w:t>MiPAAF</w:t>
      </w:r>
      <w:proofErr w:type="spellEnd"/>
      <w:r>
        <w:rPr>
          <w:color w:val="595959"/>
          <w:sz w:val="20"/>
          <w:szCs w:val="20"/>
          <w:lang w:val="en"/>
        </w:rPr>
        <w:t xml:space="preserve"> has also e</w:t>
      </w:r>
      <w:r w:rsidRPr="008E4FD3">
        <w:rPr>
          <w:color w:val="595959"/>
          <w:sz w:val="20"/>
          <w:szCs w:val="20"/>
          <w:lang w:val="en"/>
        </w:rPr>
        <w:t>stablished</w:t>
      </w:r>
      <w:r w:rsidRPr="009977D3">
        <w:rPr>
          <w:color w:val="595959"/>
          <w:sz w:val="20"/>
          <w:szCs w:val="20"/>
          <w:lang w:val="en"/>
        </w:rPr>
        <w:t xml:space="preserve"> </w:t>
      </w:r>
      <w:r w:rsidRPr="008E4FD3">
        <w:rPr>
          <w:color w:val="595959"/>
          <w:sz w:val="20"/>
          <w:szCs w:val="20"/>
          <w:lang w:val="en"/>
        </w:rPr>
        <w:t xml:space="preserve">the </w:t>
      </w:r>
      <w:r w:rsidRPr="008E4FD3">
        <w:rPr>
          <w:b/>
          <w:bCs/>
          <w:color w:val="595959"/>
          <w:sz w:val="20"/>
          <w:szCs w:val="20"/>
          <w:lang w:val="en"/>
        </w:rPr>
        <w:t>Fund for the development of organic aromatic and medicinal plants crops</w:t>
      </w:r>
      <w:r w:rsidRPr="008E4FD3">
        <w:rPr>
          <w:color w:val="595959"/>
          <w:sz w:val="20"/>
          <w:szCs w:val="20"/>
          <w:lang w:val="en"/>
        </w:rPr>
        <w:t xml:space="preserve">, to promote the cultivation of organic aromatic and medicinal plants on the national territory. </w:t>
      </w:r>
    </w:p>
    <w:p w14:paraId="3F86C1D0" w14:textId="5DFE6308" w:rsidR="00457714" w:rsidRPr="00546DDB" w:rsidRDefault="006F4488" w:rsidP="006F4488">
      <w:pPr>
        <w:spacing w:after="80"/>
        <w:jc w:val="both"/>
        <w:rPr>
          <w:rFonts w:ascii="Trebuchet MS" w:hAnsi="Trebuchet MS" w:cs="Arial"/>
          <w:color w:val="595959"/>
          <w:sz w:val="20"/>
          <w:szCs w:val="20"/>
          <w:lang w:val="en-US"/>
        </w:rPr>
      </w:pPr>
      <w:r>
        <w:rPr>
          <w:color w:val="595959"/>
          <w:sz w:val="20"/>
          <w:szCs w:val="20"/>
          <w:lang w:val="en"/>
        </w:rPr>
        <w:t>Lastly</w:t>
      </w:r>
      <w:r w:rsidRPr="008E4FD3">
        <w:rPr>
          <w:color w:val="595959"/>
          <w:sz w:val="20"/>
          <w:szCs w:val="20"/>
          <w:lang w:val="en"/>
        </w:rPr>
        <w:t>, the</w:t>
      </w:r>
      <w:r w:rsidRPr="008E4FD3">
        <w:rPr>
          <w:b/>
          <w:bCs/>
          <w:color w:val="595959"/>
          <w:sz w:val="20"/>
          <w:szCs w:val="20"/>
          <w:lang w:val="en"/>
        </w:rPr>
        <w:t xml:space="preserve"> Fund for the international enhancement of intangible agri-food and </w:t>
      </w:r>
      <w:proofErr w:type="spellStart"/>
      <w:r w:rsidRPr="008E4FD3">
        <w:rPr>
          <w:b/>
          <w:bCs/>
          <w:color w:val="595959"/>
          <w:sz w:val="20"/>
          <w:szCs w:val="20"/>
          <w:lang w:val="en"/>
        </w:rPr>
        <w:t>agro</w:t>
      </w:r>
      <w:proofErr w:type="spellEnd"/>
      <w:r w:rsidRPr="008E4FD3">
        <w:rPr>
          <w:b/>
          <w:bCs/>
          <w:color w:val="595959"/>
          <w:sz w:val="20"/>
          <w:szCs w:val="20"/>
          <w:lang w:val="en"/>
        </w:rPr>
        <w:t>-</w:t>
      </w:r>
      <w:proofErr w:type="spellStart"/>
      <w:r w:rsidRPr="008E4FD3">
        <w:rPr>
          <w:b/>
          <w:bCs/>
          <w:color w:val="595959"/>
          <w:sz w:val="20"/>
          <w:szCs w:val="20"/>
          <w:lang w:val="en"/>
        </w:rPr>
        <w:t>silvo</w:t>
      </w:r>
      <w:proofErr w:type="spellEnd"/>
      <w:r w:rsidRPr="008E4FD3">
        <w:rPr>
          <w:b/>
          <w:bCs/>
          <w:color w:val="595959"/>
          <w:sz w:val="20"/>
          <w:szCs w:val="20"/>
          <w:lang w:val="en"/>
        </w:rPr>
        <w:t>-pastoral heritage</w:t>
      </w:r>
      <w:r w:rsidRPr="008E4FD3">
        <w:rPr>
          <w:color w:val="595959"/>
          <w:sz w:val="20"/>
          <w:szCs w:val="20"/>
          <w:lang w:val="en"/>
        </w:rPr>
        <w:t xml:space="preserve">, intended to support the agri-food and </w:t>
      </w:r>
      <w:proofErr w:type="spellStart"/>
      <w:r w:rsidRPr="008E4FD3">
        <w:rPr>
          <w:color w:val="595959"/>
          <w:sz w:val="20"/>
          <w:szCs w:val="20"/>
          <w:lang w:val="en"/>
        </w:rPr>
        <w:t>agro</w:t>
      </w:r>
      <w:proofErr w:type="spellEnd"/>
      <w:r w:rsidRPr="008E4FD3">
        <w:rPr>
          <w:color w:val="595959"/>
          <w:sz w:val="20"/>
          <w:szCs w:val="20"/>
          <w:lang w:val="en"/>
        </w:rPr>
        <w:t>-</w:t>
      </w:r>
      <w:proofErr w:type="spellStart"/>
      <w:r w:rsidRPr="008E4FD3">
        <w:rPr>
          <w:color w:val="595959"/>
          <w:sz w:val="20"/>
          <w:szCs w:val="20"/>
          <w:lang w:val="en"/>
        </w:rPr>
        <w:t>silvo</w:t>
      </w:r>
      <w:proofErr w:type="spellEnd"/>
      <w:r w:rsidRPr="008E4FD3">
        <w:rPr>
          <w:color w:val="595959"/>
          <w:sz w:val="20"/>
          <w:szCs w:val="20"/>
          <w:lang w:val="en"/>
        </w:rPr>
        <w:t>-pastoral traditions and practices declared by UNESCO as an intangible heritage of humanity.</w:t>
      </w:r>
      <w:r w:rsidR="00457714" w:rsidRPr="00546DDB">
        <w:rPr>
          <w:rFonts w:ascii="Trebuchet MS" w:hAnsi="Trebuchet MS" w:cs="Arial"/>
          <w:color w:val="595959"/>
          <w:sz w:val="20"/>
          <w:szCs w:val="20"/>
          <w:lang w:val="en-US"/>
        </w:rPr>
        <w:t xml:space="preserve"> </w:t>
      </w:r>
    </w:p>
    <w:p w14:paraId="2FC62999" w14:textId="77777777" w:rsidR="00457714" w:rsidRPr="00546DDB" w:rsidRDefault="00457714" w:rsidP="00457714">
      <w:pPr>
        <w:pStyle w:val="Default"/>
        <w:spacing w:line="360" w:lineRule="auto"/>
        <w:jc w:val="both"/>
        <w:rPr>
          <w:color w:val="auto"/>
          <w:sz w:val="10"/>
          <w:lang w:val="en-US"/>
        </w:rPr>
      </w:pPr>
    </w:p>
    <w:p w14:paraId="35129A29" w14:textId="2B466B96" w:rsidR="00457714" w:rsidRPr="00546DDB" w:rsidRDefault="00546DDB" w:rsidP="00457714">
      <w:pPr>
        <w:rPr>
          <w:rFonts w:ascii="Trebuchet MS" w:hAnsi="Trebuchet MS" w:cs="Arial"/>
          <w:color w:val="595959"/>
          <w:sz w:val="20"/>
          <w:szCs w:val="20"/>
          <w:lang w:val="en-US"/>
        </w:rPr>
      </w:pPr>
      <w:r w:rsidRPr="00546DDB">
        <w:rPr>
          <w:rFonts w:ascii="Trebuchet MS" w:hAnsi="Trebuchet MS" w:cs="Arial"/>
          <w:color w:val="595959"/>
          <w:sz w:val="20"/>
          <w:szCs w:val="20"/>
          <w:lang w:val="en-US"/>
        </w:rPr>
        <w:t>Among the interventions that receive an extension of funding, we point out:</w:t>
      </w:r>
    </w:p>
    <w:p w14:paraId="7B6F7313" w14:textId="71A03EEC" w:rsidR="00457714" w:rsidRDefault="00C32C05" w:rsidP="00457714">
      <w:pPr>
        <w:rPr>
          <w:sz w:val="26"/>
          <w:szCs w:val="26"/>
        </w:rPr>
      </w:pPr>
      <w:r>
        <w:rPr>
          <w:noProof/>
          <w:lang w:eastAsia="it-IT"/>
        </w:rPr>
        <w:drawing>
          <wp:inline distT="0" distB="0" distL="0" distR="0" wp14:anchorId="2B9ACCEF" wp14:editId="6CB4C78F">
            <wp:extent cx="4305300" cy="3229199"/>
            <wp:effectExtent l="0" t="0" r="0"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4469" cy="3236076"/>
                    </a:xfrm>
                    <a:prstGeom prst="rect">
                      <a:avLst/>
                    </a:prstGeom>
                    <a:noFill/>
                    <a:ln>
                      <a:noFill/>
                    </a:ln>
                  </pic:spPr>
                </pic:pic>
              </a:graphicData>
            </a:graphic>
          </wp:inline>
        </w:drawing>
      </w:r>
    </w:p>
    <w:p w14:paraId="4C4D2329" w14:textId="77777777" w:rsidR="00457714" w:rsidRDefault="00457714" w:rsidP="00D75B01">
      <w:pPr>
        <w:rPr>
          <w:b/>
          <w:sz w:val="24"/>
          <w:szCs w:val="24"/>
        </w:rPr>
      </w:pPr>
    </w:p>
    <w:p w14:paraId="34AA1494" w14:textId="77777777" w:rsidR="00F51A89" w:rsidRPr="005E3784" w:rsidRDefault="00F51A89" w:rsidP="00F51A89">
      <w:pPr>
        <w:pStyle w:val="Paragrafoelenco"/>
        <w:widowControl/>
        <w:numPr>
          <w:ilvl w:val="0"/>
          <w:numId w:val="50"/>
        </w:numPr>
        <w:spacing w:before="240" w:after="80"/>
        <w:ind w:left="714" w:hanging="357"/>
        <w:jc w:val="both"/>
        <w:rPr>
          <w:rFonts w:ascii="Trebuchet MS" w:hAnsi="Trebuchet MS" w:cs="Arial"/>
          <w:color w:val="595959"/>
          <w:sz w:val="20"/>
          <w:szCs w:val="20"/>
          <w:lang w:val="en-GB"/>
        </w:rPr>
      </w:pPr>
      <w:r w:rsidRPr="008E4FD3">
        <w:rPr>
          <w:b/>
          <w:bCs/>
          <w:color w:val="595959"/>
          <w:sz w:val="20"/>
          <w:szCs w:val="20"/>
          <w:lang w:val="en"/>
        </w:rPr>
        <w:t>Agricultural, fisheries and aquaculture</w:t>
      </w:r>
      <w:r>
        <w:rPr>
          <w:color w:val="595959"/>
          <w:sz w:val="20"/>
          <w:szCs w:val="20"/>
          <w:lang w:val="en"/>
        </w:rPr>
        <w:t xml:space="preserve"> supply-chains: </w:t>
      </w:r>
      <w:r w:rsidRPr="008E4FD3">
        <w:rPr>
          <w:color w:val="595959"/>
          <w:sz w:val="20"/>
          <w:szCs w:val="20"/>
          <w:lang w:val="en"/>
        </w:rPr>
        <w:t xml:space="preserve"> </w:t>
      </w:r>
      <w:r>
        <w:rPr>
          <w:color w:val="595959"/>
          <w:sz w:val="20"/>
          <w:szCs w:val="20"/>
          <w:lang w:val="en"/>
        </w:rPr>
        <w:t xml:space="preserve">it has been envisaged </w:t>
      </w:r>
      <w:r w:rsidRPr="008E4FD3">
        <w:rPr>
          <w:color w:val="595959"/>
          <w:sz w:val="20"/>
          <w:szCs w:val="20"/>
          <w:lang w:val="en"/>
        </w:rPr>
        <w:t xml:space="preserve">an increase in the </w:t>
      </w:r>
      <w:proofErr w:type="gramStart"/>
      <w:r w:rsidRPr="008E4FD3">
        <w:rPr>
          <w:color w:val="595959"/>
          <w:sz w:val="20"/>
          <w:szCs w:val="20"/>
          <w:lang w:val="en"/>
        </w:rPr>
        <w:t xml:space="preserve">financial </w:t>
      </w:r>
      <w:r>
        <w:rPr>
          <w:color w:val="595959"/>
          <w:sz w:val="20"/>
          <w:szCs w:val="20"/>
          <w:lang w:val="en"/>
        </w:rPr>
        <w:t xml:space="preserve"> allocation</w:t>
      </w:r>
      <w:proofErr w:type="gramEnd"/>
      <w:r>
        <w:rPr>
          <w:color w:val="595959"/>
          <w:sz w:val="20"/>
          <w:szCs w:val="20"/>
          <w:lang w:val="en"/>
        </w:rPr>
        <w:t xml:space="preserve"> </w:t>
      </w:r>
      <w:r w:rsidRPr="008E4FD3">
        <w:rPr>
          <w:color w:val="595959"/>
          <w:sz w:val="20"/>
          <w:szCs w:val="20"/>
          <w:lang w:val="en"/>
        </w:rPr>
        <w:t xml:space="preserve">of the Fund dedicated to the development and support of these sectors and for the meat </w:t>
      </w:r>
      <w:r>
        <w:rPr>
          <w:color w:val="595959"/>
          <w:sz w:val="20"/>
          <w:szCs w:val="20"/>
          <w:lang w:val="en"/>
        </w:rPr>
        <w:t>supply-</w:t>
      </w:r>
      <w:r w:rsidRPr="008E4FD3">
        <w:rPr>
          <w:color w:val="595959"/>
          <w:sz w:val="20"/>
          <w:szCs w:val="20"/>
          <w:lang w:val="en"/>
        </w:rPr>
        <w:t>chain deriv</w:t>
      </w:r>
      <w:r>
        <w:rPr>
          <w:color w:val="595959"/>
          <w:sz w:val="20"/>
          <w:szCs w:val="20"/>
          <w:lang w:val="en"/>
        </w:rPr>
        <w:t>ing</w:t>
      </w:r>
      <w:r w:rsidRPr="008E4FD3">
        <w:rPr>
          <w:color w:val="595959"/>
          <w:sz w:val="20"/>
          <w:szCs w:val="20"/>
          <w:lang w:val="en"/>
        </w:rPr>
        <w:t xml:space="preserve"> from chickens, turkeys, domestic rabbits, hares and other live animals intended for human consumption, as well as in</w:t>
      </w:r>
      <w:r>
        <w:rPr>
          <w:color w:val="595959"/>
          <w:sz w:val="20"/>
          <w:szCs w:val="20"/>
          <w:lang w:val="en"/>
        </w:rPr>
        <w:t>-</w:t>
      </w:r>
      <w:r w:rsidRPr="008E4FD3">
        <w:rPr>
          <w:color w:val="595959"/>
          <w:sz w:val="20"/>
          <w:szCs w:val="20"/>
          <w:lang w:val="en"/>
        </w:rPr>
        <w:t>shell, fresh and preserved eggs of birds and eggs</w:t>
      </w:r>
      <w:r>
        <w:rPr>
          <w:color w:val="595959"/>
          <w:sz w:val="20"/>
          <w:szCs w:val="20"/>
          <w:lang w:val="en"/>
        </w:rPr>
        <w:t xml:space="preserve"> in general</w:t>
      </w:r>
      <w:r w:rsidRPr="008E4FD3">
        <w:rPr>
          <w:color w:val="595959"/>
          <w:sz w:val="20"/>
          <w:szCs w:val="20"/>
          <w:lang w:val="en"/>
        </w:rPr>
        <w:t>;</w:t>
      </w:r>
    </w:p>
    <w:p w14:paraId="7BE446A8" w14:textId="77777777" w:rsidR="00F51A89" w:rsidRPr="005E3784" w:rsidRDefault="00F51A89" w:rsidP="00F51A89">
      <w:pPr>
        <w:pStyle w:val="Paragrafoelenco"/>
        <w:widowControl/>
        <w:numPr>
          <w:ilvl w:val="0"/>
          <w:numId w:val="50"/>
        </w:numPr>
        <w:adjustRightInd w:val="0"/>
        <w:spacing w:after="80"/>
        <w:jc w:val="both"/>
        <w:rPr>
          <w:rFonts w:ascii="Trebuchet MS" w:hAnsi="Trebuchet MS" w:cs="Arial"/>
          <w:color w:val="595959"/>
          <w:sz w:val="20"/>
          <w:szCs w:val="20"/>
          <w:lang w:val="en-GB"/>
        </w:rPr>
      </w:pPr>
      <w:r w:rsidRPr="008E4FD3">
        <w:rPr>
          <w:b/>
          <w:bCs/>
          <w:color w:val="595959"/>
          <w:sz w:val="20"/>
          <w:szCs w:val="20"/>
          <w:lang w:val="en"/>
        </w:rPr>
        <w:t>Distribution of food to the most</w:t>
      </w:r>
      <w:r>
        <w:rPr>
          <w:b/>
          <w:bCs/>
          <w:color w:val="595959"/>
          <w:sz w:val="20"/>
          <w:szCs w:val="20"/>
          <w:lang w:val="en"/>
        </w:rPr>
        <w:t xml:space="preserve"> needy people</w:t>
      </w:r>
      <w:r w:rsidRPr="008E4FD3">
        <w:rPr>
          <w:color w:val="595959"/>
          <w:sz w:val="20"/>
          <w:szCs w:val="20"/>
          <w:lang w:val="en"/>
        </w:rPr>
        <w:t xml:space="preserve">, with a Fund set up at </w:t>
      </w:r>
      <w:proofErr w:type="spellStart"/>
      <w:proofErr w:type="gramStart"/>
      <w:r w:rsidRPr="008E4FD3">
        <w:rPr>
          <w:color w:val="595959"/>
          <w:sz w:val="20"/>
          <w:szCs w:val="20"/>
          <w:lang w:val="en"/>
        </w:rPr>
        <w:t>Agea</w:t>
      </w:r>
      <w:proofErr w:type="spellEnd"/>
      <w:r w:rsidRPr="008E4FD3">
        <w:rPr>
          <w:color w:val="595959"/>
          <w:sz w:val="20"/>
          <w:szCs w:val="20"/>
          <w:lang w:val="en"/>
        </w:rPr>
        <w:t xml:space="preserve"> </w:t>
      </w:r>
      <w:r>
        <w:rPr>
          <w:color w:val="595959"/>
          <w:sz w:val="20"/>
          <w:szCs w:val="20"/>
          <w:lang w:val="en"/>
        </w:rPr>
        <w:t xml:space="preserve"> that</w:t>
      </w:r>
      <w:proofErr w:type="gramEnd"/>
      <w:r>
        <w:rPr>
          <w:color w:val="595959"/>
          <w:sz w:val="20"/>
          <w:szCs w:val="20"/>
          <w:lang w:val="en"/>
        </w:rPr>
        <w:t xml:space="preserve"> </w:t>
      </w:r>
      <w:r w:rsidRPr="008E4FD3">
        <w:rPr>
          <w:color w:val="595959"/>
          <w:sz w:val="20"/>
          <w:szCs w:val="20"/>
          <w:lang w:val="en"/>
        </w:rPr>
        <w:t xml:space="preserve"> </w:t>
      </w:r>
      <w:r>
        <w:rPr>
          <w:color w:val="595959"/>
          <w:sz w:val="20"/>
          <w:szCs w:val="20"/>
          <w:lang w:val="en"/>
        </w:rPr>
        <w:t xml:space="preserve">will care of </w:t>
      </w:r>
      <w:r w:rsidRPr="008E4FD3">
        <w:rPr>
          <w:color w:val="595959"/>
          <w:sz w:val="20"/>
          <w:szCs w:val="20"/>
          <w:lang w:val="en"/>
        </w:rPr>
        <w:t>the distribution of food aid</w:t>
      </w:r>
      <w:r>
        <w:rPr>
          <w:color w:val="595959"/>
          <w:sz w:val="20"/>
          <w:szCs w:val="20"/>
          <w:lang w:val="en"/>
        </w:rPr>
        <w:t>;</w:t>
      </w:r>
    </w:p>
    <w:p w14:paraId="7F779383" w14:textId="77777777" w:rsidR="00F51A89" w:rsidRPr="005E3784" w:rsidRDefault="00F51A89" w:rsidP="00F51A89">
      <w:pPr>
        <w:pStyle w:val="Default"/>
        <w:numPr>
          <w:ilvl w:val="0"/>
          <w:numId w:val="50"/>
        </w:numPr>
        <w:adjustRightInd/>
        <w:spacing w:after="80"/>
        <w:jc w:val="both"/>
        <w:rPr>
          <w:rFonts w:ascii="Arial MT" w:eastAsia="Arial MT" w:hAnsi="Arial MT" w:cs="Arial MT"/>
          <w:color w:val="595959"/>
          <w:sz w:val="20"/>
          <w:szCs w:val="20"/>
          <w:lang w:val="en"/>
        </w:rPr>
      </w:pPr>
      <w:proofErr w:type="spellStart"/>
      <w:r>
        <w:rPr>
          <w:rFonts w:ascii="Arial MT" w:eastAsia="Arial MT" w:hAnsi="Arial MT" w:cs="Arial MT"/>
          <w:b/>
          <w:bCs/>
          <w:color w:val="595959"/>
          <w:sz w:val="20"/>
          <w:szCs w:val="20"/>
          <w:lang w:val="en"/>
        </w:rPr>
        <w:t>T</w:t>
      </w:r>
      <w:r w:rsidRPr="005E3784">
        <w:rPr>
          <w:rFonts w:ascii="Arial MT" w:eastAsia="Arial MT" w:hAnsi="Arial MT" w:cs="Arial MT"/>
          <w:b/>
          <w:bCs/>
          <w:color w:val="595959"/>
          <w:sz w:val="20"/>
          <w:szCs w:val="20"/>
          <w:lang w:val="en"/>
        </w:rPr>
        <w:t xml:space="preserve">ake </w:t>
      </w:r>
      <w:proofErr w:type="gramStart"/>
      <w:r w:rsidRPr="005E3784">
        <w:rPr>
          <w:rFonts w:ascii="Arial MT" w:eastAsia="Arial MT" w:hAnsi="Arial MT" w:cs="Arial MT"/>
          <w:b/>
          <w:bCs/>
          <w:color w:val="595959"/>
          <w:sz w:val="20"/>
          <w:szCs w:val="20"/>
          <w:lang w:val="en"/>
        </w:rPr>
        <w:t>over</w:t>
      </w:r>
      <w:proofErr w:type="spellEnd"/>
      <w:r w:rsidRPr="005E3784">
        <w:rPr>
          <w:rFonts w:ascii="Arial MT" w:eastAsia="Arial MT" w:hAnsi="Arial MT" w:cs="Arial MT"/>
          <w:b/>
          <w:bCs/>
          <w:color w:val="595959"/>
          <w:sz w:val="20"/>
          <w:szCs w:val="20"/>
          <w:lang w:val="en"/>
        </w:rPr>
        <w:t xml:space="preserve"> </w:t>
      </w:r>
      <w:r>
        <w:rPr>
          <w:rFonts w:ascii="Arial MT" w:eastAsia="Arial MT" w:hAnsi="Arial MT" w:cs="Arial MT"/>
          <w:b/>
          <w:bCs/>
          <w:color w:val="595959"/>
          <w:sz w:val="20"/>
          <w:szCs w:val="20"/>
          <w:lang w:val="en"/>
        </w:rPr>
        <w:t xml:space="preserve"> of</w:t>
      </w:r>
      <w:proofErr w:type="gramEnd"/>
      <w:r>
        <w:rPr>
          <w:rFonts w:ascii="Arial MT" w:eastAsia="Arial MT" w:hAnsi="Arial MT" w:cs="Arial MT"/>
          <w:b/>
          <w:bCs/>
          <w:color w:val="595959"/>
          <w:sz w:val="20"/>
          <w:szCs w:val="20"/>
          <w:lang w:val="en"/>
        </w:rPr>
        <w:t xml:space="preserve"> y</w:t>
      </w:r>
      <w:r w:rsidRPr="005E3784">
        <w:rPr>
          <w:rFonts w:ascii="Arial MT" w:eastAsia="Arial MT" w:hAnsi="Arial MT" w:cs="Arial MT"/>
          <w:b/>
          <w:bCs/>
          <w:color w:val="595959"/>
          <w:sz w:val="20"/>
          <w:szCs w:val="20"/>
          <w:lang w:val="en"/>
        </w:rPr>
        <w:t>oung people and women in agriculture</w:t>
      </w:r>
      <w:r w:rsidRPr="005E3784">
        <w:rPr>
          <w:rFonts w:ascii="Arial MT" w:eastAsia="Arial MT" w:hAnsi="Arial MT" w:cs="Arial MT"/>
          <w:color w:val="595959"/>
          <w:sz w:val="20"/>
          <w:szCs w:val="20"/>
          <w:lang w:val="en"/>
        </w:rPr>
        <w:t xml:space="preserve">, to promote new entrepreneurship and generational renewal in agriculture (Legislative Decree 185/2000 – Title I – Chapter III), while 5 </w:t>
      </w:r>
      <w:proofErr w:type="spellStart"/>
      <w:r w:rsidRPr="005E3784">
        <w:rPr>
          <w:rFonts w:ascii="Arial MT" w:eastAsia="Arial MT" w:hAnsi="Arial MT" w:cs="Arial MT"/>
          <w:color w:val="595959"/>
          <w:sz w:val="20"/>
          <w:szCs w:val="20"/>
          <w:lang w:val="en"/>
        </w:rPr>
        <w:t>Meuro</w:t>
      </w:r>
      <w:proofErr w:type="spellEnd"/>
      <w:r w:rsidRPr="005E3784">
        <w:rPr>
          <w:rFonts w:ascii="Arial MT" w:eastAsia="Arial MT" w:hAnsi="Arial MT" w:cs="Arial MT"/>
          <w:color w:val="595959"/>
          <w:sz w:val="20"/>
          <w:szCs w:val="20"/>
          <w:lang w:val="en"/>
        </w:rPr>
        <w:t xml:space="preserve"> are intended to increase the Revolving Fund for the development of entrepreneurship in agriculture and generational renewal in agricultural enterprises with prevalent or total female participation;</w:t>
      </w:r>
    </w:p>
    <w:p w14:paraId="7FD71A2B" w14:textId="29630BCA" w:rsidR="00457714" w:rsidRPr="00F33AB6" w:rsidRDefault="00F51A89" w:rsidP="00F51A89">
      <w:pPr>
        <w:pStyle w:val="Paragrafoelenco"/>
        <w:widowControl/>
        <w:numPr>
          <w:ilvl w:val="0"/>
          <w:numId w:val="50"/>
        </w:numPr>
        <w:shd w:val="clear" w:color="auto" w:fill="FFFFFF"/>
        <w:spacing w:after="80"/>
        <w:jc w:val="both"/>
        <w:rPr>
          <w:rFonts w:ascii="Trebuchet MS" w:hAnsi="Trebuchet MS" w:cs="Arial"/>
          <w:color w:val="595959"/>
          <w:sz w:val="20"/>
          <w:szCs w:val="20"/>
          <w:lang w:val="en-US"/>
        </w:rPr>
      </w:pPr>
      <w:r w:rsidRPr="008E4FD3">
        <w:rPr>
          <w:b/>
          <w:bCs/>
          <w:color w:val="595959"/>
          <w:sz w:val="20"/>
          <w:szCs w:val="20"/>
          <w:lang w:val="en"/>
        </w:rPr>
        <w:t xml:space="preserve">The Food Districts, </w:t>
      </w:r>
      <w:r w:rsidRPr="008E4FD3">
        <w:rPr>
          <w:color w:val="595959"/>
          <w:sz w:val="20"/>
          <w:szCs w:val="20"/>
          <w:lang w:val="en"/>
        </w:rPr>
        <w:t xml:space="preserve">whose recognition passes through the Regions and </w:t>
      </w:r>
      <w:r>
        <w:rPr>
          <w:color w:val="595959"/>
          <w:sz w:val="20"/>
          <w:szCs w:val="20"/>
          <w:lang w:val="en"/>
        </w:rPr>
        <w:t xml:space="preserve">the </w:t>
      </w:r>
      <w:r w:rsidRPr="008E4FD3">
        <w:rPr>
          <w:color w:val="595959"/>
          <w:sz w:val="20"/>
          <w:szCs w:val="20"/>
          <w:lang w:val="en"/>
        </w:rPr>
        <w:t>Autonomous Provinces and ends</w:t>
      </w:r>
      <w:r>
        <w:rPr>
          <w:color w:val="595959"/>
          <w:sz w:val="20"/>
          <w:szCs w:val="20"/>
          <w:lang w:val="en"/>
        </w:rPr>
        <w:t xml:space="preserve"> up</w:t>
      </w:r>
      <w:r w:rsidRPr="008E4FD3">
        <w:rPr>
          <w:color w:val="595959"/>
          <w:sz w:val="20"/>
          <w:szCs w:val="20"/>
          <w:lang w:val="en"/>
        </w:rPr>
        <w:t xml:space="preserve"> with </w:t>
      </w:r>
      <w:proofErr w:type="gramStart"/>
      <w:r w:rsidRPr="008E4FD3">
        <w:rPr>
          <w:color w:val="595959"/>
          <w:sz w:val="20"/>
          <w:szCs w:val="20"/>
          <w:lang w:val="en"/>
        </w:rPr>
        <w:t xml:space="preserve">the </w:t>
      </w:r>
      <w:r>
        <w:rPr>
          <w:color w:val="595959"/>
          <w:sz w:val="20"/>
          <w:szCs w:val="20"/>
          <w:lang w:val="en"/>
        </w:rPr>
        <w:t xml:space="preserve"> enrollment</w:t>
      </w:r>
      <w:proofErr w:type="gramEnd"/>
      <w:r>
        <w:rPr>
          <w:color w:val="595959"/>
          <w:sz w:val="20"/>
          <w:szCs w:val="20"/>
          <w:lang w:val="en"/>
        </w:rPr>
        <w:t xml:space="preserve"> </w:t>
      </w:r>
      <w:r w:rsidRPr="008E4FD3">
        <w:rPr>
          <w:color w:val="595959"/>
          <w:sz w:val="20"/>
          <w:szCs w:val="20"/>
          <w:lang w:val="en"/>
        </w:rPr>
        <w:t xml:space="preserve">in a special National Register, managed by the </w:t>
      </w:r>
      <w:proofErr w:type="spellStart"/>
      <w:r w:rsidRPr="008E4FD3">
        <w:rPr>
          <w:color w:val="595959"/>
          <w:sz w:val="20"/>
          <w:szCs w:val="20"/>
          <w:lang w:val="en"/>
        </w:rPr>
        <w:t>MiPAAF</w:t>
      </w:r>
      <w:proofErr w:type="spellEnd"/>
      <w:r w:rsidRPr="008E4FD3">
        <w:rPr>
          <w:color w:val="595959"/>
          <w:sz w:val="20"/>
          <w:szCs w:val="20"/>
          <w:lang w:val="en"/>
        </w:rPr>
        <w:t xml:space="preserve">. The territory that is recognized as such obtains advantages in terms of synergies and networks, with the possibility of obtaining financing and acquiring greater </w:t>
      </w:r>
      <w:r w:rsidRPr="008E4FD3">
        <w:rPr>
          <w:i/>
          <w:iCs/>
          <w:color w:val="595959"/>
          <w:sz w:val="20"/>
          <w:szCs w:val="20"/>
          <w:lang w:val="en"/>
        </w:rPr>
        <w:t>appeal</w:t>
      </w:r>
      <w:r w:rsidRPr="008E4FD3">
        <w:rPr>
          <w:color w:val="595959"/>
          <w:sz w:val="20"/>
          <w:szCs w:val="20"/>
          <w:lang w:val="en"/>
        </w:rPr>
        <w:t xml:space="preserve"> also in terms of tourism.</w:t>
      </w:r>
      <w:r w:rsidR="00457714" w:rsidRPr="00F33AB6">
        <w:rPr>
          <w:rFonts w:ascii="Trebuchet MS" w:hAnsi="Trebuchet MS" w:cs="Arial"/>
          <w:color w:val="595959"/>
          <w:sz w:val="20"/>
          <w:szCs w:val="20"/>
          <w:lang w:val="en-US"/>
        </w:rPr>
        <w:t> </w:t>
      </w:r>
    </w:p>
    <w:p w14:paraId="6E3828B7" w14:textId="77777777" w:rsidR="00457714" w:rsidRPr="00F33AB6" w:rsidRDefault="00457714" w:rsidP="00346AFB">
      <w:pPr>
        <w:widowControl/>
        <w:shd w:val="clear" w:color="auto" w:fill="FFFFFF"/>
        <w:spacing w:after="80"/>
        <w:jc w:val="both"/>
        <w:rPr>
          <w:rFonts w:ascii="Trebuchet MS" w:hAnsi="Trebuchet MS" w:cs="Arial"/>
          <w:color w:val="595959"/>
          <w:sz w:val="20"/>
          <w:szCs w:val="20"/>
          <w:lang w:val="en-US"/>
        </w:rPr>
      </w:pPr>
    </w:p>
    <w:p w14:paraId="68430588" w14:textId="6C7F5332" w:rsidR="00457714" w:rsidRPr="00233B00" w:rsidRDefault="00233B00" w:rsidP="00346AFB">
      <w:pPr>
        <w:pStyle w:val="NormaleWeb"/>
        <w:shd w:val="clear" w:color="auto" w:fill="FFFFFF"/>
        <w:spacing w:after="80" w:afterAutospacing="0"/>
        <w:jc w:val="both"/>
        <w:rPr>
          <w:rFonts w:ascii="Trebuchet MS" w:hAnsi="Trebuchet MS" w:cs="Arial"/>
          <w:color w:val="595959"/>
          <w:sz w:val="20"/>
          <w:szCs w:val="20"/>
          <w:lang w:val="en-US"/>
        </w:rPr>
      </w:pPr>
      <w:r w:rsidRPr="00233B00">
        <w:rPr>
          <w:rFonts w:ascii="Trebuchet MS" w:eastAsia="Calibri" w:hAnsi="Trebuchet MS" w:cs="Arial"/>
          <w:color w:val="595959"/>
          <w:sz w:val="20"/>
          <w:szCs w:val="20"/>
          <w:lang w:val="en-US" w:eastAsia="en-US"/>
        </w:rPr>
        <w:t>The Food Districts present in Italy are currently 106 and are characterized by a strong concentration in a small number of regional realities.</w:t>
      </w:r>
    </w:p>
    <w:p w14:paraId="45A9175F" w14:textId="77777777" w:rsidR="00457714" w:rsidRPr="00233B00" w:rsidRDefault="00457714" w:rsidP="00D75B01">
      <w:pPr>
        <w:rPr>
          <w:b/>
          <w:sz w:val="24"/>
          <w:szCs w:val="24"/>
          <w:lang w:val="en-US"/>
        </w:rPr>
      </w:pPr>
    </w:p>
    <w:p w14:paraId="34E5CBAD" w14:textId="77777777" w:rsidR="00457714" w:rsidRDefault="00457714" w:rsidP="00D75B01">
      <w:pPr>
        <w:rPr>
          <w:b/>
          <w:sz w:val="24"/>
          <w:szCs w:val="24"/>
          <w:lang w:val="en-US"/>
        </w:rPr>
      </w:pPr>
    </w:p>
    <w:p w14:paraId="57C82052" w14:textId="77777777" w:rsidR="00F51A89" w:rsidRDefault="00F51A89" w:rsidP="00D75B01">
      <w:pPr>
        <w:rPr>
          <w:b/>
          <w:sz w:val="24"/>
          <w:szCs w:val="24"/>
          <w:lang w:val="en-US"/>
        </w:rPr>
      </w:pPr>
    </w:p>
    <w:p w14:paraId="338CBEC2" w14:textId="77777777" w:rsidR="00F51A89" w:rsidRDefault="00F51A89" w:rsidP="00D75B01">
      <w:pPr>
        <w:rPr>
          <w:b/>
          <w:sz w:val="24"/>
          <w:szCs w:val="24"/>
          <w:lang w:val="en-US"/>
        </w:rPr>
      </w:pPr>
    </w:p>
    <w:p w14:paraId="397EF191" w14:textId="77777777" w:rsidR="00F51A89" w:rsidRDefault="00F51A89" w:rsidP="00D75B01">
      <w:pPr>
        <w:rPr>
          <w:b/>
          <w:sz w:val="24"/>
          <w:szCs w:val="24"/>
          <w:lang w:val="en-US"/>
        </w:rPr>
      </w:pPr>
    </w:p>
    <w:p w14:paraId="56062064" w14:textId="77777777" w:rsidR="00F51A89" w:rsidRPr="00233B00" w:rsidRDefault="00F51A89" w:rsidP="00D75B01">
      <w:pPr>
        <w:rPr>
          <w:b/>
          <w:sz w:val="24"/>
          <w:szCs w:val="24"/>
          <w:lang w:val="en-US"/>
        </w:rPr>
      </w:pPr>
    </w:p>
    <w:p w14:paraId="5A26AE10" w14:textId="1F23FE1E" w:rsidR="00457714" w:rsidRPr="00233B00" w:rsidRDefault="00233B00" w:rsidP="00457714">
      <w:pPr>
        <w:suppressAutoHyphens/>
        <w:spacing w:before="120"/>
        <w:rPr>
          <w:rFonts w:ascii="Trebuchet MS" w:hAnsi="Trebuchet MS" w:cs="Arial"/>
          <w:color w:val="595959"/>
          <w:sz w:val="20"/>
          <w:szCs w:val="20"/>
          <w:lang w:val="en-US"/>
        </w:rPr>
      </w:pPr>
      <w:r w:rsidRPr="00233B00">
        <w:rPr>
          <w:rFonts w:ascii="Arial Narrow" w:hAnsi="Arial Narrow" w:cs="Arial"/>
          <w:b/>
          <w:iCs/>
          <w:noProof/>
          <w:color w:val="595959" w:themeColor="text1" w:themeTint="A6"/>
          <w:lang w:val="en-US"/>
        </w:rPr>
        <w:t>FIGURE</w:t>
      </w:r>
      <w:r w:rsidR="00C83340" w:rsidRPr="00233B00">
        <w:rPr>
          <w:rFonts w:ascii="Arial Narrow" w:hAnsi="Arial Narrow" w:cs="Arial"/>
          <w:b/>
          <w:iCs/>
          <w:noProof/>
          <w:color w:val="595959" w:themeColor="text1" w:themeTint="A6"/>
          <w:lang w:val="en-US"/>
        </w:rPr>
        <w:t xml:space="preserve"> 16</w:t>
      </w:r>
      <w:r w:rsidR="00C4565A">
        <w:rPr>
          <w:rFonts w:ascii="Arial Narrow" w:hAnsi="Arial Narrow" w:cs="Arial"/>
          <w:b/>
          <w:iCs/>
          <w:noProof/>
          <w:color w:val="595959" w:themeColor="text1" w:themeTint="A6"/>
          <w:lang w:val="en-US"/>
        </w:rPr>
        <w:t xml:space="preserve">. </w:t>
      </w:r>
      <w:r w:rsidRPr="00233B00">
        <w:rPr>
          <w:rFonts w:ascii="Arial Narrow" w:hAnsi="Arial Narrow" w:cs="Arial"/>
          <w:b/>
          <w:iCs/>
          <w:noProof/>
          <w:color w:val="595959" w:themeColor="text1" w:themeTint="A6"/>
          <w:lang w:val="en-US"/>
        </w:rPr>
        <w:t>FOOD DISTRICTS IN ITALY</w:t>
      </w:r>
      <w:r w:rsidR="00457714" w:rsidRPr="00233B00">
        <w:rPr>
          <w:rFonts w:ascii="Arial Narrow" w:hAnsi="Arial Narrow" w:cs="Arial"/>
          <w:b/>
          <w:iCs/>
          <w:noProof/>
          <w:color w:val="595959" w:themeColor="text1" w:themeTint="A6"/>
          <w:lang w:val="en-US"/>
        </w:rPr>
        <w:t xml:space="preserve">  </w:t>
      </w:r>
    </w:p>
    <w:p w14:paraId="6EC36C82" w14:textId="5A75047E" w:rsidR="00457714" w:rsidRDefault="00457714" w:rsidP="00D75B01">
      <w:pPr>
        <w:rPr>
          <w:b/>
          <w:sz w:val="24"/>
          <w:szCs w:val="24"/>
        </w:rPr>
      </w:pPr>
      <w:r>
        <w:rPr>
          <w:noProof/>
          <w:lang w:eastAsia="it-IT"/>
        </w:rPr>
        <w:drawing>
          <wp:inline distT="0" distB="0" distL="0" distR="0" wp14:anchorId="563A3C59" wp14:editId="31D7BADD">
            <wp:extent cx="6120000" cy="2160000"/>
            <wp:effectExtent l="0" t="0" r="14605" b="12065"/>
            <wp:docPr id="7" name="Grafico 7">
              <a:extLst xmlns:a="http://schemas.openxmlformats.org/drawingml/2006/main">
                <a:ext uri="{FF2B5EF4-FFF2-40B4-BE49-F238E27FC236}">
                  <a16:creationId xmlns:a16="http://schemas.microsoft.com/office/drawing/2014/main" id="{D4633A98-12F6-409F-94BE-3062A7754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EC5D9A" w14:textId="421CC94E" w:rsidR="00457714" w:rsidRPr="00233B00" w:rsidRDefault="00233B00" w:rsidP="00D75B01">
      <w:pPr>
        <w:rPr>
          <w:sz w:val="15"/>
          <w:szCs w:val="15"/>
          <w:lang w:val="en-US"/>
        </w:rPr>
      </w:pPr>
      <w:r w:rsidRPr="00233B00">
        <w:rPr>
          <w:sz w:val="15"/>
          <w:szCs w:val="15"/>
          <w:lang w:val="en-US"/>
        </w:rPr>
        <w:t>Source: Data from the Observatory on Food Districts</w:t>
      </w:r>
    </w:p>
    <w:p w14:paraId="29B089DF" w14:textId="77777777" w:rsidR="00233B00" w:rsidRPr="004A2F6C" w:rsidRDefault="00233B00" w:rsidP="00D75B01">
      <w:pPr>
        <w:rPr>
          <w:rFonts w:ascii="Trebuchet MS" w:eastAsia="Times New Roman" w:hAnsi="Trebuchet MS" w:cs="Arial"/>
          <w:b/>
          <w:color w:val="595959" w:themeColor="text1" w:themeTint="A6"/>
          <w:kern w:val="3"/>
          <w:lang w:val="en-US" w:eastAsia="it-IT"/>
        </w:rPr>
      </w:pPr>
    </w:p>
    <w:p w14:paraId="74A5EC2D" w14:textId="77777777" w:rsidR="00233B00" w:rsidRPr="004A2F6C" w:rsidRDefault="00233B00" w:rsidP="00D75B01">
      <w:pPr>
        <w:rPr>
          <w:rFonts w:ascii="Trebuchet MS" w:eastAsia="Times New Roman" w:hAnsi="Trebuchet MS" w:cs="Arial"/>
          <w:b/>
          <w:color w:val="595959" w:themeColor="text1" w:themeTint="A6"/>
          <w:kern w:val="3"/>
          <w:lang w:val="en-US" w:eastAsia="it-IT"/>
        </w:rPr>
      </w:pPr>
    </w:p>
    <w:p w14:paraId="39CFC373" w14:textId="69631424" w:rsidR="00457714" w:rsidRDefault="00233B00" w:rsidP="00D75B01">
      <w:pPr>
        <w:rPr>
          <w:rFonts w:ascii="Trebuchet MS" w:eastAsia="Times New Roman" w:hAnsi="Trebuchet MS" w:cs="Arial"/>
          <w:b/>
          <w:color w:val="595959" w:themeColor="text1" w:themeTint="A6"/>
          <w:kern w:val="3"/>
          <w:lang w:eastAsia="it-IT"/>
        </w:rPr>
      </w:pPr>
      <w:proofErr w:type="spellStart"/>
      <w:r w:rsidRPr="00233B00">
        <w:rPr>
          <w:rFonts w:ascii="Trebuchet MS" w:eastAsia="Times New Roman" w:hAnsi="Trebuchet MS" w:cs="Arial"/>
          <w:b/>
          <w:color w:val="595959" w:themeColor="text1" w:themeTint="A6"/>
          <w:kern w:val="3"/>
          <w:lang w:eastAsia="it-IT"/>
        </w:rPr>
        <w:t>Measures</w:t>
      </w:r>
      <w:proofErr w:type="spellEnd"/>
      <w:r w:rsidRPr="00233B00">
        <w:rPr>
          <w:rFonts w:ascii="Trebuchet MS" w:eastAsia="Times New Roman" w:hAnsi="Trebuchet MS" w:cs="Arial"/>
          <w:b/>
          <w:color w:val="595959" w:themeColor="text1" w:themeTint="A6"/>
          <w:kern w:val="3"/>
          <w:lang w:eastAsia="it-IT"/>
        </w:rPr>
        <w:t xml:space="preserve"> to support investment</w:t>
      </w:r>
    </w:p>
    <w:p w14:paraId="5B4754E5" w14:textId="70729A59" w:rsidR="00457714" w:rsidRDefault="00233B00" w:rsidP="00D75B01">
      <w:pPr>
        <w:rPr>
          <w:b/>
          <w:sz w:val="24"/>
          <w:szCs w:val="24"/>
        </w:rPr>
      </w:pPr>
      <w:r>
        <w:rPr>
          <w:noProof/>
          <w:lang w:eastAsia="it-IT"/>
        </w:rPr>
        <w:drawing>
          <wp:inline distT="0" distB="0" distL="0" distR="0" wp14:anchorId="77982FA8" wp14:editId="24692C74">
            <wp:extent cx="4133850" cy="3100602"/>
            <wp:effectExtent l="0" t="0" r="0" b="508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7771" cy="3111044"/>
                    </a:xfrm>
                    <a:prstGeom prst="rect">
                      <a:avLst/>
                    </a:prstGeom>
                    <a:noFill/>
                    <a:ln>
                      <a:noFill/>
                    </a:ln>
                  </pic:spPr>
                </pic:pic>
              </a:graphicData>
            </a:graphic>
          </wp:inline>
        </w:drawing>
      </w:r>
    </w:p>
    <w:p w14:paraId="4505CE98" w14:textId="77777777" w:rsidR="00457714" w:rsidRDefault="00457714" w:rsidP="00D75B01">
      <w:pPr>
        <w:rPr>
          <w:b/>
          <w:sz w:val="24"/>
          <w:szCs w:val="24"/>
        </w:rPr>
      </w:pPr>
    </w:p>
    <w:p w14:paraId="71044BD1" w14:textId="77777777" w:rsidR="00F51A89" w:rsidRPr="005E3784" w:rsidRDefault="00F51A89" w:rsidP="00F51A89">
      <w:pPr>
        <w:spacing w:after="80"/>
        <w:jc w:val="both"/>
        <w:rPr>
          <w:rFonts w:ascii="Trebuchet MS" w:hAnsi="Trebuchet MS" w:cs="Arial"/>
          <w:color w:val="595959"/>
          <w:sz w:val="20"/>
          <w:szCs w:val="20"/>
          <w:lang w:val="en-GB"/>
        </w:rPr>
      </w:pPr>
      <w:r>
        <w:rPr>
          <w:color w:val="595959"/>
          <w:sz w:val="20"/>
          <w:szCs w:val="20"/>
          <w:lang w:val="en"/>
        </w:rPr>
        <w:t>T</w:t>
      </w:r>
      <w:r w:rsidRPr="00F96D03">
        <w:rPr>
          <w:color w:val="595959"/>
          <w:sz w:val="20"/>
          <w:szCs w:val="20"/>
          <w:lang w:val="en"/>
        </w:rPr>
        <w:t xml:space="preserve">he intervention provides </w:t>
      </w:r>
      <w:r>
        <w:rPr>
          <w:b/>
          <w:bCs/>
          <w:color w:val="595959"/>
          <w:sz w:val="20"/>
          <w:szCs w:val="20"/>
          <w:lang w:val="en"/>
        </w:rPr>
        <w:t>f</w:t>
      </w:r>
      <w:r w:rsidRPr="00F96D03">
        <w:rPr>
          <w:b/>
          <w:bCs/>
          <w:color w:val="595959"/>
          <w:sz w:val="20"/>
          <w:szCs w:val="20"/>
          <w:lang w:val="en"/>
        </w:rPr>
        <w:t>or companies</w:t>
      </w:r>
      <w:r w:rsidRPr="00F96D03">
        <w:rPr>
          <w:color w:val="595959"/>
          <w:sz w:val="20"/>
          <w:szCs w:val="20"/>
          <w:lang w:val="en"/>
        </w:rPr>
        <w:t xml:space="preserve"> 50 </w:t>
      </w:r>
      <w:proofErr w:type="spellStart"/>
      <w:r w:rsidRPr="00F96D03">
        <w:rPr>
          <w:color w:val="595959"/>
          <w:sz w:val="20"/>
          <w:szCs w:val="20"/>
          <w:lang w:val="en"/>
        </w:rPr>
        <w:t>Meuro</w:t>
      </w:r>
      <w:proofErr w:type="spellEnd"/>
      <w:r w:rsidRPr="00F96D03">
        <w:rPr>
          <w:color w:val="595959"/>
          <w:sz w:val="20"/>
          <w:szCs w:val="20"/>
          <w:lang w:val="en"/>
        </w:rPr>
        <w:t xml:space="preserve"> destined to </w:t>
      </w:r>
      <w:r>
        <w:rPr>
          <w:color w:val="595959"/>
          <w:sz w:val="20"/>
          <w:szCs w:val="20"/>
          <w:lang w:val="en"/>
        </w:rPr>
        <w:t>IS</w:t>
      </w:r>
      <w:r w:rsidRPr="00F96D03">
        <w:rPr>
          <w:color w:val="595959"/>
          <w:sz w:val="20"/>
          <w:szCs w:val="20"/>
          <w:lang w:val="en"/>
        </w:rPr>
        <w:t>MEA</w:t>
      </w:r>
      <w:r>
        <w:rPr>
          <w:color w:val="595959"/>
          <w:sz w:val="20"/>
          <w:szCs w:val="20"/>
          <w:lang w:val="en"/>
        </w:rPr>
        <w:t>’s</w:t>
      </w:r>
      <w:r w:rsidRPr="00F96D03">
        <w:rPr>
          <w:color w:val="595959"/>
          <w:sz w:val="20"/>
          <w:szCs w:val="20"/>
          <w:lang w:val="en"/>
        </w:rPr>
        <w:t xml:space="preserve"> activities and dedicated to </w:t>
      </w:r>
      <w:r w:rsidRPr="00F96D03">
        <w:rPr>
          <w:b/>
          <w:bCs/>
          <w:color w:val="595959"/>
          <w:sz w:val="20"/>
          <w:szCs w:val="20"/>
          <w:lang w:val="en"/>
        </w:rPr>
        <w:t xml:space="preserve">financial interventions </w:t>
      </w:r>
      <w:r w:rsidRPr="00C667A4">
        <w:rPr>
          <w:color w:val="595959"/>
          <w:sz w:val="20"/>
          <w:szCs w:val="20"/>
          <w:lang w:val="en"/>
        </w:rPr>
        <w:t>in economically</w:t>
      </w:r>
      <w:r>
        <w:rPr>
          <w:lang w:val="en"/>
        </w:rPr>
        <w:t xml:space="preserve"> </w:t>
      </w:r>
      <w:r w:rsidRPr="00F96D03">
        <w:rPr>
          <w:color w:val="595959"/>
          <w:sz w:val="20"/>
          <w:szCs w:val="20"/>
          <w:lang w:val="en"/>
        </w:rPr>
        <w:t xml:space="preserve">and financially </w:t>
      </w:r>
      <w:r>
        <w:rPr>
          <w:color w:val="595959"/>
          <w:sz w:val="20"/>
          <w:szCs w:val="20"/>
          <w:lang w:val="en"/>
        </w:rPr>
        <w:t xml:space="preserve"> healthy </w:t>
      </w:r>
      <w:r w:rsidRPr="00F96D03">
        <w:rPr>
          <w:color w:val="595959"/>
          <w:sz w:val="20"/>
          <w:szCs w:val="20"/>
          <w:lang w:val="en"/>
        </w:rPr>
        <w:t>companies operating in the production, processing and marketing</w:t>
      </w:r>
      <w:r>
        <w:rPr>
          <w:color w:val="595959"/>
          <w:sz w:val="20"/>
          <w:szCs w:val="20"/>
          <w:lang w:val="en"/>
        </w:rPr>
        <w:t xml:space="preserve"> of agricultural, </w:t>
      </w:r>
      <w:r w:rsidRPr="00F96D03">
        <w:rPr>
          <w:color w:val="595959"/>
          <w:sz w:val="20"/>
          <w:szCs w:val="20"/>
          <w:lang w:val="en"/>
        </w:rPr>
        <w:t xml:space="preserve">fisheries and aquaculture </w:t>
      </w:r>
      <w:r>
        <w:rPr>
          <w:color w:val="595959"/>
          <w:sz w:val="20"/>
          <w:szCs w:val="20"/>
          <w:lang w:val="en"/>
        </w:rPr>
        <w:t>products</w:t>
      </w:r>
      <w:r w:rsidRPr="00F96D03">
        <w:rPr>
          <w:color w:val="595959"/>
          <w:sz w:val="20"/>
          <w:szCs w:val="20"/>
          <w:lang w:val="en"/>
        </w:rPr>
        <w:t>, subject</w:t>
      </w:r>
      <w:r>
        <w:rPr>
          <w:color w:val="595959"/>
          <w:sz w:val="20"/>
          <w:szCs w:val="20"/>
          <w:lang w:val="en"/>
        </w:rPr>
        <w:t>ed</w:t>
      </w:r>
      <w:r w:rsidRPr="00F96D03">
        <w:rPr>
          <w:color w:val="595959"/>
          <w:sz w:val="20"/>
          <w:szCs w:val="20"/>
          <w:lang w:val="en"/>
        </w:rPr>
        <w:t xml:space="preserve"> to the </w:t>
      </w:r>
      <w:r>
        <w:rPr>
          <w:color w:val="595959"/>
          <w:sz w:val="20"/>
          <w:szCs w:val="20"/>
          <w:lang w:val="en"/>
        </w:rPr>
        <w:t>EU</w:t>
      </w:r>
      <w:r w:rsidRPr="00F96D03">
        <w:rPr>
          <w:color w:val="595959"/>
          <w:sz w:val="20"/>
          <w:szCs w:val="20"/>
          <w:lang w:val="en"/>
        </w:rPr>
        <w:t xml:space="preserve">'s common agricultural and fisheries policy, as well as </w:t>
      </w:r>
      <w:r>
        <w:rPr>
          <w:color w:val="595959"/>
          <w:sz w:val="20"/>
          <w:szCs w:val="20"/>
          <w:lang w:val="en"/>
        </w:rPr>
        <w:t xml:space="preserve">to the </w:t>
      </w:r>
      <w:r w:rsidRPr="00F96D03">
        <w:rPr>
          <w:color w:val="595959"/>
          <w:sz w:val="20"/>
          <w:szCs w:val="20"/>
          <w:lang w:val="en"/>
        </w:rPr>
        <w:t xml:space="preserve">goods produced </w:t>
      </w:r>
      <w:r>
        <w:rPr>
          <w:color w:val="595959"/>
          <w:sz w:val="20"/>
          <w:szCs w:val="20"/>
          <w:lang w:val="en"/>
        </w:rPr>
        <w:t xml:space="preserve"> within </w:t>
      </w:r>
      <w:r w:rsidRPr="00F96D03">
        <w:rPr>
          <w:color w:val="595959"/>
          <w:sz w:val="20"/>
          <w:szCs w:val="20"/>
          <w:lang w:val="en"/>
        </w:rPr>
        <w:t xml:space="preserve">the so-called related agricultural activities; for the year 2022,  10 </w:t>
      </w:r>
      <w:proofErr w:type="spellStart"/>
      <w:r w:rsidRPr="00F96D03">
        <w:rPr>
          <w:color w:val="595959"/>
          <w:sz w:val="20"/>
          <w:szCs w:val="20"/>
          <w:lang w:val="en"/>
        </w:rPr>
        <w:t>Meuro</w:t>
      </w:r>
      <w:proofErr w:type="spellEnd"/>
      <w:r w:rsidRPr="00F96D03">
        <w:rPr>
          <w:color w:val="595959"/>
          <w:sz w:val="20"/>
          <w:szCs w:val="20"/>
          <w:lang w:val="en"/>
        </w:rPr>
        <w:t xml:space="preserve"> are intended for the granting of </w:t>
      </w:r>
      <w:r w:rsidRPr="00F96D03">
        <w:rPr>
          <w:b/>
          <w:bCs/>
          <w:color w:val="595959"/>
          <w:sz w:val="20"/>
          <w:szCs w:val="20"/>
          <w:lang w:val="en"/>
        </w:rPr>
        <w:t>guarantees</w:t>
      </w:r>
      <w:r w:rsidRPr="00F96D03">
        <w:rPr>
          <w:color w:val="595959"/>
          <w:sz w:val="20"/>
          <w:szCs w:val="20"/>
          <w:lang w:val="en"/>
        </w:rPr>
        <w:t xml:space="preserve"> provided by ISMEA, against short, medium and long-term loans for companies operating in the agricultural, agri-food and fisheries sectors;</w:t>
      </w:r>
    </w:p>
    <w:p w14:paraId="4CDD8763" w14:textId="77777777" w:rsidR="00F51A89" w:rsidRPr="005E3784" w:rsidRDefault="00F51A89" w:rsidP="00F51A89">
      <w:pPr>
        <w:spacing w:after="80"/>
        <w:jc w:val="both"/>
        <w:rPr>
          <w:rFonts w:ascii="Trebuchet MS" w:hAnsi="Trebuchet MS" w:cs="Arial"/>
          <w:color w:val="595959"/>
          <w:sz w:val="20"/>
          <w:szCs w:val="20"/>
          <w:lang w:val="en-GB"/>
        </w:rPr>
      </w:pPr>
      <w:r w:rsidRPr="00F96D03">
        <w:rPr>
          <w:color w:val="595959"/>
          <w:sz w:val="20"/>
          <w:szCs w:val="20"/>
          <w:lang w:val="en"/>
        </w:rPr>
        <w:t xml:space="preserve">It is </w:t>
      </w:r>
      <w:r>
        <w:rPr>
          <w:color w:val="595959"/>
          <w:sz w:val="20"/>
          <w:szCs w:val="20"/>
          <w:lang w:val="en"/>
        </w:rPr>
        <w:t xml:space="preserve"> expected the establishment of </w:t>
      </w:r>
      <w:r w:rsidRPr="00F96D03">
        <w:rPr>
          <w:color w:val="595959"/>
          <w:sz w:val="20"/>
          <w:szCs w:val="20"/>
          <w:lang w:val="en"/>
        </w:rPr>
        <w:t xml:space="preserve">a Fund for the </w:t>
      </w:r>
      <w:r w:rsidRPr="00F96D03">
        <w:rPr>
          <w:b/>
          <w:bCs/>
          <w:color w:val="595959"/>
          <w:sz w:val="20"/>
          <w:szCs w:val="20"/>
          <w:lang w:val="en"/>
        </w:rPr>
        <w:t>Development of mountains</w:t>
      </w:r>
      <w:r w:rsidRPr="00F96D03">
        <w:rPr>
          <w:color w:val="595959"/>
          <w:sz w:val="20"/>
          <w:szCs w:val="20"/>
          <w:lang w:val="en"/>
        </w:rPr>
        <w:t xml:space="preserve"> at the Presidency of the Council of Ministers – Department for Regional Affairs and Autonomies, which serves</w:t>
      </w:r>
      <w:r w:rsidRPr="00F96D03">
        <w:rPr>
          <w:color w:val="595959"/>
          <w:sz w:val="20"/>
          <w:szCs w:val="20"/>
          <w:shd w:val="clear" w:color="auto" w:fill="FFFFFF"/>
          <w:lang w:val="en"/>
        </w:rPr>
        <w:t xml:space="preserve"> to finance interventions for the protection and promotion of environmental resources, through initiatives to</w:t>
      </w:r>
      <w:r w:rsidRPr="00F96D03">
        <w:rPr>
          <w:color w:val="595959"/>
          <w:sz w:val="20"/>
          <w:szCs w:val="20"/>
          <w:lang w:val="en"/>
        </w:rPr>
        <w:t xml:space="preserve"> protect and enhance the potential of the mountain habitat; socio-economic </w:t>
      </w:r>
      <w:r>
        <w:rPr>
          <w:color w:val="595959"/>
          <w:sz w:val="20"/>
          <w:szCs w:val="20"/>
          <w:lang w:val="en"/>
        </w:rPr>
        <w:t>measures</w:t>
      </w:r>
      <w:r w:rsidRPr="00F96D03">
        <w:rPr>
          <w:color w:val="595959"/>
          <w:sz w:val="20"/>
          <w:szCs w:val="20"/>
          <w:lang w:val="en"/>
        </w:rPr>
        <w:t xml:space="preserve"> for the populations living in the territories involved; information and  communication activities on mountain issues but also </w:t>
      </w:r>
      <w:r>
        <w:rPr>
          <w:color w:val="595959"/>
          <w:sz w:val="20"/>
          <w:szCs w:val="20"/>
          <w:lang w:val="en"/>
        </w:rPr>
        <w:t xml:space="preserve"> measures </w:t>
      </w:r>
      <w:r w:rsidRPr="00F96D03">
        <w:rPr>
          <w:color w:val="595959"/>
          <w:sz w:val="20"/>
          <w:szCs w:val="20"/>
          <w:lang w:val="en"/>
        </w:rPr>
        <w:t xml:space="preserve">for the development of </w:t>
      </w:r>
      <w:proofErr w:type="spellStart"/>
      <w:r w:rsidRPr="00F96D03">
        <w:rPr>
          <w:color w:val="595959"/>
          <w:sz w:val="20"/>
          <w:szCs w:val="20"/>
          <w:lang w:val="en"/>
        </w:rPr>
        <w:t>agro</w:t>
      </w:r>
      <w:proofErr w:type="spellEnd"/>
      <w:r w:rsidRPr="00F96D03">
        <w:rPr>
          <w:color w:val="595959"/>
          <w:sz w:val="20"/>
          <w:szCs w:val="20"/>
          <w:lang w:val="en"/>
        </w:rPr>
        <w:t>-</w:t>
      </w:r>
      <w:proofErr w:type="spellStart"/>
      <w:r w:rsidRPr="00F96D03">
        <w:rPr>
          <w:color w:val="595959"/>
          <w:sz w:val="20"/>
          <w:szCs w:val="20"/>
          <w:lang w:val="en"/>
        </w:rPr>
        <w:t>silvo</w:t>
      </w:r>
      <w:proofErr w:type="spellEnd"/>
      <w:r w:rsidRPr="00F96D03">
        <w:rPr>
          <w:color w:val="595959"/>
          <w:sz w:val="20"/>
          <w:szCs w:val="20"/>
          <w:lang w:val="en"/>
        </w:rPr>
        <w:t xml:space="preserve">-pastoral activities, </w:t>
      </w:r>
      <w:r>
        <w:rPr>
          <w:color w:val="595959"/>
          <w:sz w:val="20"/>
          <w:szCs w:val="20"/>
          <w:lang w:val="en"/>
        </w:rPr>
        <w:t xml:space="preserve"> besides </w:t>
      </w:r>
      <w:r w:rsidRPr="00F96D03">
        <w:rPr>
          <w:color w:val="595959"/>
          <w:sz w:val="20"/>
          <w:szCs w:val="20"/>
          <w:lang w:val="en"/>
        </w:rPr>
        <w:t>initiatives to reduce the serious phenomenon of depopulation.</w:t>
      </w:r>
    </w:p>
    <w:p w14:paraId="40939225" w14:textId="699FC18C" w:rsidR="00C93685" w:rsidRDefault="00F51A89" w:rsidP="00F51A89">
      <w:pPr>
        <w:jc w:val="both"/>
        <w:rPr>
          <w:color w:val="595959"/>
          <w:sz w:val="20"/>
          <w:szCs w:val="20"/>
          <w:lang w:val="en"/>
        </w:rPr>
      </w:pPr>
      <w:r w:rsidRPr="00F96D03">
        <w:rPr>
          <w:color w:val="595959"/>
          <w:sz w:val="20"/>
          <w:szCs w:val="20"/>
          <w:lang w:val="en"/>
        </w:rPr>
        <w:t xml:space="preserve">Finally, the implementation of the </w:t>
      </w:r>
      <w:r w:rsidRPr="00F96D03">
        <w:rPr>
          <w:b/>
          <w:bCs/>
          <w:color w:val="595959"/>
          <w:sz w:val="20"/>
          <w:szCs w:val="20"/>
          <w:lang w:val="en"/>
        </w:rPr>
        <w:t>National Forest Strategy</w:t>
      </w:r>
      <w:r>
        <w:rPr>
          <w:lang w:val="en"/>
        </w:rPr>
        <w:t xml:space="preserve"> </w:t>
      </w:r>
      <w:r w:rsidRPr="005E3784">
        <w:rPr>
          <w:color w:val="595959"/>
          <w:sz w:val="20"/>
          <w:szCs w:val="20"/>
          <w:lang w:val="en"/>
        </w:rPr>
        <w:t>continues</w:t>
      </w:r>
      <w:r>
        <w:rPr>
          <w:lang w:val="en"/>
        </w:rPr>
        <w:t xml:space="preserve"> </w:t>
      </w:r>
      <w:r w:rsidRPr="00F96D03">
        <w:rPr>
          <w:color w:val="595959"/>
          <w:sz w:val="20"/>
          <w:szCs w:val="20"/>
          <w:lang w:val="en"/>
        </w:rPr>
        <w:t xml:space="preserve">through the establishment of a multiannual fund. The general objectives of the SNF are three and concern the sustainable management and multifunctional role of forests, the efficiency in the use of forest resources for a sustainable development of economies in inland and urban rural areas of the country and the global responsibility and knowledge of forests through monitoring, </w:t>
      </w:r>
      <w:proofErr w:type="gramStart"/>
      <w:r w:rsidRPr="00F96D03">
        <w:rPr>
          <w:color w:val="595959"/>
          <w:sz w:val="20"/>
          <w:szCs w:val="20"/>
          <w:lang w:val="en"/>
        </w:rPr>
        <w:t>research</w:t>
      </w:r>
      <w:proofErr w:type="gramEnd"/>
      <w:r w:rsidRPr="00F96D03">
        <w:rPr>
          <w:color w:val="595959"/>
          <w:sz w:val="20"/>
          <w:szCs w:val="20"/>
          <w:lang w:val="en"/>
        </w:rPr>
        <w:t xml:space="preserve"> and training actions.</w:t>
      </w:r>
    </w:p>
    <w:p w14:paraId="30D0F6DF" w14:textId="77777777" w:rsidR="00F51A89" w:rsidRPr="00C8319D" w:rsidRDefault="00F51A89" w:rsidP="00F51A89">
      <w:pPr>
        <w:jc w:val="both"/>
        <w:rPr>
          <w:rFonts w:ascii="Trebuchet MS" w:hAnsi="Trebuchet MS" w:cs="Arial"/>
          <w:color w:val="595959"/>
          <w:sz w:val="20"/>
          <w:szCs w:val="20"/>
          <w:lang w:val="en-US"/>
        </w:rPr>
      </w:pPr>
    </w:p>
    <w:p w14:paraId="3EDC60CE" w14:textId="77777777" w:rsidR="00C93685" w:rsidRPr="00C8319D" w:rsidRDefault="00C93685" w:rsidP="00C93685">
      <w:pPr>
        <w:rPr>
          <w:rFonts w:ascii="Trebuchet MS" w:hAnsi="Trebuchet MS" w:cs="Arial"/>
          <w:color w:val="595959"/>
          <w:sz w:val="20"/>
          <w:szCs w:val="20"/>
          <w:lang w:val="en-US"/>
        </w:rPr>
      </w:pPr>
    </w:p>
    <w:p w14:paraId="5F32B737" w14:textId="77777777" w:rsidR="00DC6F12" w:rsidRDefault="00DC6F12" w:rsidP="00C93685">
      <w:pPr>
        <w:pStyle w:val="Stile1istat"/>
        <w:rPr>
          <w:rFonts w:ascii="Trebuchet MS" w:eastAsia="Times New Roman" w:hAnsi="Trebuchet MS"/>
          <w:bCs w:val="0"/>
          <w:caps w:val="0"/>
          <w:color w:val="595959"/>
          <w:sz w:val="22"/>
          <w:szCs w:val="22"/>
          <w:lang w:val="en-US"/>
        </w:rPr>
      </w:pPr>
      <w:bookmarkStart w:id="1" w:name="_Hlk95812158"/>
    </w:p>
    <w:p w14:paraId="7EF4F6D0" w14:textId="77777777" w:rsidR="00DC6F12" w:rsidRPr="008A393E" w:rsidRDefault="00DC6F12" w:rsidP="00DC6F12">
      <w:pPr>
        <w:rPr>
          <w:rFonts w:ascii="Trebuchet MS" w:hAnsi="Trebuchet MS" w:cs="Arial"/>
          <w:color w:val="595959"/>
          <w:sz w:val="20"/>
          <w:szCs w:val="20"/>
          <w:lang w:val="en-US"/>
        </w:rPr>
      </w:pPr>
      <w:r w:rsidRPr="008A393E">
        <w:rPr>
          <w:rFonts w:ascii="Trebuchet MS" w:hAnsi="Trebuchet MS" w:cs="Arial"/>
          <w:color w:val="595959"/>
          <w:sz w:val="20"/>
          <w:szCs w:val="20"/>
          <w:lang w:val="en-US"/>
        </w:rPr>
        <w:t>The measures concerning further types of intervention concern in particular:</w:t>
      </w:r>
    </w:p>
    <w:p w14:paraId="37AB9777" w14:textId="77777777" w:rsidR="00DC6F12" w:rsidRDefault="00DC6F12" w:rsidP="00C93685">
      <w:pPr>
        <w:pStyle w:val="Stile1istat"/>
        <w:rPr>
          <w:rFonts w:ascii="Trebuchet MS" w:eastAsia="Times New Roman" w:hAnsi="Trebuchet MS"/>
          <w:bCs w:val="0"/>
          <w:caps w:val="0"/>
          <w:color w:val="595959"/>
          <w:sz w:val="22"/>
          <w:szCs w:val="22"/>
          <w:lang w:val="en-US"/>
        </w:rPr>
      </w:pPr>
    </w:p>
    <w:p w14:paraId="3D2911AC" w14:textId="756773E8" w:rsidR="00C93685" w:rsidRPr="00DC6F12" w:rsidRDefault="00DC6F12" w:rsidP="00DC6F12">
      <w:pPr>
        <w:spacing w:after="60"/>
        <w:rPr>
          <w:rFonts w:ascii="Arial Narrow" w:hAnsi="Arial Narrow" w:cs="Arial"/>
          <w:b/>
          <w:iCs/>
          <w:noProof/>
          <w:color w:val="595959"/>
          <w:lang w:val="en-US"/>
        </w:rPr>
      </w:pPr>
      <w:r w:rsidRPr="00DC6F12">
        <w:rPr>
          <w:rFonts w:ascii="Arial Narrow" w:hAnsi="Arial Narrow" w:cs="Arial"/>
          <w:b/>
          <w:iCs/>
          <w:noProof/>
          <w:color w:val="595959"/>
          <w:lang w:val="en-US"/>
        </w:rPr>
        <w:t>TABLE 8</w:t>
      </w:r>
      <w:r w:rsidR="0057151B">
        <w:rPr>
          <w:rFonts w:ascii="Arial Narrow" w:hAnsi="Arial Narrow" w:cs="Arial"/>
          <w:b/>
          <w:iCs/>
          <w:noProof/>
          <w:color w:val="595959"/>
          <w:lang w:val="en-US"/>
        </w:rPr>
        <w:t>.</w:t>
      </w:r>
      <w:r w:rsidRPr="00DC6F12">
        <w:rPr>
          <w:rFonts w:ascii="Arial Narrow" w:hAnsi="Arial Narrow" w:cs="Arial"/>
          <w:b/>
          <w:iCs/>
          <w:noProof/>
          <w:color w:val="595959"/>
          <w:lang w:val="en-US"/>
        </w:rPr>
        <w:t xml:space="preserve"> OTHER</w:t>
      </w:r>
      <w:r w:rsidR="008A393E" w:rsidRPr="00DC6F12">
        <w:rPr>
          <w:rFonts w:ascii="Arial Narrow" w:hAnsi="Arial Narrow" w:cs="Arial"/>
          <w:b/>
          <w:iCs/>
          <w:noProof/>
          <w:color w:val="595959"/>
          <w:lang w:val="en-US"/>
        </w:rPr>
        <w:t xml:space="preserve"> </w:t>
      </w:r>
      <w:r w:rsidRPr="00DC6F12">
        <w:rPr>
          <w:rFonts w:ascii="Arial Narrow" w:hAnsi="Arial Narrow" w:cs="Arial"/>
          <w:b/>
          <w:iCs/>
          <w:noProof/>
          <w:color w:val="595959"/>
          <w:lang w:val="en-US"/>
        </w:rPr>
        <w:t>MEASURES</w:t>
      </w:r>
    </w:p>
    <w:tbl>
      <w:tblPr>
        <w:tblW w:w="0" w:type="auto"/>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899"/>
        <w:gridCol w:w="1900"/>
        <w:gridCol w:w="1899"/>
        <w:gridCol w:w="1900"/>
        <w:gridCol w:w="1900"/>
      </w:tblGrid>
      <w:tr w:rsidR="008A393E" w:rsidRPr="0057151B" w14:paraId="591054AA" w14:textId="77777777" w:rsidTr="00AA41E7">
        <w:trPr>
          <w:trHeight w:val="315"/>
        </w:trPr>
        <w:tc>
          <w:tcPr>
            <w:tcW w:w="1899" w:type="dxa"/>
            <w:vAlign w:val="center"/>
            <w:hideMark/>
          </w:tcPr>
          <w:bookmarkEnd w:id="1"/>
          <w:p w14:paraId="12A0650D" w14:textId="7966164A" w:rsidR="008A393E" w:rsidRPr="0057151B" w:rsidRDefault="00C4565A" w:rsidP="00DC6F12">
            <w:pPr>
              <w:rPr>
                <w:rFonts w:ascii="Arial Narrow" w:eastAsia="Times New Roman" w:hAnsi="Arial Narrow" w:cs="Arial"/>
                <w:b/>
                <w:bCs/>
                <w:color w:val="000000"/>
                <w:sz w:val="16"/>
                <w:szCs w:val="16"/>
                <w:lang w:val="en-US" w:eastAsia="it-IT"/>
              </w:rPr>
            </w:pPr>
            <w:r w:rsidRPr="00C4565A">
              <w:rPr>
                <w:b/>
                <w:color w:val="000000"/>
                <w:sz w:val="16"/>
                <w:szCs w:val="16"/>
                <w:lang w:val="en"/>
              </w:rPr>
              <w:t>Type of intervention</w:t>
            </w:r>
          </w:p>
        </w:tc>
        <w:tc>
          <w:tcPr>
            <w:tcW w:w="1900" w:type="dxa"/>
            <w:vAlign w:val="center"/>
            <w:hideMark/>
          </w:tcPr>
          <w:p w14:paraId="2E515F97" w14:textId="53500E23" w:rsidR="008A393E" w:rsidRPr="0057151B" w:rsidRDefault="00C4565A" w:rsidP="00C4565A">
            <w:pPr>
              <w:autoSpaceDN/>
              <w:jc w:val="center"/>
              <w:rPr>
                <w:rFonts w:ascii="Arial Narrow" w:eastAsia="Times New Roman" w:hAnsi="Arial Narrow" w:cs="Arial"/>
                <w:b/>
                <w:bCs/>
                <w:color w:val="000000"/>
                <w:sz w:val="16"/>
                <w:szCs w:val="16"/>
                <w:lang w:val="en-US" w:eastAsia="it-IT"/>
              </w:rPr>
            </w:pPr>
            <w:r w:rsidRPr="00C4565A">
              <w:rPr>
                <w:rFonts w:ascii="Arial Narrow" w:eastAsia="Times New Roman" w:hAnsi="Arial Narrow" w:cs="Arial"/>
                <w:b/>
                <w:bCs/>
                <w:color w:val="000000"/>
                <w:sz w:val="16"/>
                <w:szCs w:val="16"/>
                <w:lang w:val="en-US" w:eastAsia="it-IT"/>
              </w:rPr>
              <w:t>Reference period</w:t>
            </w:r>
          </w:p>
        </w:tc>
        <w:tc>
          <w:tcPr>
            <w:tcW w:w="1899" w:type="dxa"/>
            <w:shd w:val="clear" w:color="auto" w:fill="auto"/>
            <w:vAlign w:val="center"/>
            <w:hideMark/>
          </w:tcPr>
          <w:p w14:paraId="02048F7A" w14:textId="77777777" w:rsidR="00C4565A" w:rsidRDefault="00C4565A" w:rsidP="00AA41E7">
            <w:pPr>
              <w:autoSpaceDN/>
              <w:jc w:val="center"/>
              <w:rPr>
                <w:b/>
                <w:color w:val="000000"/>
                <w:sz w:val="16"/>
                <w:szCs w:val="16"/>
                <w:lang w:val="en"/>
              </w:rPr>
            </w:pPr>
            <w:r w:rsidRPr="00C4565A">
              <w:rPr>
                <w:b/>
                <w:color w:val="000000"/>
                <w:sz w:val="16"/>
                <w:szCs w:val="16"/>
                <w:lang w:val="en"/>
              </w:rPr>
              <w:t xml:space="preserve">Appropriation </w:t>
            </w:r>
          </w:p>
          <w:p w14:paraId="02CD02B8" w14:textId="0400DE17" w:rsidR="008A393E" w:rsidRPr="0057151B" w:rsidRDefault="008A393E" w:rsidP="00AA41E7">
            <w:pPr>
              <w:autoSpaceDN/>
              <w:jc w:val="center"/>
              <w:rPr>
                <w:rFonts w:ascii="Arial Narrow" w:eastAsia="Times New Roman" w:hAnsi="Arial Narrow" w:cs="Arial"/>
                <w:b/>
                <w:bCs/>
                <w:color w:val="000000"/>
                <w:sz w:val="16"/>
                <w:szCs w:val="16"/>
                <w:lang w:val="en-US" w:eastAsia="it-IT"/>
              </w:rPr>
            </w:pPr>
            <w:proofErr w:type="spellStart"/>
            <w:r w:rsidRPr="00566D91">
              <w:rPr>
                <w:b/>
                <w:color w:val="000000"/>
                <w:sz w:val="16"/>
                <w:szCs w:val="16"/>
                <w:lang w:val="en"/>
              </w:rPr>
              <w:t>Meuro</w:t>
            </w:r>
            <w:proofErr w:type="spellEnd"/>
          </w:p>
        </w:tc>
        <w:tc>
          <w:tcPr>
            <w:tcW w:w="1900" w:type="dxa"/>
            <w:vAlign w:val="center"/>
            <w:hideMark/>
          </w:tcPr>
          <w:p w14:paraId="4F377EAA" w14:textId="77777777" w:rsidR="008A393E" w:rsidRDefault="001B32F9" w:rsidP="001B32F9">
            <w:pPr>
              <w:autoSpaceDN/>
              <w:jc w:val="center"/>
              <w:rPr>
                <w:rFonts w:ascii="Arial Narrow" w:eastAsia="Times New Roman" w:hAnsi="Arial Narrow" w:cs="Arial"/>
                <w:b/>
                <w:bCs/>
                <w:sz w:val="16"/>
                <w:szCs w:val="16"/>
                <w:lang w:val="en-US" w:eastAsia="it-IT"/>
              </w:rPr>
            </w:pPr>
            <w:r w:rsidRPr="001B32F9">
              <w:rPr>
                <w:rFonts w:ascii="Arial Narrow" w:eastAsia="Times New Roman" w:hAnsi="Arial Narrow" w:cs="Arial"/>
                <w:b/>
                <w:bCs/>
                <w:sz w:val="16"/>
                <w:szCs w:val="16"/>
                <w:lang w:val="en-US" w:eastAsia="it-IT"/>
              </w:rPr>
              <w:t>Art. 1</w:t>
            </w:r>
          </w:p>
          <w:p w14:paraId="0DEDFEAD" w14:textId="4E537FCD" w:rsidR="001B32F9" w:rsidRPr="0057151B" w:rsidRDefault="001B32F9" w:rsidP="001B32F9">
            <w:pPr>
              <w:autoSpaceDN/>
              <w:jc w:val="center"/>
              <w:rPr>
                <w:rFonts w:ascii="Arial Narrow" w:eastAsia="Times New Roman" w:hAnsi="Arial Narrow" w:cs="Arial"/>
                <w:b/>
                <w:bCs/>
                <w:sz w:val="16"/>
                <w:szCs w:val="16"/>
                <w:lang w:val="en-US" w:eastAsia="it-IT"/>
              </w:rPr>
            </w:pPr>
            <w:r w:rsidRPr="001B32F9">
              <w:rPr>
                <w:rFonts w:ascii="Arial Narrow" w:eastAsia="Times New Roman" w:hAnsi="Arial Narrow" w:cs="Arial"/>
                <w:b/>
                <w:bCs/>
                <w:sz w:val="16"/>
                <w:szCs w:val="16"/>
                <w:lang w:val="en-US" w:eastAsia="it-IT"/>
              </w:rPr>
              <w:t>Comma</w:t>
            </w:r>
          </w:p>
        </w:tc>
        <w:tc>
          <w:tcPr>
            <w:tcW w:w="1900" w:type="dxa"/>
          </w:tcPr>
          <w:p w14:paraId="7E4FDE4E" w14:textId="0CC07CCE" w:rsidR="008A393E" w:rsidRPr="0057151B" w:rsidRDefault="001B32F9" w:rsidP="001B32F9">
            <w:pPr>
              <w:autoSpaceDN/>
              <w:jc w:val="center"/>
              <w:rPr>
                <w:rFonts w:ascii="Arial Narrow" w:eastAsia="Times New Roman" w:hAnsi="Arial Narrow" w:cs="Arial"/>
                <w:b/>
                <w:bCs/>
                <w:sz w:val="16"/>
                <w:szCs w:val="16"/>
                <w:lang w:val="en-US" w:eastAsia="it-IT"/>
              </w:rPr>
            </w:pPr>
            <w:r w:rsidRPr="001B32F9">
              <w:rPr>
                <w:rFonts w:ascii="Arial Narrow" w:eastAsia="Times New Roman" w:hAnsi="Arial Narrow" w:cs="Arial"/>
                <w:b/>
                <w:bCs/>
                <w:sz w:val="16"/>
                <w:szCs w:val="16"/>
                <w:lang w:val="en-US" w:eastAsia="it-IT"/>
              </w:rPr>
              <w:t>Typology</w:t>
            </w:r>
          </w:p>
        </w:tc>
      </w:tr>
      <w:tr w:rsidR="008A393E" w:rsidRPr="0057151B" w14:paraId="1E335DAD" w14:textId="77777777" w:rsidTr="00AA41E7">
        <w:trPr>
          <w:trHeight w:val="300"/>
        </w:trPr>
        <w:tc>
          <w:tcPr>
            <w:tcW w:w="1899" w:type="dxa"/>
            <w:shd w:val="clear" w:color="auto" w:fill="auto"/>
            <w:vAlign w:val="center"/>
            <w:hideMark/>
          </w:tcPr>
          <w:p w14:paraId="628CE130" w14:textId="77777777" w:rsidR="008A393E" w:rsidRPr="0057151B" w:rsidRDefault="008A393E" w:rsidP="00AA41E7">
            <w:pPr>
              <w:autoSpaceDN/>
              <w:rPr>
                <w:rFonts w:ascii="Arial Narrow" w:eastAsia="Times New Roman" w:hAnsi="Arial Narrow" w:cs="Arial"/>
                <w:color w:val="000000"/>
                <w:sz w:val="16"/>
                <w:szCs w:val="16"/>
                <w:lang w:val="en-US" w:eastAsia="it-IT"/>
              </w:rPr>
            </w:pPr>
            <w:r w:rsidRPr="00566D91">
              <w:rPr>
                <w:color w:val="000000"/>
                <w:sz w:val="16"/>
                <w:szCs w:val="16"/>
                <w:lang w:val="en"/>
              </w:rPr>
              <w:t xml:space="preserve">Equestrian plants </w:t>
            </w:r>
          </w:p>
        </w:tc>
        <w:tc>
          <w:tcPr>
            <w:tcW w:w="1900" w:type="dxa"/>
            <w:shd w:val="clear" w:color="auto" w:fill="D9D9D9" w:themeFill="background1" w:themeFillShade="D9"/>
            <w:noWrap/>
            <w:vAlign w:val="center"/>
            <w:hideMark/>
          </w:tcPr>
          <w:p w14:paraId="51A7C9B3" w14:textId="77777777" w:rsidR="008A393E" w:rsidRPr="0057151B" w:rsidRDefault="008A393E" w:rsidP="00AA41E7">
            <w:pPr>
              <w:autoSpaceDN/>
              <w:jc w:val="center"/>
              <w:rPr>
                <w:rFonts w:ascii="Arial Narrow" w:eastAsia="Times New Roman" w:hAnsi="Arial Narrow" w:cs="Arial"/>
                <w:color w:val="292828"/>
                <w:sz w:val="16"/>
                <w:szCs w:val="16"/>
                <w:lang w:val="en-US" w:eastAsia="it-IT"/>
              </w:rPr>
            </w:pPr>
            <w:r w:rsidRPr="00566D91">
              <w:rPr>
                <w:color w:val="292828"/>
                <w:sz w:val="16"/>
                <w:szCs w:val="16"/>
                <w:lang w:val="en"/>
              </w:rPr>
              <w:t>2022-2023</w:t>
            </w:r>
          </w:p>
        </w:tc>
        <w:tc>
          <w:tcPr>
            <w:tcW w:w="1899" w:type="dxa"/>
            <w:shd w:val="clear" w:color="auto" w:fill="auto"/>
            <w:vAlign w:val="center"/>
            <w:hideMark/>
          </w:tcPr>
          <w:p w14:paraId="2CF1BB02" w14:textId="77777777" w:rsidR="008A393E" w:rsidRPr="0057151B" w:rsidRDefault="008A393E" w:rsidP="00AA41E7">
            <w:pPr>
              <w:autoSpaceDN/>
              <w:jc w:val="center"/>
              <w:rPr>
                <w:rFonts w:ascii="Arial Narrow" w:eastAsia="Times New Roman" w:hAnsi="Arial Narrow" w:cs="Arial"/>
                <w:color w:val="000000"/>
                <w:sz w:val="16"/>
                <w:szCs w:val="16"/>
                <w:lang w:val="en-US" w:eastAsia="it-IT"/>
              </w:rPr>
            </w:pPr>
            <w:r w:rsidRPr="00566D91">
              <w:rPr>
                <w:color w:val="000000"/>
                <w:sz w:val="16"/>
                <w:szCs w:val="16"/>
                <w:lang w:val="en"/>
              </w:rPr>
              <w:t>7</w:t>
            </w:r>
          </w:p>
        </w:tc>
        <w:tc>
          <w:tcPr>
            <w:tcW w:w="1900" w:type="dxa"/>
            <w:shd w:val="clear" w:color="auto" w:fill="D9D9D9" w:themeFill="background1" w:themeFillShade="D9"/>
            <w:vAlign w:val="center"/>
            <w:hideMark/>
          </w:tcPr>
          <w:p w14:paraId="50A0138B" w14:textId="77777777" w:rsidR="008A393E" w:rsidRPr="0057151B" w:rsidRDefault="008A393E" w:rsidP="00AA41E7">
            <w:pPr>
              <w:autoSpaceDN/>
              <w:jc w:val="center"/>
              <w:rPr>
                <w:rFonts w:ascii="Arial Narrow" w:eastAsia="Times New Roman" w:hAnsi="Arial Narrow" w:cs="Arial"/>
                <w:color w:val="000000"/>
                <w:sz w:val="16"/>
                <w:szCs w:val="16"/>
                <w:lang w:val="en-US" w:eastAsia="it-IT"/>
              </w:rPr>
            </w:pPr>
            <w:r w:rsidRPr="00566D91">
              <w:rPr>
                <w:color w:val="000000"/>
                <w:sz w:val="16"/>
                <w:szCs w:val="16"/>
                <w:lang w:val="en"/>
              </w:rPr>
              <w:t xml:space="preserve"> 870- 871 </w:t>
            </w:r>
          </w:p>
        </w:tc>
        <w:tc>
          <w:tcPr>
            <w:tcW w:w="1900" w:type="dxa"/>
            <w:vAlign w:val="center"/>
          </w:tcPr>
          <w:p w14:paraId="281A90D7" w14:textId="77777777" w:rsidR="008A393E" w:rsidRPr="0057151B" w:rsidRDefault="008A393E" w:rsidP="00AA41E7">
            <w:pPr>
              <w:autoSpaceDN/>
              <w:jc w:val="center"/>
              <w:rPr>
                <w:rFonts w:ascii="Arial Narrow" w:eastAsia="Times New Roman" w:hAnsi="Arial Narrow" w:cs="Arial"/>
                <w:color w:val="000000"/>
                <w:sz w:val="16"/>
                <w:szCs w:val="16"/>
                <w:lang w:val="en-US" w:eastAsia="it-IT"/>
              </w:rPr>
            </w:pPr>
            <w:r w:rsidRPr="00566D91">
              <w:rPr>
                <w:color w:val="000000"/>
                <w:sz w:val="16"/>
                <w:szCs w:val="16"/>
                <w:lang w:val="en"/>
              </w:rPr>
              <w:t>Bottom</w:t>
            </w:r>
          </w:p>
        </w:tc>
      </w:tr>
      <w:tr w:rsidR="008A393E" w:rsidRPr="0057151B" w14:paraId="31877013" w14:textId="77777777" w:rsidTr="00AA41E7">
        <w:trPr>
          <w:trHeight w:val="300"/>
        </w:trPr>
        <w:tc>
          <w:tcPr>
            <w:tcW w:w="1899" w:type="dxa"/>
            <w:shd w:val="clear" w:color="auto" w:fill="auto"/>
            <w:vAlign w:val="center"/>
            <w:hideMark/>
          </w:tcPr>
          <w:p w14:paraId="339D79F5" w14:textId="77777777" w:rsidR="008A393E" w:rsidRPr="0057151B" w:rsidRDefault="008A393E" w:rsidP="00AA41E7">
            <w:pPr>
              <w:autoSpaceDN/>
              <w:rPr>
                <w:rFonts w:ascii="Arial Narrow" w:eastAsia="Times New Roman" w:hAnsi="Arial Narrow" w:cs="Arial"/>
                <w:color w:val="000000"/>
                <w:sz w:val="16"/>
                <w:szCs w:val="16"/>
                <w:lang w:val="en-US" w:eastAsia="it-IT"/>
              </w:rPr>
            </w:pPr>
            <w:r w:rsidRPr="00566D91">
              <w:rPr>
                <w:color w:val="000000"/>
                <w:sz w:val="16"/>
                <w:szCs w:val="16"/>
                <w:lang w:val="en"/>
              </w:rPr>
              <w:t xml:space="preserve">Fur animals </w:t>
            </w:r>
          </w:p>
        </w:tc>
        <w:tc>
          <w:tcPr>
            <w:tcW w:w="1900" w:type="dxa"/>
            <w:shd w:val="clear" w:color="auto" w:fill="D9D9D9" w:themeFill="background1" w:themeFillShade="D9"/>
            <w:noWrap/>
            <w:vAlign w:val="center"/>
            <w:hideMark/>
          </w:tcPr>
          <w:p w14:paraId="3B5C8A1D" w14:textId="77777777" w:rsidR="008A393E" w:rsidRPr="0057151B" w:rsidRDefault="008A393E" w:rsidP="00AA41E7">
            <w:pPr>
              <w:autoSpaceDN/>
              <w:jc w:val="center"/>
              <w:rPr>
                <w:rFonts w:ascii="Arial Narrow" w:eastAsia="Times New Roman" w:hAnsi="Arial Narrow" w:cs="Arial"/>
                <w:color w:val="292828"/>
                <w:sz w:val="16"/>
                <w:szCs w:val="16"/>
                <w:lang w:val="en-US" w:eastAsia="it-IT"/>
              </w:rPr>
            </w:pPr>
            <w:r w:rsidRPr="00566D91">
              <w:rPr>
                <w:color w:val="292828"/>
                <w:sz w:val="16"/>
                <w:szCs w:val="16"/>
                <w:lang w:val="en"/>
              </w:rPr>
              <w:t>2022-2023</w:t>
            </w:r>
          </w:p>
        </w:tc>
        <w:tc>
          <w:tcPr>
            <w:tcW w:w="1899" w:type="dxa"/>
            <w:shd w:val="clear" w:color="auto" w:fill="auto"/>
            <w:vAlign w:val="center"/>
            <w:hideMark/>
          </w:tcPr>
          <w:p w14:paraId="682B59C4" w14:textId="77777777" w:rsidR="008A393E" w:rsidRPr="0057151B" w:rsidRDefault="008A393E" w:rsidP="00AA41E7">
            <w:pPr>
              <w:autoSpaceDN/>
              <w:jc w:val="center"/>
              <w:rPr>
                <w:rFonts w:ascii="Arial Narrow" w:eastAsia="Times New Roman" w:hAnsi="Arial Narrow" w:cs="Arial"/>
                <w:color w:val="000000"/>
                <w:sz w:val="16"/>
                <w:szCs w:val="16"/>
                <w:lang w:val="en-US" w:eastAsia="it-IT"/>
              </w:rPr>
            </w:pPr>
            <w:r w:rsidRPr="00566D91">
              <w:rPr>
                <w:color w:val="000000"/>
                <w:sz w:val="16"/>
                <w:szCs w:val="16"/>
                <w:lang w:val="en"/>
              </w:rPr>
              <w:t>6</w:t>
            </w:r>
          </w:p>
        </w:tc>
        <w:tc>
          <w:tcPr>
            <w:tcW w:w="1900" w:type="dxa"/>
            <w:shd w:val="clear" w:color="auto" w:fill="D9D9D9" w:themeFill="background1" w:themeFillShade="D9"/>
            <w:vAlign w:val="center"/>
            <w:hideMark/>
          </w:tcPr>
          <w:p w14:paraId="621FAF3C" w14:textId="77777777" w:rsidR="008A393E" w:rsidRPr="0057151B" w:rsidRDefault="008A393E" w:rsidP="00AA41E7">
            <w:pPr>
              <w:autoSpaceDN/>
              <w:jc w:val="center"/>
              <w:rPr>
                <w:rFonts w:ascii="Arial Narrow" w:eastAsia="Times New Roman" w:hAnsi="Arial Narrow" w:cs="Arial"/>
                <w:color w:val="000000"/>
                <w:sz w:val="16"/>
                <w:szCs w:val="16"/>
                <w:lang w:val="en-US" w:eastAsia="it-IT"/>
              </w:rPr>
            </w:pPr>
            <w:r w:rsidRPr="00566D91">
              <w:rPr>
                <w:color w:val="000000"/>
                <w:sz w:val="16"/>
                <w:szCs w:val="16"/>
                <w:lang w:val="en"/>
              </w:rPr>
              <w:t xml:space="preserve">982-984 </w:t>
            </w:r>
          </w:p>
        </w:tc>
        <w:tc>
          <w:tcPr>
            <w:tcW w:w="1900" w:type="dxa"/>
            <w:vAlign w:val="center"/>
          </w:tcPr>
          <w:p w14:paraId="74927460" w14:textId="77777777" w:rsidR="008A393E" w:rsidRPr="0057151B" w:rsidRDefault="008A393E" w:rsidP="00AA41E7">
            <w:pPr>
              <w:autoSpaceDN/>
              <w:jc w:val="center"/>
              <w:rPr>
                <w:rFonts w:ascii="Arial Narrow" w:eastAsia="Times New Roman" w:hAnsi="Arial Narrow" w:cs="Arial"/>
                <w:color w:val="000000"/>
                <w:sz w:val="16"/>
                <w:szCs w:val="16"/>
                <w:lang w:val="en-US" w:eastAsia="it-IT"/>
              </w:rPr>
            </w:pPr>
            <w:r w:rsidRPr="00566D91">
              <w:rPr>
                <w:color w:val="000000"/>
                <w:sz w:val="16"/>
                <w:szCs w:val="16"/>
                <w:lang w:val="en"/>
              </w:rPr>
              <w:t>Bottom</w:t>
            </w:r>
          </w:p>
        </w:tc>
      </w:tr>
      <w:tr w:rsidR="008A393E" w:rsidRPr="00566D91" w14:paraId="2351183E" w14:textId="77777777" w:rsidTr="00AA41E7">
        <w:trPr>
          <w:trHeight w:val="300"/>
        </w:trPr>
        <w:tc>
          <w:tcPr>
            <w:tcW w:w="1899" w:type="dxa"/>
            <w:shd w:val="clear" w:color="auto" w:fill="auto"/>
            <w:vAlign w:val="center"/>
            <w:hideMark/>
          </w:tcPr>
          <w:p w14:paraId="33E363A4" w14:textId="77777777" w:rsidR="008A393E" w:rsidRPr="00566D91" w:rsidRDefault="008A393E" w:rsidP="00AA41E7">
            <w:pPr>
              <w:autoSpaceDN/>
              <w:rPr>
                <w:rFonts w:ascii="Arial Narrow" w:eastAsia="Times New Roman" w:hAnsi="Arial Narrow" w:cs="Arial"/>
                <w:color w:val="000000"/>
                <w:sz w:val="16"/>
                <w:szCs w:val="16"/>
                <w:lang w:eastAsia="it-IT"/>
              </w:rPr>
            </w:pPr>
            <w:r w:rsidRPr="00566D91">
              <w:rPr>
                <w:color w:val="000000"/>
                <w:sz w:val="16"/>
                <w:szCs w:val="16"/>
                <w:lang w:val="en"/>
              </w:rPr>
              <w:t xml:space="preserve">Prices of agricultural products   </w:t>
            </w:r>
          </w:p>
        </w:tc>
        <w:tc>
          <w:tcPr>
            <w:tcW w:w="1900" w:type="dxa"/>
            <w:shd w:val="clear" w:color="auto" w:fill="D9D9D9" w:themeFill="background1" w:themeFillShade="D9"/>
            <w:noWrap/>
            <w:vAlign w:val="center"/>
            <w:hideMark/>
          </w:tcPr>
          <w:p w14:paraId="35726325" w14:textId="77777777" w:rsidR="008A393E" w:rsidRPr="00566D91" w:rsidRDefault="008A393E" w:rsidP="00AA41E7">
            <w:pPr>
              <w:autoSpaceDN/>
              <w:jc w:val="center"/>
              <w:rPr>
                <w:rFonts w:ascii="Arial Narrow" w:eastAsia="Times New Roman" w:hAnsi="Arial Narrow" w:cs="Arial"/>
                <w:color w:val="292828"/>
                <w:sz w:val="16"/>
                <w:szCs w:val="16"/>
                <w:lang w:eastAsia="it-IT"/>
              </w:rPr>
            </w:pPr>
            <w:r w:rsidRPr="00566D91">
              <w:rPr>
                <w:color w:val="292828"/>
                <w:sz w:val="16"/>
                <w:szCs w:val="16"/>
                <w:lang w:val="en"/>
              </w:rPr>
              <w:t>2023</w:t>
            </w:r>
          </w:p>
        </w:tc>
        <w:tc>
          <w:tcPr>
            <w:tcW w:w="1899" w:type="dxa"/>
            <w:shd w:val="clear" w:color="auto" w:fill="auto"/>
            <w:vAlign w:val="center"/>
            <w:hideMark/>
          </w:tcPr>
          <w:p w14:paraId="005250BF" w14:textId="77777777" w:rsidR="008A393E" w:rsidRPr="00566D91" w:rsidRDefault="008A393E" w:rsidP="00AA41E7">
            <w:pPr>
              <w:autoSpaceDN/>
              <w:jc w:val="center"/>
              <w:rPr>
                <w:rFonts w:ascii="Arial Narrow" w:eastAsia="Times New Roman" w:hAnsi="Arial Narrow" w:cs="Arial"/>
                <w:color w:val="000000"/>
                <w:sz w:val="16"/>
                <w:szCs w:val="16"/>
                <w:lang w:eastAsia="it-IT"/>
              </w:rPr>
            </w:pPr>
            <w:r w:rsidRPr="00566D91">
              <w:rPr>
                <w:color w:val="000000"/>
                <w:sz w:val="16"/>
                <w:szCs w:val="16"/>
                <w:lang w:val="en"/>
              </w:rPr>
              <w:t>0,5</w:t>
            </w:r>
          </w:p>
        </w:tc>
        <w:tc>
          <w:tcPr>
            <w:tcW w:w="1900" w:type="dxa"/>
            <w:shd w:val="clear" w:color="auto" w:fill="D9D9D9" w:themeFill="background1" w:themeFillShade="D9"/>
            <w:vAlign w:val="center"/>
            <w:hideMark/>
          </w:tcPr>
          <w:p w14:paraId="70F05BBE" w14:textId="77777777" w:rsidR="008A393E" w:rsidRPr="00566D91" w:rsidRDefault="008A393E" w:rsidP="00AA41E7">
            <w:pPr>
              <w:autoSpaceDN/>
              <w:jc w:val="center"/>
              <w:rPr>
                <w:rFonts w:ascii="Arial Narrow" w:eastAsia="Times New Roman" w:hAnsi="Arial Narrow" w:cs="Arial"/>
                <w:color w:val="000000"/>
                <w:sz w:val="16"/>
                <w:szCs w:val="16"/>
                <w:lang w:eastAsia="it-IT"/>
              </w:rPr>
            </w:pPr>
            <w:r w:rsidRPr="00566D91">
              <w:rPr>
                <w:color w:val="000000"/>
                <w:sz w:val="16"/>
                <w:szCs w:val="16"/>
                <w:lang w:val="en"/>
              </w:rPr>
              <w:t>526</w:t>
            </w:r>
          </w:p>
        </w:tc>
        <w:tc>
          <w:tcPr>
            <w:tcW w:w="1900" w:type="dxa"/>
            <w:vAlign w:val="center"/>
          </w:tcPr>
          <w:p w14:paraId="4FFC763E" w14:textId="77777777" w:rsidR="008A393E" w:rsidRPr="00566D91" w:rsidRDefault="008A393E" w:rsidP="00AA41E7">
            <w:pPr>
              <w:autoSpaceDN/>
              <w:jc w:val="center"/>
              <w:rPr>
                <w:rFonts w:ascii="Arial Narrow" w:eastAsia="Times New Roman" w:hAnsi="Arial Narrow" w:cs="Arial"/>
                <w:color w:val="000000"/>
                <w:sz w:val="16"/>
                <w:szCs w:val="16"/>
                <w:lang w:eastAsia="it-IT"/>
              </w:rPr>
            </w:pPr>
            <w:r w:rsidRPr="00566D91">
              <w:rPr>
                <w:color w:val="000000"/>
                <w:sz w:val="16"/>
                <w:szCs w:val="16"/>
                <w:lang w:val="en"/>
              </w:rPr>
              <w:t>Bottom</w:t>
            </w:r>
          </w:p>
        </w:tc>
      </w:tr>
      <w:tr w:rsidR="008A393E" w:rsidRPr="00566D91" w14:paraId="2DF050A2" w14:textId="77777777" w:rsidTr="00AA41E7">
        <w:trPr>
          <w:trHeight w:val="300"/>
        </w:trPr>
        <w:tc>
          <w:tcPr>
            <w:tcW w:w="1899" w:type="dxa"/>
            <w:shd w:val="clear" w:color="auto" w:fill="auto"/>
            <w:vAlign w:val="center"/>
            <w:hideMark/>
          </w:tcPr>
          <w:p w14:paraId="791BD5B1" w14:textId="77777777" w:rsidR="008A393E" w:rsidRPr="00566D91" w:rsidRDefault="008A393E" w:rsidP="00AA41E7">
            <w:pPr>
              <w:autoSpaceDN/>
              <w:rPr>
                <w:rFonts w:ascii="Arial Narrow" w:eastAsia="Times New Roman" w:hAnsi="Arial Narrow" w:cs="Arial"/>
                <w:color w:val="000000"/>
                <w:sz w:val="16"/>
                <w:szCs w:val="16"/>
                <w:lang w:eastAsia="it-IT"/>
              </w:rPr>
            </w:pPr>
            <w:r w:rsidRPr="00566D91">
              <w:rPr>
                <w:color w:val="000000"/>
                <w:sz w:val="16"/>
                <w:szCs w:val="16"/>
                <w:lang w:val="en"/>
              </w:rPr>
              <w:t>Port Authorities</w:t>
            </w:r>
          </w:p>
        </w:tc>
        <w:tc>
          <w:tcPr>
            <w:tcW w:w="1900" w:type="dxa"/>
            <w:shd w:val="clear" w:color="auto" w:fill="D9D9D9" w:themeFill="background1" w:themeFillShade="D9"/>
            <w:vAlign w:val="center"/>
            <w:hideMark/>
          </w:tcPr>
          <w:p w14:paraId="3BE1D8F8" w14:textId="77777777" w:rsidR="008A393E" w:rsidRPr="00566D91" w:rsidRDefault="008A393E" w:rsidP="00AA41E7">
            <w:pPr>
              <w:autoSpaceDN/>
              <w:jc w:val="center"/>
              <w:rPr>
                <w:rFonts w:ascii="Arial Narrow" w:eastAsia="Times New Roman" w:hAnsi="Arial Narrow" w:cs="Arial"/>
                <w:color w:val="000000"/>
                <w:sz w:val="16"/>
                <w:szCs w:val="16"/>
                <w:lang w:eastAsia="it-IT"/>
              </w:rPr>
            </w:pPr>
            <w:r w:rsidRPr="00566D91">
              <w:rPr>
                <w:color w:val="000000"/>
                <w:sz w:val="16"/>
                <w:szCs w:val="16"/>
                <w:lang w:val="en"/>
              </w:rPr>
              <w:t>from 2022</w:t>
            </w:r>
          </w:p>
        </w:tc>
        <w:tc>
          <w:tcPr>
            <w:tcW w:w="1899" w:type="dxa"/>
            <w:shd w:val="clear" w:color="auto" w:fill="auto"/>
            <w:vAlign w:val="center"/>
            <w:hideMark/>
          </w:tcPr>
          <w:p w14:paraId="624D6AB3" w14:textId="77777777" w:rsidR="008A393E" w:rsidRPr="00566D91" w:rsidRDefault="008A393E" w:rsidP="00AA41E7">
            <w:pPr>
              <w:autoSpaceDN/>
              <w:jc w:val="center"/>
              <w:rPr>
                <w:rFonts w:ascii="Arial Narrow" w:eastAsia="Times New Roman" w:hAnsi="Arial Narrow" w:cs="Arial"/>
                <w:color w:val="000000"/>
                <w:sz w:val="16"/>
                <w:szCs w:val="16"/>
                <w:lang w:eastAsia="it-IT"/>
              </w:rPr>
            </w:pPr>
            <w:r w:rsidRPr="00566D91">
              <w:rPr>
                <w:color w:val="000000"/>
                <w:sz w:val="16"/>
                <w:szCs w:val="16"/>
                <w:lang w:val="en"/>
              </w:rPr>
              <w:t>4</w:t>
            </w:r>
          </w:p>
        </w:tc>
        <w:tc>
          <w:tcPr>
            <w:tcW w:w="1900" w:type="dxa"/>
            <w:shd w:val="clear" w:color="auto" w:fill="D9D9D9" w:themeFill="background1" w:themeFillShade="D9"/>
            <w:vAlign w:val="center"/>
            <w:hideMark/>
          </w:tcPr>
          <w:p w14:paraId="4F032F3E" w14:textId="77777777" w:rsidR="008A393E" w:rsidRPr="00566D91" w:rsidRDefault="008A393E" w:rsidP="00AA41E7">
            <w:pPr>
              <w:autoSpaceDN/>
              <w:jc w:val="center"/>
              <w:rPr>
                <w:rFonts w:ascii="Arial Narrow" w:eastAsia="Times New Roman" w:hAnsi="Arial Narrow" w:cs="Arial"/>
                <w:color w:val="000000"/>
                <w:sz w:val="16"/>
                <w:szCs w:val="16"/>
                <w:lang w:eastAsia="it-IT"/>
              </w:rPr>
            </w:pPr>
            <w:r w:rsidRPr="00566D91">
              <w:rPr>
                <w:color w:val="000000"/>
                <w:sz w:val="16"/>
                <w:szCs w:val="16"/>
                <w:lang w:val="en"/>
              </w:rPr>
              <w:t>529</w:t>
            </w:r>
          </w:p>
        </w:tc>
        <w:tc>
          <w:tcPr>
            <w:tcW w:w="1900" w:type="dxa"/>
            <w:vAlign w:val="center"/>
          </w:tcPr>
          <w:p w14:paraId="48382BAC" w14:textId="77777777" w:rsidR="008A393E" w:rsidRPr="00566D91" w:rsidRDefault="008A393E" w:rsidP="00AA41E7">
            <w:pPr>
              <w:autoSpaceDN/>
              <w:jc w:val="center"/>
              <w:rPr>
                <w:rFonts w:ascii="Arial Narrow" w:eastAsia="Times New Roman" w:hAnsi="Arial Narrow" w:cs="Arial"/>
                <w:color w:val="000000"/>
                <w:sz w:val="16"/>
                <w:szCs w:val="16"/>
                <w:lang w:eastAsia="it-IT"/>
              </w:rPr>
            </w:pPr>
            <w:r w:rsidRPr="00566D91">
              <w:rPr>
                <w:color w:val="000000"/>
                <w:sz w:val="16"/>
                <w:szCs w:val="16"/>
                <w:lang w:val="en"/>
              </w:rPr>
              <w:t>Expense</w:t>
            </w:r>
          </w:p>
        </w:tc>
      </w:tr>
      <w:tr w:rsidR="008A393E" w:rsidRPr="00566D91" w14:paraId="759ACAC5" w14:textId="77777777" w:rsidTr="00AA41E7">
        <w:trPr>
          <w:trHeight w:val="300"/>
        </w:trPr>
        <w:tc>
          <w:tcPr>
            <w:tcW w:w="1899" w:type="dxa"/>
            <w:shd w:val="clear" w:color="auto" w:fill="auto"/>
            <w:vAlign w:val="center"/>
            <w:hideMark/>
          </w:tcPr>
          <w:p w14:paraId="775226F2" w14:textId="77777777" w:rsidR="008A393E" w:rsidRPr="00566D91" w:rsidRDefault="008A393E" w:rsidP="00AA41E7">
            <w:pPr>
              <w:autoSpaceDN/>
              <w:rPr>
                <w:rFonts w:ascii="Arial Narrow" w:eastAsia="Times New Roman" w:hAnsi="Arial Narrow" w:cs="Arial"/>
                <w:color w:val="000000"/>
                <w:sz w:val="16"/>
                <w:szCs w:val="16"/>
                <w:lang w:eastAsia="it-IT"/>
              </w:rPr>
            </w:pPr>
            <w:r w:rsidRPr="00566D91">
              <w:rPr>
                <w:color w:val="000000"/>
                <w:sz w:val="16"/>
                <w:szCs w:val="16"/>
                <w:lang w:val="en"/>
              </w:rPr>
              <w:t>ICQRF</w:t>
            </w:r>
          </w:p>
        </w:tc>
        <w:tc>
          <w:tcPr>
            <w:tcW w:w="1900" w:type="dxa"/>
            <w:shd w:val="clear" w:color="auto" w:fill="D9D9D9" w:themeFill="background1" w:themeFillShade="D9"/>
            <w:vAlign w:val="center"/>
            <w:hideMark/>
          </w:tcPr>
          <w:p w14:paraId="25AD18C9" w14:textId="77777777" w:rsidR="008A393E" w:rsidRPr="00566D91" w:rsidRDefault="008A393E" w:rsidP="00AA41E7">
            <w:pPr>
              <w:autoSpaceDN/>
              <w:jc w:val="center"/>
              <w:rPr>
                <w:rFonts w:ascii="Arial Narrow" w:eastAsia="Times New Roman" w:hAnsi="Arial Narrow" w:cs="Arial"/>
                <w:color w:val="000000"/>
                <w:sz w:val="16"/>
                <w:szCs w:val="16"/>
                <w:lang w:eastAsia="it-IT"/>
              </w:rPr>
            </w:pPr>
            <w:r w:rsidRPr="00566D91">
              <w:rPr>
                <w:color w:val="000000"/>
                <w:sz w:val="16"/>
                <w:szCs w:val="16"/>
                <w:lang w:val="en"/>
              </w:rPr>
              <w:t>2022</w:t>
            </w:r>
          </w:p>
        </w:tc>
        <w:tc>
          <w:tcPr>
            <w:tcW w:w="1899" w:type="dxa"/>
            <w:shd w:val="clear" w:color="auto" w:fill="auto"/>
            <w:vAlign w:val="center"/>
            <w:hideMark/>
          </w:tcPr>
          <w:p w14:paraId="7C9CAF0F" w14:textId="77777777" w:rsidR="008A393E" w:rsidRPr="00566D91" w:rsidRDefault="008A393E" w:rsidP="00AA41E7">
            <w:pPr>
              <w:autoSpaceDN/>
              <w:jc w:val="center"/>
              <w:rPr>
                <w:rFonts w:ascii="Arial Narrow" w:eastAsia="Times New Roman" w:hAnsi="Arial Narrow" w:cs="Arial"/>
                <w:color w:val="000000"/>
                <w:sz w:val="16"/>
                <w:szCs w:val="16"/>
                <w:lang w:eastAsia="it-IT"/>
              </w:rPr>
            </w:pPr>
            <w:r w:rsidRPr="00566D91">
              <w:rPr>
                <w:color w:val="000000"/>
                <w:sz w:val="16"/>
                <w:szCs w:val="16"/>
                <w:lang w:val="en"/>
              </w:rPr>
              <w:t>2</w:t>
            </w:r>
          </w:p>
        </w:tc>
        <w:tc>
          <w:tcPr>
            <w:tcW w:w="1900" w:type="dxa"/>
            <w:shd w:val="clear" w:color="auto" w:fill="D9D9D9" w:themeFill="background1" w:themeFillShade="D9"/>
            <w:vAlign w:val="center"/>
            <w:hideMark/>
          </w:tcPr>
          <w:p w14:paraId="21F4BCB3" w14:textId="77777777" w:rsidR="008A393E" w:rsidRPr="00566D91" w:rsidRDefault="008A393E" w:rsidP="00AA41E7">
            <w:pPr>
              <w:autoSpaceDN/>
              <w:jc w:val="center"/>
              <w:rPr>
                <w:rFonts w:ascii="Arial Narrow" w:eastAsia="Times New Roman" w:hAnsi="Arial Narrow" w:cs="Arial"/>
                <w:color w:val="000000"/>
                <w:sz w:val="16"/>
                <w:szCs w:val="16"/>
                <w:lang w:eastAsia="it-IT"/>
              </w:rPr>
            </w:pPr>
            <w:r w:rsidRPr="00566D91">
              <w:rPr>
                <w:color w:val="000000"/>
                <w:sz w:val="16"/>
                <w:szCs w:val="16"/>
                <w:lang w:val="en"/>
              </w:rPr>
              <w:t>989</w:t>
            </w:r>
          </w:p>
        </w:tc>
        <w:tc>
          <w:tcPr>
            <w:tcW w:w="1900" w:type="dxa"/>
            <w:vAlign w:val="center"/>
          </w:tcPr>
          <w:p w14:paraId="44F7E862" w14:textId="77777777" w:rsidR="008A393E" w:rsidRPr="00566D91" w:rsidRDefault="008A393E" w:rsidP="00AA41E7">
            <w:pPr>
              <w:autoSpaceDN/>
              <w:jc w:val="center"/>
              <w:rPr>
                <w:rFonts w:ascii="Arial Narrow" w:eastAsia="Times New Roman" w:hAnsi="Arial Narrow" w:cs="Arial"/>
                <w:color w:val="000000"/>
                <w:sz w:val="16"/>
                <w:szCs w:val="16"/>
                <w:lang w:eastAsia="it-IT"/>
              </w:rPr>
            </w:pPr>
            <w:r w:rsidRPr="00566D91">
              <w:rPr>
                <w:color w:val="000000"/>
                <w:sz w:val="16"/>
                <w:szCs w:val="16"/>
                <w:lang w:val="en"/>
              </w:rPr>
              <w:t>Indemnity</w:t>
            </w:r>
          </w:p>
        </w:tc>
      </w:tr>
      <w:tr w:rsidR="008A393E" w:rsidRPr="00566D91" w14:paraId="0A3C55E8" w14:textId="77777777" w:rsidTr="00AA41E7">
        <w:trPr>
          <w:trHeight w:val="525"/>
        </w:trPr>
        <w:tc>
          <w:tcPr>
            <w:tcW w:w="1899" w:type="dxa"/>
            <w:shd w:val="clear" w:color="auto" w:fill="auto"/>
            <w:vAlign w:val="center"/>
            <w:hideMark/>
          </w:tcPr>
          <w:p w14:paraId="4E61D93B" w14:textId="77777777" w:rsidR="008A393E" w:rsidRPr="005E3784" w:rsidRDefault="008A393E" w:rsidP="00AA41E7">
            <w:pPr>
              <w:autoSpaceDN/>
              <w:rPr>
                <w:rFonts w:ascii="Arial Narrow" w:eastAsia="Times New Roman" w:hAnsi="Arial Narrow" w:cs="Arial"/>
                <w:color w:val="000000"/>
                <w:sz w:val="16"/>
                <w:szCs w:val="16"/>
                <w:lang w:val="en-GB" w:eastAsia="it-IT"/>
              </w:rPr>
            </w:pPr>
            <w:r w:rsidRPr="00566D91">
              <w:rPr>
                <w:color w:val="000000"/>
                <w:sz w:val="16"/>
                <w:szCs w:val="16"/>
                <w:lang w:val="en"/>
              </w:rPr>
              <w:t>Enhancement of research in the agri-food sector</w:t>
            </w:r>
          </w:p>
        </w:tc>
        <w:tc>
          <w:tcPr>
            <w:tcW w:w="1900" w:type="dxa"/>
            <w:shd w:val="clear" w:color="auto" w:fill="D9D9D9" w:themeFill="background1" w:themeFillShade="D9"/>
            <w:noWrap/>
            <w:vAlign w:val="center"/>
            <w:hideMark/>
          </w:tcPr>
          <w:p w14:paraId="1AD79B68" w14:textId="77777777" w:rsidR="008A393E" w:rsidRPr="00566D91" w:rsidRDefault="008A393E" w:rsidP="00AA41E7">
            <w:pPr>
              <w:autoSpaceDN/>
              <w:jc w:val="center"/>
              <w:rPr>
                <w:rFonts w:ascii="Arial Narrow" w:eastAsia="Times New Roman" w:hAnsi="Arial Narrow" w:cs="Arial"/>
                <w:color w:val="000000"/>
                <w:sz w:val="16"/>
                <w:szCs w:val="16"/>
                <w:lang w:eastAsia="it-IT"/>
              </w:rPr>
            </w:pPr>
            <w:r w:rsidRPr="00566D91">
              <w:rPr>
                <w:color w:val="000000"/>
                <w:sz w:val="16"/>
                <w:szCs w:val="16"/>
                <w:lang w:val="en"/>
              </w:rPr>
              <w:t>2022</w:t>
            </w:r>
          </w:p>
        </w:tc>
        <w:tc>
          <w:tcPr>
            <w:tcW w:w="1899" w:type="dxa"/>
            <w:shd w:val="clear" w:color="auto" w:fill="auto"/>
            <w:vAlign w:val="center"/>
            <w:hideMark/>
          </w:tcPr>
          <w:p w14:paraId="5C7198A1" w14:textId="77777777" w:rsidR="008A393E" w:rsidRPr="00566D91" w:rsidRDefault="008A393E" w:rsidP="00AA41E7">
            <w:pPr>
              <w:autoSpaceDN/>
              <w:jc w:val="center"/>
              <w:rPr>
                <w:rFonts w:ascii="Arial Narrow" w:eastAsia="Times New Roman" w:hAnsi="Arial Narrow" w:cs="Arial"/>
                <w:color w:val="1B1F24"/>
                <w:sz w:val="16"/>
                <w:szCs w:val="16"/>
                <w:lang w:eastAsia="it-IT"/>
              </w:rPr>
            </w:pPr>
            <w:r w:rsidRPr="00566D91">
              <w:rPr>
                <w:color w:val="1B1F24"/>
                <w:sz w:val="16"/>
                <w:szCs w:val="16"/>
                <w:lang w:val="en"/>
              </w:rPr>
              <w:t>30,5</w:t>
            </w:r>
          </w:p>
        </w:tc>
        <w:tc>
          <w:tcPr>
            <w:tcW w:w="1900" w:type="dxa"/>
            <w:shd w:val="clear" w:color="auto" w:fill="D9D9D9" w:themeFill="background1" w:themeFillShade="D9"/>
            <w:vAlign w:val="center"/>
            <w:hideMark/>
          </w:tcPr>
          <w:p w14:paraId="0CF94D01" w14:textId="77777777" w:rsidR="008A393E" w:rsidRPr="00566D91" w:rsidRDefault="008A393E" w:rsidP="00AA41E7">
            <w:pPr>
              <w:autoSpaceDN/>
              <w:jc w:val="center"/>
              <w:rPr>
                <w:rFonts w:ascii="Arial Narrow" w:eastAsia="Times New Roman" w:hAnsi="Arial Narrow" w:cs="Arial"/>
                <w:color w:val="1B1F24"/>
                <w:sz w:val="16"/>
                <w:szCs w:val="16"/>
                <w:lang w:eastAsia="it-IT"/>
              </w:rPr>
            </w:pPr>
            <w:r w:rsidRPr="00566D91">
              <w:rPr>
                <w:color w:val="1B1F24"/>
                <w:sz w:val="16"/>
                <w:szCs w:val="16"/>
                <w:lang w:val="en"/>
              </w:rPr>
              <w:t>760</w:t>
            </w:r>
          </w:p>
        </w:tc>
        <w:tc>
          <w:tcPr>
            <w:tcW w:w="1900" w:type="dxa"/>
            <w:vAlign w:val="center"/>
          </w:tcPr>
          <w:p w14:paraId="530BE426" w14:textId="77777777" w:rsidR="008A393E" w:rsidRPr="00566D91" w:rsidRDefault="008A393E" w:rsidP="00AA41E7">
            <w:pPr>
              <w:autoSpaceDN/>
              <w:jc w:val="center"/>
              <w:rPr>
                <w:rFonts w:ascii="Arial Narrow" w:eastAsia="Times New Roman" w:hAnsi="Arial Narrow" w:cs="Arial"/>
                <w:color w:val="1B1F24"/>
                <w:sz w:val="16"/>
                <w:szCs w:val="16"/>
                <w:lang w:eastAsia="it-IT"/>
              </w:rPr>
            </w:pPr>
            <w:r w:rsidRPr="00566D91">
              <w:rPr>
                <w:color w:val="1B1F24"/>
                <w:sz w:val="16"/>
                <w:szCs w:val="16"/>
                <w:lang w:val="en"/>
              </w:rPr>
              <w:t>Financing</w:t>
            </w:r>
          </w:p>
        </w:tc>
      </w:tr>
    </w:tbl>
    <w:p w14:paraId="250195E7" w14:textId="77777777" w:rsidR="00C83340" w:rsidRPr="008A393E" w:rsidRDefault="00C83340" w:rsidP="00C93685">
      <w:pPr>
        <w:rPr>
          <w:rFonts w:ascii="Trebuchet MS" w:eastAsia="Times New Roman" w:hAnsi="Trebuchet MS"/>
          <w:color w:val="595959"/>
          <w:sz w:val="20"/>
          <w:szCs w:val="20"/>
          <w:highlight w:val="yellow"/>
          <w:lang w:val="en-US" w:eastAsia="it-IT"/>
        </w:rPr>
      </w:pPr>
    </w:p>
    <w:p w14:paraId="19612263" w14:textId="5561C2D4" w:rsidR="00C93685" w:rsidRPr="008A393E" w:rsidRDefault="008A393E" w:rsidP="00C93685">
      <w:pPr>
        <w:widowControl/>
        <w:suppressAutoHyphens/>
        <w:autoSpaceDE/>
        <w:spacing w:after="100"/>
        <w:textAlignment w:val="baseline"/>
        <w:rPr>
          <w:rFonts w:ascii="Trebuchet MS" w:eastAsia="Times New Roman" w:hAnsi="Trebuchet MS" w:cs="Arial"/>
          <w:b/>
          <w:color w:val="595959"/>
          <w:kern w:val="3"/>
          <w:sz w:val="24"/>
          <w:szCs w:val="24"/>
          <w:lang w:val="en-US" w:eastAsia="it-IT"/>
        </w:rPr>
      </w:pPr>
      <w:r>
        <w:rPr>
          <w:rFonts w:ascii="Trebuchet MS" w:eastAsia="Times New Roman" w:hAnsi="Trebuchet MS" w:cs="Arial"/>
          <w:b/>
          <w:color w:val="595959"/>
          <w:kern w:val="3"/>
          <w:sz w:val="24"/>
          <w:szCs w:val="24"/>
          <w:lang w:val="en-US" w:eastAsia="it-IT"/>
        </w:rPr>
        <w:t>Tax</w:t>
      </w:r>
      <w:r w:rsidRPr="008A393E">
        <w:rPr>
          <w:rFonts w:ascii="Trebuchet MS" w:eastAsia="Times New Roman" w:hAnsi="Trebuchet MS" w:cs="Arial"/>
          <w:b/>
          <w:color w:val="595959"/>
          <w:kern w:val="3"/>
          <w:sz w:val="24"/>
          <w:szCs w:val="24"/>
          <w:lang w:val="en-US" w:eastAsia="it-IT"/>
        </w:rPr>
        <w:t xml:space="preserve">, </w:t>
      </w:r>
      <w:proofErr w:type="gramStart"/>
      <w:r w:rsidRPr="008A393E">
        <w:rPr>
          <w:rFonts w:ascii="Trebuchet MS" w:eastAsia="Times New Roman" w:hAnsi="Trebuchet MS" w:cs="Arial"/>
          <w:b/>
          <w:color w:val="595959"/>
          <w:kern w:val="3"/>
          <w:sz w:val="24"/>
          <w:szCs w:val="24"/>
          <w:lang w:val="en-US" w:eastAsia="it-IT"/>
        </w:rPr>
        <w:t>contributory</w:t>
      </w:r>
      <w:proofErr w:type="gramEnd"/>
      <w:r w:rsidRPr="008A393E">
        <w:rPr>
          <w:rFonts w:ascii="Trebuchet MS" w:eastAsia="Times New Roman" w:hAnsi="Trebuchet MS" w:cs="Arial"/>
          <w:b/>
          <w:color w:val="595959"/>
          <w:kern w:val="3"/>
          <w:sz w:val="24"/>
          <w:szCs w:val="24"/>
          <w:lang w:val="en-US" w:eastAsia="it-IT"/>
        </w:rPr>
        <w:t xml:space="preserve"> and social security benefits</w:t>
      </w:r>
    </w:p>
    <w:p w14:paraId="3E70FB45" w14:textId="077514AF" w:rsidR="00C93685" w:rsidRPr="008A393E" w:rsidRDefault="008A393E" w:rsidP="00C93685">
      <w:pPr>
        <w:adjustRightInd w:val="0"/>
        <w:spacing w:after="80"/>
        <w:jc w:val="both"/>
        <w:rPr>
          <w:rFonts w:ascii="Trebuchet MS" w:hAnsi="Trebuchet MS" w:cs="Arial"/>
          <w:b/>
          <w:bCs/>
          <w:color w:val="595959"/>
          <w:sz w:val="20"/>
          <w:szCs w:val="20"/>
          <w:lang w:val="en-US"/>
        </w:rPr>
      </w:pPr>
      <w:r w:rsidRPr="008A393E">
        <w:rPr>
          <w:rFonts w:ascii="Trebuchet MS" w:hAnsi="Trebuchet MS" w:cs="Arial"/>
          <w:color w:val="595959"/>
          <w:sz w:val="20"/>
          <w:szCs w:val="20"/>
          <w:lang w:val="en-US"/>
        </w:rPr>
        <w:t>In the budget law, specific rules extend, restructure, and modify the discipline of tax, social securities, and contribution benefits for the sector.</w:t>
      </w:r>
      <w:r w:rsidR="00C93685" w:rsidRPr="008A393E">
        <w:rPr>
          <w:rFonts w:ascii="Trebuchet MS" w:hAnsi="Trebuchet MS" w:cs="Arial"/>
          <w:color w:val="595959"/>
          <w:sz w:val="20"/>
          <w:szCs w:val="20"/>
          <w:lang w:val="en-US"/>
        </w:rPr>
        <w:t xml:space="preserve"> </w:t>
      </w:r>
    </w:p>
    <w:p w14:paraId="0F644E9A" w14:textId="77777777" w:rsidR="00C93685" w:rsidRPr="008A393E" w:rsidRDefault="00C93685" w:rsidP="00C93685">
      <w:pPr>
        <w:spacing w:after="120"/>
        <w:ind w:right="-34"/>
        <w:jc w:val="both"/>
        <w:outlineLvl w:val="1"/>
        <w:rPr>
          <w:rFonts w:ascii="Arial Narrow" w:hAnsi="Arial Narrow" w:cs="Arial"/>
          <w:b/>
          <w:iCs/>
          <w:noProof/>
          <w:color w:val="595959" w:themeColor="text1" w:themeTint="A6"/>
          <w:lang w:val="en-US"/>
        </w:rPr>
      </w:pPr>
    </w:p>
    <w:p w14:paraId="23694AA3" w14:textId="356CDE41" w:rsidR="00C93685" w:rsidRPr="008A393E" w:rsidRDefault="008A393E" w:rsidP="00360729">
      <w:pPr>
        <w:spacing w:after="60"/>
        <w:rPr>
          <w:rFonts w:ascii="Arial Narrow" w:hAnsi="Arial Narrow" w:cs="Arial"/>
          <w:b/>
          <w:iCs/>
          <w:noProof/>
          <w:color w:val="595959" w:themeColor="text1" w:themeTint="A6"/>
          <w:lang w:val="en-US"/>
        </w:rPr>
      </w:pPr>
      <w:r w:rsidRPr="008A393E">
        <w:rPr>
          <w:rFonts w:ascii="Arial Narrow" w:hAnsi="Arial Narrow" w:cs="Arial"/>
          <w:b/>
          <w:iCs/>
          <w:noProof/>
          <w:color w:val="595959"/>
          <w:lang w:val="en-US"/>
        </w:rPr>
        <w:t>TABLE</w:t>
      </w:r>
      <w:r w:rsidR="00DC6F12">
        <w:rPr>
          <w:rFonts w:ascii="Arial Narrow" w:hAnsi="Arial Narrow" w:cs="Arial"/>
          <w:b/>
          <w:iCs/>
          <w:noProof/>
          <w:color w:val="595959"/>
          <w:lang w:val="en-US"/>
        </w:rPr>
        <w:t xml:space="preserve"> 9</w:t>
      </w:r>
      <w:r w:rsidR="00C93685" w:rsidRPr="008A393E">
        <w:rPr>
          <w:rFonts w:ascii="Arial Narrow" w:hAnsi="Arial Narrow" w:cs="Arial"/>
          <w:b/>
          <w:iCs/>
          <w:noProof/>
          <w:color w:val="595959"/>
          <w:lang w:val="en-US"/>
        </w:rPr>
        <w:t xml:space="preserve">. </w:t>
      </w:r>
      <w:r w:rsidRPr="008A393E">
        <w:rPr>
          <w:rFonts w:ascii="Arial Narrow" w:hAnsi="Arial Narrow" w:cs="Arial"/>
          <w:b/>
          <w:iCs/>
          <w:noProof/>
          <w:color w:val="595959"/>
          <w:lang w:val="en-US"/>
        </w:rPr>
        <w:t>TAX, CONTRIBUTORY AND SOCIAL SECURIT BENEFITS IN THE BUDGET LAW</w:t>
      </w:r>
    </w:p>
    <w:tbl>
      <w:tblPr>
        <w:tblW w:w="9966" w:type="dxa"/>
        <w:tblBorders>
          <w:top w:val="single" w:sz="4" w:space="0" w:color="auto"/>
          <w:bottom w:val="single" w:sz="4" w:space="0" w:color="auto"/>
          <w:insideH w:val="single" w:sz="4" w:space="0" w:color="auto"/>
        </w:tblBorders>
        <w:tblCellMar>
          <w:top w:w="15" w:type="dxa"/>
          <w:left w:w="70" w:type="dxa"/>
          <w:right w:w="70" w:type="dxa"/>
        </w:tblCellMar>
        <w:tblLook w:val="04A0" w:firstRow="1" w:lastRow="0" w:firstColumn="1" w:lastColumn="0" w:noHBand="0" w:noVBand="1"/>
      </w:tblPr>
      <w:tblGrid>
        <w:gridCol w:w="3680"/>
        <w:gridCol w:w="1960"/>
        <w:gridCol w:w="1400"/>
        <w:gridCol w:w="2780"/>
        <w:gridCol w:w="146"/>
      </w:tblGrid>
      <w:tr w:rsidR="008A393E" w:rsidRPr="00566D91" w14:paraId="2B1F8A2E" w14:textId="77777777" w:rsidTr="00AA41E7">
        <w:trPr>
          <w:gridAfter w:val="1"/>
          <w:wAfter w:w="146" w:type="dxa"/>
          <w:trHeight w:val="255"/>
        </w:trPr>
        <w:tc>
          <w:tcPr>
            <w:tcW w:w="3680" w:type="dxa"/>
            <w:vMerge w:val="restart"/>
            <w:shd w:val="clear" w:color="auto" w:fill="auto"/>
            <w:vAlign w:val="center"/>
            <w:hideMark/>
          </w:tcPr>
          <w:p w14:paraId="3E6BCBE2" w14:textId="77777777" w:rsidR="008A393E" w:rsidRPr="00566D91" w:rsidRDefault="008A393E" w:rsidP="00AA41E7">
            <w:pPr>
              <w:autoSpaceDN/>
              <w:rPr>
                <w:rFonts w:ascii="Arial Narrow" w:eastAsia="Times New Roman" w:hAnsi="Arial Narrow"/>
                <w:b/>
                <w:bCs/>
                <w:color w:val="000000"/>
                <w:sz w:val="16"/>
                <w:szCs w:val="16"/>
                <w:lang w:eastAsia="it-IT"/>
              </w:rPr>
            </w:pPr>
            <w:r w:rsidRPr="00566D91">
              <w:rPr>
                <w:b/>
                <w:color w:val="000000"/>
                <w:sz w:val="16"/>
                <w:szCs w:val="16"/>
                <w:lang w:val="en"/>
              </w:rPr>
              <w:t>Type of intervention</w:t>
            </w:r>
          </w:p>
        </w:tc>
        <w:tc>
          <w:tcPr>
            <w:tcW w:w="1960" w:type="dxa"/>
            <w:vMerge w:val="restart"/>
            <w:shd w:val="clear" w:color="auto" w:fill="auto"/>
            <w:vAlign w:val="center"/>
            <w:hideMark/>
          </w:tcPr>
          <w:p w14:paraId="4879669B" w14:textId="77777777" w:rsidR="008A393E" w:rsidRPr="00566D91" w:rsidRDefault="008A393E" w:rsidP="00AA41E7">
            <w:pPr>
              <w:autoSpaceDN/>
              <w:jc w:val="center"/>
              <w:rPr>
                <w:rFonts w:ascii="Arial Narrow" w:eastAsia="Times New Roman" w:hAnsi="Arial Narrow"/>
                <w:b/>
                <w:bCs/>
                <w:color w:val="000000"/>
                <w:sz w:val="16"/>
                <w:szCs w:val="16"/>
                <w:lang w:eastAsia="it-IT"/>
              </w:rPr>
            </w:pPr>
            <w:r w:rsidRPr="00566D91">
              <w:rPr>
                <w:b/>
                <w:color w:val="000000"/>
                <w:sz w:val="16"/>
                <w:szCs w:val="16"/>
                <w:lang w:val="en"/>
              </w:rPr>
              <w:t>Reference period</w:t>
            </w:r>
          </w:p>
        </w:tc>
        <w:tc>
          <w:tcPr>
            <w:tcW w:w="1400" w:type="dxa"/>
            <w:shd w:val="clear" w:color="auto" w:fill="auto"/>
            <w:vAlign w:val="center"/>
            <w:hideMark/>
          </w:tcPr>
          <w:p w14:paraId="7462296A" w14:textId="77777777" w:rsidR="008A393E" w:rsidRPr="00566D91" w:rsidRDefault="008A393E" w:rsidP="00AA41E7">
            <w:pPr>
              <w:autoSpaceDN/>
              <w:jc w:val="center"/>
              <w:rPr>
                <w:rFonts w:ascii="Arial Narrow" w:eastAsia="Times New Roman" w:hAnsi="Arial Narrow"/>
                <w:b/>
                <w:bCs/>
                <w:color w:val="000000"/>
                <w:sz w:val="16"/>
                <w:szCs w:val="16"/>
                <w:lang w:eastAsia="it-IT"/>
              </w:rPr>
            </w:pPr>
            <w:r w:rsidRPr="00566D91">
              <w:rPr>
                <w:b/>
                <w:color w:val="000000"/>
                <w:sz w:val="16"/>
                <w:szCs w:val="16"/>
                <w:lang w:val="en"/>
              </w:rPr>
              <w:t>Appropriation</w:t>
            </w:r>
          </w:p>
        </w:tc>
        <w:tc>
          <w:tcPr>
            <w:tcW w:w="2780" w:type="dxa"/>
            <w:vMerge w:val="restart"/>
            <w:shd w:val="clear" w:color="auto" w:fill="auto"/>
            <w:vAlign w:val="center"/>
            <w:hideMark/>
          </w:tcPr>
          <w:p w14:paraId="74DBB0EE" w14:textId="77777777" w:rsidR="008A393E" w:rsidRPr="00566D91" w:rsidRDefault="008A393E" w:rsidP="00AA41E7">
            <w:pPr>
              <w:autoSpaceDN/>
              <w:jc w:val="center"/>
              <w:rPr>
                <w:rFonts w:ascii="Arial Narrow" w:eastAsia="Times New Roman" w:hAnsi="Arial Narrow"/>
                <w:b/>
                <w:bCs/>
                <w:color w:val="000000"/>
                <w:sz w:val="16"/>
                <w:szCs w:val="16"/>
                <w:lang w:eastAsia="it-IT"/>
              </w:rPr>
            </w:pPr>
            <w:r w:rsidRPr="00566D91">
              <w:rPr>
                <w:b/>
                <w:color w:val="000000"/>
                <w:sz w:val="16"/>
                <w:szCs w:val="16"/>
                <w:lang w:val="en"/>
              </w:rPr>
              <w:t xml:space="preserve">Art. 1 </w:t>
            </w:r>
            <w:proofErr w:type="spellStart"/>
            <w:r w:rsidRPr="00566D91">
              <w:rPr>
                <w:b/>
                <w:color w:val="000000"/>
                <w:sz w:val="16"/>
                <w:szCs w:val="16"/>
                <w:lang w:val="en"/>
              </w:rPr>
              <w:t>finanziariaComma</w:t>
            </w:r>
            <w:proofErr w:type="spellEnd"/>
          </w:p>
        </w:tc>
      </w:tr>
      <w:tr w:rsidR="008A393E" w:rsidRPr="00566D91" w14:paraId="740E07FD" w14:textId="77777777" w:rsidTr="00AA41E7">
        <w:trPr>
          <w:gridAfter w:val="1"/>
          <w:wAfter w:w="146" w:type="dxa"/>
          <w:trHeight w:val="255"/>
        </w:trPr>
        <w:tc>
          <w:tcPr>
            <w:tcW w:w="3680" w:type="dxa"/>
            <w:vMerge/>
            <w:vAlign w:val="center"/>
            <w:hideMark/>
          </w:tcPr>
          <w:p w14:paraId="7404D9F4" w14:textId="77777777" w:rsidR="008A393E" w:rsidRPr="00566D91" w:rsidRDefault="008A393E" w:rsidP="00AA41E7">
            <w:pPr>
              <w:autoSpaceDN/>
              <w:rPr>
                <w:rFonts w:ascii="Arial Narrow" w:eastAsia="Times New Roman" w:hAnsi="Arial Narrow"/>
                <w:b/>
                <w:bCs/>
                <w:color w:val="000000"/>
                <w:sz w:val="16"/>
                <w:szCs w:val="16"/>
                <w:lang w:eastAsia="it-IT"/>
              </w:rPr>
            </w:pPr>
          </w:p>
        </w:tc>
        <w:tc>
          <w:tcPr>
            <w:tcW w:w="1960" w:type="dxa"/>
            <w:vMerge/>
            <w:vAlign w:val="center"/>
            <w:hideMark/>
          </w:tcPr>
          <w:p w14:paraId="792A5E46" w14:textId="77777777" w:rsidR="008A393E" w:rsidRPr="00566D91" w:rsidRDefault="008A393E" w:rsidP="00AA41E7">
            <w:pPr>
              <w:autoSpaceDN/>
              <w:rPr>
                <w:rFonts w:ascii="Arial Narrow" w:eastAsia="Times New Roman" w:hAnsi="Arial Narrow"/>
                <w:b/>
                <w:bCs/>
                <w:color w:val="000000"/>
                <w:sz w:val="16"/>
                <w:szCs w:val="16"/>
                <w:lang w:eastAsia="it-IT"/>
              </w:rPr>
            </w:pPr>
          </w:p>
        </w:tc>
        <w:tc>
          <w:tcPr>
            <w:tcW w:w="1400" w:type="dxa"/>
            <w:shd w:val="clear" w:color="auto" w:fill="auto"/>
            <w:vAlign w:val="center"/>
            <w:hideMark/>
          </w:tcPr>
          <w:p w14:paraId="696F8E5A" w14:textId="77777777" w:rsidR="008A393E" w:rsidRPr="00566D91" w:rsidRDefault="008A393E" w:rsidP="00AA41E7">
            <w:pPr>
              <w:autoSpaceDN/>
              <w:jc w:val="center"/>
              <w:rPr>
                <w:rFonts w:ascii="Arial Narrow" w:eastAsia="Times New Roman" w:hAnsi="Arial Narrow"/>
                <w:b/>
                <w:bCs/>
                <w:color w:val="000000"/>
                <w:sz w:val="16"/>
                <w:szCs w:val="16"/>
                <w:lang w:eastAsia="it-IT"/>
              </w:rPr>
            </w:pPr>
            <w:proofErr w:type="spellStart"/>
            <w:r w:rsidRPr="00566D91">
              <w:rPr>
                <w:b/>
                <w:color w:val="000000"/>
                <w:sz w:val="16"/>
                <w:szCs w:val="16"/>
                <w:lang w:val="en"/>
              </w:rPr>
              <w:t>Meuro</w:t>
            </w:r>
            <w:proofErr w:type="spellEnd"/>
            <w:r w:rsidRPr="00566D91">
              <w:rPr>
                <w:b/>
                <w:color w:val="000000"/>
                <w:sz w:val="16"/>
                <w:szCs w:val="16"/>
                <w:lang w:val="en"/>
              </w:rPr>
              <w:t xml:space="preserve"> </w:t>
            </w:r>
          </w:p>
        </w:tc>
        <w:tc>
          <w:tcPr>
            <w:tcW w:w="2780" w:type="dxa"/>
            <w:vMerge/>
            <w:vAlign w:val="center"/>
            <w:hideMark/>
          </w:tcPr>
          <w:p w14:paraId="77B4F453" w14:textId="77777777" w:rsidR="008A393E" w:rsidRPr="00566D91" w:rsidRDefault="008A393E" w:rsidP="00AA41E7">
            <w:pPr>
              <w:autoSpaceDN/>
              <w:rPr>
                <w:rFonts w:ascii="Arial Narrow" w:eastAsia="Times New Roman" w:hAnsi="Arial Narrow"/>
                <w:b/>
                <w:bCs/>
                <w:color w:val="000000"/>
                <w:sz w:val="16"/>
                <w:szCs w:val="16"/>
                <w:lang w:eastAsia="it-IT"/>
              </w:rPr>
            </w:pPr>
          </w:p>
        </w:tc>
      </w:tr>
      <w:tr w:rsidR="008A393E" w:rsidRPr="00AF2B03" w14:paraId="3D72372E" w14:textId="77777777" w:rsidTr="00AA41E7">
        <w:trPr>
          <w:gridAfter w:val="1"/>
          <w:wAfter w:w="146" w:type="dxa"/>
          <w:trHeight w:val="255"/>
        </w:trPr>
        <w:tc>
          <w:tcPr>
            <w:tcW w:w="9820" w:type="dxa"/>
            <w:gridSpan w:val="4"/>
            <w:shd w:val="clear" w:color="auto" w:fill="17365D"/>
            <w:vAlign w:val="center"/>
            <w:hideMark/>
          </w:tcPr>
          <w:p w14:paraId="59556E38" w14:textId="77777777" w:rsidR="008A393E" w:rsidRPr="00AF2B03" w:rsidRDefault="008A393E" w:rsidP="00AA41E7">
            <w:pPr>
              <w:autoSpaceDN/>
              <w:jc w:val="center"/>
              <w:rPr>
                <w:rFonts w:ascii="Arial Narrow" w:eastAsia="Times New Roman" w:hAnsi="Arial Narrow"/>
                <w:b/>
                <w:bCs/>
                <w:color w:val="FFFFFF" w:themeColor="background1"/>
                <w:sz w:val="16"/>
                <w:szCs w:val="16"/>
                <w:lang w:eastAsia="it-IT"/>
              </w:rPr>
            </w:pPr>
            <w:r w:rsidRPr="00AF2B03">
              <w:rPr>
                <w:b/>
                <w:color w:val="FFFFFF" w:themeColor="background1"/>
                <w:sz w:val="16"/>
                <w:szCs w:val="16"/>
                <w:lang w:val="en"/>
              </w:rPr>
              <w:t>Tax</w:t>
            </w:r>
          </w:p>
        </w:tc>
      </w:tr>
      <w:tr w:rsidR="008A393E" w:rsidRPr="00566D91" w14:paraId="55553CD9" w14:textId="77777777" w:rsidTr="00AA41E7">
        <w:trPr>
          <w:gridAfter w:val="1"/>
          <w:wAfter w:w="146" w:type="dxa"/>
          <w:trHeight w:val="255"/>
        </w:trPr>
        <w:tc>
          <w:tcPr>
            <w:tcW w:w="3680" w:type="dxa"/>
            <w:shd w:val="clear" w:color="auto" w:fill="auto"/>
            <w:vAlign w:val="center"/>
            <w:hideMark/>
          </w:tcPr>
          <w:p w14:paraId="61BBBB92" w14:textId="77777777" w:rsidR="008A393E" w:rsidRPr="00566D91" w:rsidRDefault="008A393E" w:rsidP="00AA41E7">
            <w:pPr>
              <w:autoSpaceDN/>
              <w:rPr>
                <w:rFonts w:ascii="Arial Narrow" w:eastAsia="Times New Roman" w:hAnsi="Arial Narrow"/>
                <w:color w:val="000000"/>
                <w:sz w:val="16"/>
                <w:szCs w:val="16"/>
                <w:lang w:eastAsia="it-IT"/>
              </w:rPr>
            </w:pPr>
            <w:r w:rsidRPr="00566D91">
              <w:rPr>
                <w:color w:val="000000"/>
                <w:sz w:val="16"/>
                <w:szCs w:val="16"/>
                <w:lang w:val="en"/>
              </w:rPr>
              <w:t xml:space="preserve">Craft breweries </w:t>
            </w:r>
          </w:p>
        </w:tc>
        <w:tc>
          <w:tcPr>
            <w:tcW w:w="1960" w:type="dxa"/>
            <w:shd w:val="clear" w:color="auto" w:fill="D9D9D9" w:themeFill="background1" w:themeFillShade="D9"/>
            <w:vAlign w:val="center"/>
            <w:hideMark/>
          </w:tcPr>
          <w:p w14:paraId="7A17C466" w14:textId="77777777" w:rsidR="008A393E" w:rsidRPr="00566D91" w:rsidRDefault="008A393E" w:rsidP="00AA41E7">
            <w:pPr>
              <w:autoSpaceDN/>
              <w:rPr>
                <w:rFonts w:ascii="Arial Narrow" w:eastAsia="Times New Roman" w:hAnsi="Arial Narrow"/>
                <w:color w:val="000000"/>
                <w:sz w:val="16"/>
                <w:szCs w:val="16"/>
                <w:lang w:eastAsia="it-IT"/>
              </w:rPr>
            </w:pPr>
          </w:p>
        </w:tc>
        <w:tc>
          <w:tcPr>
            <w:tcW w:w="1400" w:type="dxa"/>
            <w:shd w:val="clear" w:color="auto" w:fill="auto"/>
            <w:vAlign w:val="center"/>
            <w:hideMark/>
          </w:tcPr>
          <w:p w14:paraId="7CD680A0"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reduction of excise duties</w:t>
            </w:r>
          </w:p>
        </w:tc>
        <w:tc>
          <w:tcPr>
            <w:tcW w:w="2780" w:type="dxa"/>
            <w:shd w:val="clear" w:color="auto" w:fill="D9D9D9" w:themeFill="background1" w:themeFillShade="D9"/>
            <w:vAlign w:val="center"/>
            <w:hideMark/>
          </w:tcPr>
          <w:p w14:paraId="4C1178D4"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 xml:space="preserve">    985- 987</w:t>
            </w:r>
          </w:p>
        </w:tc>
      </w:tr>
      <w:tr w:rsidR="008A393E" w:rsidRPr="00566D91" w14:paraId="75577A43" w14:textId="77777777" w:rsidTr="00AA41E7">
        <w:trPr>
          <w:gridAfter w:val="1"/>
          <w:wAfter w:w="146" w:type="dxa"/>
          <w:trHeight w:val="255"/>
        </w:trPr>
        <w:tc>
          <w:tcPr>
            <w:tcW w:w="3680" w:type="dxa"/>
            <w:shd w:val="clear" w:color="auto" w:fill="auto"/>
            <w:vAlign w:val="center"/>
            <w:hideMark/>
          </w:tcPr>
          <w:p w14:paraId="420C36E2" w14:textId="19AA9770" w:rsidR="008A393E" w:rsidRPr="00566D91" w:rsidRDefault="0025081F" w:rsidP="0025081F">
            <w:pPr>
              <w:autoSpaceDN/>
              <w:rPr>
                <w:rFonts w:ascii="Arial Narrow" w:eastAsia="Times New Roman" w:hAnsi="Arial Narrow"/>
                <w:color w:val="1B1F24"/>
                <w:sz w:val="16"/>
                <w:szCs w:val="16"/>
                <w:lang w:eastAsia="it-IT"/>
              </w:rPr>
            </w:pPr>
            <w:r>
              <w:rPr>
                <w:color w:val="1B1F24"/>
                <w:sz w:val="16"/>
                <w:szCs w:val="16"/>
                <w:lang w:val="en"/>
              </w:rPr>
              <w:t>Green</w:t>
            </w:r>
            <w:r w:rsidR="008A393E" w:rsidRPr="00566D91">
              <w:rPr>
                <w:color w:val="1B1F24"/>
                <w:sz w:val="16"/>
                <w:szCs w:val="16"/>
                <w:lang w:val="en"/>
              </w:rPr>
              <w:t xml:space="preserve"> </w:t>
            </w:r>
            <w:r>
              <w:rPr>
                <w:color w:val="1B1F24"/>
                <w:sz w:val="16"/>
                <w:szCs w:val="16"/>
                <w:lang w:val="en"/>
              </w:rPr>
              <w:t>bonus</w:t>
            </w:r>
            <w:r w:rsidR="008A393E" w:rsidRPr="00566D91">
              <w:rPr>
                <w:color w:val="1B1F24"/>
                <w:sz w:val="16"/>
                <w:szCs w:val="16"/>
                <w:lang w:val="en"/>
              </w:rPr>
              <w:t xml:space="preserve"> </w:t>
            </w:r>
          </w:p>
        </w:tc>
        <w:tc>
          <w:tcPr>
            <w:tcW w:w="1960" w:type="dxa"/>
            <w:shd w:val="clear" w:color="auto" w:fill="D9D9D9" w:themeFill="background1" w:themeFillShade="D9"/>
            <w:vAlign w:val="center"/>
            <w:hideMark/>
          </w:tcPr>
          <w:p w14:paraId="69A26513"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2022-24</w:t>
            </w:r>
          </w:p>
        </w:tc>
        <w:tc>
          <w:tcPr>
            <w:tcW w:w="1400" w:type="dxa"/>
            <w:shd w:val="clear" w:color="auto" w:fill="auto"/>
            <w:vAlign w:val="center"/>
            <w:hideMark/>
          </w:tcPr>
          <w:p w14:paraId="160C761A" w14:textId="77777777" w:rsidR="008A393E" w:rsidRPr="00566D91" w:rsidRDefault="008A393E" w:rsidP="00AA41E7">
            <w:pPr>
              <w:autoSpaceDN/>
              <w:jc w:val="center"/>
              <w:rPr>
                <w:rFonts w:ascii="Arial Narrow" w:eastAsia="Times New Roman" w:hAnsi="Arial Narrow"/>
                <w:color w:val="000000"/>
                <w:sz w:val="16"/>
                <w:szCs w:val="16"/>
                <w:lang w:eastAsia="it-IT"/>
              </w:rPr>
            </w:pPr>
          </w:p>
        </w:tc>
        <w:tc>
          <w:tcPr>
            <w:tcW w:w="2780" w:type="dxa"/>
            <w:shd w:val="clear" w:color="auto" w:fill="D9D9D9" w:themeFill="background1" w:themeFillShade="D9"/>
            <w:vAlign w:val="center"/>
            <w:hideMark/>
          </w:tcPr>
          <w:p w14:paraId="771B8202"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38</w:t>
            </w:r>
          </w:p>
        </w:tc>
      </w:tr>
      <w:tr w:rsidR="008A393E" w:rsidRPr="00566D91" w14:paraId="2F4A7B18" w14:textId="77777777" w:rsidTr="00AA41E7">
        <w:trPr>
          <w:gridAfter w:val="1"/>
          <w:wAfter w:w="146" w:type="dxa"/>
          <w:trHeight w:val="255"/>
        </w:trPr>
        <w:tc>
          <w:tcPr>
            <w:tcW w:w="3680" w:type="dxa"/>
            <w:shd w:val="clear" w:color="auto" w:fill="auto"/>
            <w:vAlign w:val="center"/>
            <w:hideMark/>
          </w:tcPr>
          <w:p w14:paraId="37FA6024" w14:textId="77777777" w:rsidR="008A393E" w:rsidRPr="005E3784" w:rsidRDefault="008A393E" w:rsidP="00AA41E7">
            <w:pPr>
              <w:autoSpaceDN/>
              <w:rPr>
                <w:rFonts w:ascii="Arial Narrow" w:eastAsia="Times New Roman" w:hAnsi="Arial Narrow"/>
                <w:color w:val="1B1F24"/>
                <w:sz w:val="16"/>
                <w:szCs w:val="16"/>
                <w:lang w:val="en-GB" w:eastAsia="it-IT"/>
              </w:rPr>
            </w:pPr>
            <w:r w:rsidRPr="00566D91">
              <w:rPr>
                <w:color w:val="1B1F24"/>
                <w:sz w:val="16"/>
                <w:szCs w:val="16"/>
                <w:lang w:val="en"/>
              </w:rPr>
              <w:t xml:space="preserve">IRPEF exemption of dominical and agrarian income </w:t>
            </w:r>
          </w:p>
        </w:tc>
        <w:tc>
          <w:tcPr>
            <w:tcW w:w="1960" w:type="dxa"/>
            <w:shd w:val="clear" w:color="auto" w:fill="D9D9D9" w:themeFill="background1" w:themeFillShade="D9"/>
            <w:vAlign w:val="center"/>
            <w:hideMark/>
          </w:tcPr>
          <w:p w14:paraId="1B470C0A"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2023</w:t>
            </w:r>
          </w:p>
        </w:tc>
        <w:tc>
          <w:tcPr>
            <w:tcW w:w="1400" w:type="dxa"/>
            <w:shd w:val="clear" w:color="auto" w:fill="auto"/>
            <w:vAlign w:val="center"/>
            <w:hideMark/>
          </w:tcPr>
          <w:p w14:paraId="0FA58FA3"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237</w:t>
            </w:r>
          </w:p>
        </w:tc>
        <w:tc>
          <w:tcPr>
            <w:tcW w:w="2780" w:type="dxa"/>
            <w:shd w:val="clear" w:color="auto" w:fill="D9D9D9" w:themeFill="background1" w:themeFillShade="D9"/>
            <w:vAlign w:val="center"/>
            <w:hideMark/>
          </w:tcPr>
          <w:p w14:paraId="5D8415F0"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25</w:t>
            </w:r>
          </w:p>
        </w:tc>
      </w:tr>
      <w:tr w:rsidR="008A393E" w:rsidRPr="00566D91" w14:paraId="511C492A" w14:textId="77777777" w:rsidTr="00AA41E7">
        <w:trPr>
          <w:gridAfter w:val="1"/>
          <w:wAfter w:w="146" w:type="dxa"/>
          <w:trHeight w:val="255"/>
        </w:trPr>
        <w:tc>
          <w:tcPr>
            <w:tcW w:w="3680" w:type="dxa"/>
            <w:shd w:val="clear" w:color="auto" w:fill="auto"/>
            <w:vAlign w:val="center"/>
            <w:hideMark/>
          </w:tcPr>
          <w:p w14:paraId="57611891" w14:textId="77777777" w:rsidR="008A393E" w:rsidRPr="005E3784" w:rsidRDefault="008A393E" w:rsidP="00AA41E7">
            <w:pPr>
              <w:autoSpaceDN/>
              <w:rPr>
                <w:rFonts w:ascii="Arial Narrow" w:eastAsia="Times New Roman" w:hAnsi="Arial Narrow"/>
                <w:color w:val="1B1F24"/>
                <w:sz w:val="16"/>
                <w:szCs w:val="16"/>
                <w:lang w:val="en-GB" w:eastAsia="it-IT"/>
              </w:rPr>
            </w:pPr>
            <w:r w:rsidRPr="00566D91">
              <w:rPr>
                <w:color w:val="1B1F24"/>
                <w:sz w:val="16"/>
                <w:szCs w:val="16"/>
                <w:lang w:val="en"/>
              </w:rPr>
              <w:t>Support for animal husbandry: cattle and pigs</w:t>
            </w:r>
          </w:p>
        </w:tc>
        <w:tc>
          <w:tcPr>
            <w:tcW w:w="1960" w:type="dxa"/>
            <w:shd w:val="clear" w:color="auto" w:fill="D9D9D9" w:themeFill="background1" w:themeFillShade="D9"/>
            <w:vAlign w:val="center"/>
            <w:hideMark/>
          </w:tcPr>
          <w:p w14:paraId="42F84C24"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2022</w:t>
            </w:r>
          </w:p>
        </w:tc>
        <w:tc>
          <w:tcPr>
            <w:tcW w:w="1400" w:type="dxa"/>
            <w:shd w:val="clear" w:color="auto" w:fill="auto"/>
            <w:vAlign w:val="center"/>
            <w:hideMark/>
          </w:tcPr>
          <w:p w14:paraId="4A8DD645"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74,5</w:t>
            </w:r>
          </w:p>
        </w:tc>
        <w:tc>
          <w:tcPr>
            <w:tcW w:w="2780" w:type="dxa"/>
            <w:shd w:val="clear" w:color="auto" w:fill="D9D9D9" w:themeFill="background1" w:themeFillShade="D9"/>
            <w:vAlign w:val="center"/>
            <w:hideMark/>
          </w:tcPr>
          <w:p w14:paraId="3E620310"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527</w:t>
            </w:r>
          </w:p>
        </w:tc>
      </w:tr>
      <w:tr w:rsidR="008A393E" w:rsidRPr="00463EB5" w14:paraId="51246CAD" w14:textId="77777777" w:rsidTr="00AA41E7">
        <w:trPr>
          <w:gridAfter w:val="1"/>
          <w:wAfter w:w="146" w:type="dxa"/>
          <w:trHeight w:val="255"/>
        </w:trPr>
        <w:tc>
          <w:tcPr>
            <w:tcW w:w="9820" w:type="dxa"/>
            <w:gridSpan w:val="4"/>
            <w:shd w:val="clear" w:color="auto" w:fill="17365D"/>
            <w:vAlign w:val="center"/>
            <w:hideMark/>
          </w:tcPr>
          <w:p w14:paraId="452FAD9E" w14:textId="77777777" w:rsidR="008A393E" w:rsidRPr="005E3784" w:rsidRDefault="008A393E" w:rsidP="00AA41E7">
            <w:pPr>
              <w:autoSpaceDN/>
              <w:jc w:val="center"/>
              <w:rPr>
                <w:rFonts w:ascii="Arial Narrow" w:eastAsia="Times New Roman" w:hAnsi="Arial Narrow"/>
                <w:b/>
                <w:bCs/>
                <w:color w:val="FFFFFF" w:themeColor="background1"/>
                <w:sz w:val="16"/>
                <w:szCs w:val="16"/>
                <w:lang w:val="en-GB" w:eastAsia="it-IT"/>
              </w:rPr>
            </w:pPr>
            <w:r w:rsidRPr="00AF2B03">
              <w:rPr>
                <w:b/>
                <w:color w:val="FFFFFF" w:themeColor="background1"/>
                <w:sz w:val="16"/>
                <w:szCs w:val="16"/>
                <w:lang w:val="en"/>
              </w:rPr>
              <w:t>Contribution and social security benefits</w:t>
            </w:r>
          </w:p>
        </w:tc>
      </w:tr>
      <w:tr w:rsidR="008A393E" w:rsidRPr="00566D91" w14:paraId="79C1A5D5" w14:textId="77777777" w:rsidTr="00AA41E7">
        <w:trPr>
          <w:gridAfter w:val="1"/>
          <w:wAfter w:w="146" w:type="dxa"/>
          <w:trHeight w:val="255"/>
        </w:trPr>
        <w:tc>
          <w:tcPr>
            <w:tcW w:w="3680" w:type="dxa"/>
            <w:shd w:val="clear" w:color="auto" w:fill="auto"/>
            <w:vAlign w:val="center"/>
            <w:hideMark/>
          </w:tcPr>
          <w:p w14:paraId="7D6A005C" w14:textId="77777777" w:rsidR="008A393E" w:rsidRPr="00566D91" w:rsidRDefault="008A393E" w:rsidP="00AA41E7">
            <w:pPr>
              <w:autoSpaceDN/>
              <w:rPr>
                <w:rFonts w:ascii="Arial Narrow" w:eastAsia="Times New Roman" w:hAnsi="Arial Narrow"/>
                <w:color w:val="000000"/>
                <w:sz w:val="16"/>
                <w:szCs w:val="16"/>
                <w:lang w:eastAsia="it-IT"/>
              </w:rPr>
            </w:pPr>
            <w:r w:rsidRPr="00566D91">
              <w:rPr>
                <w:color w:val="000000"/>
                <w:sz w:val="16"/>
                <w:szCs w:val="16"/>
                <w:lang w:val="en"/>
              </w:rPr>
              <w:t xml:space="preserve">Three-year fisheries plan </w:t>
            </w:r>
          </w:p>
        </w:tc>
        <w:tc>
          <w:tcPr>
            <w:tcW w:w="1960" w:type="dxa"/>
            <w:shd w:val="clear" w:color="auto" w:fill="D9D9D9" w:themeFill="background1" w:themeFillShade="D9"/>
            <w:vAlign w:val="center"/>
            <w:hideMark/>
          </w:tcPr>
          <w:p w14:paraId="669CCF9E"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2022-23</w:t>
            </w:r>
          </w:p>
        </w:tc>
        <w:tc>
          <w:tcPr>
            <w:tcW w:w="1400" w:type="dxa"/>
            <w:shd w:val="clear" w:color="auto" w:fill="auto"/>
            <w:vAlign w:val="center"/>
            <w:hideMark/>
          </w:tcPr>
          <w:p w14:paraId="28D5C687"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8</w:t>
            </w:r>
          </w:p>
        </w:tc>
        <w:tc>
          <w:tcPr>
            <w:tcW w:w="2780" w:type="dxa"/>
            <w:shd w:val="clear" w:color="auto" w:fill="D9D9D9" w:themeFill="background1" w:themeFillShade="D9"/>
            <w:vAlign w:val="center"/>
            <w:hideMark/>
          </w:tcPr>
          <w:p w14:paraId="2C2DF2A0" w14:textId="77777777" w:rsidR="008A393E" w:rsidRPr="00566D91" w:rsidRDefault="008A393E" w:rsidP="00AA41E7">
            <w:pPr>
              <w:autoSpaceDN/>
              <w:jc w:val="center"/>
              <w:rPr>
                <w:rFonts w:ascii="Arial Narrow" w:eastAsia="Times New Roman" w:hAnsi="Arial Narrow"/>
                <w:color w:val="1B1F24"/>
                <w:sz w:val="16"/>
                <w:szCs w:val="16"/>
                <w:lang w:eastAsia="it-IT"/>
              </w:rPr>
            </w:pPr>
            <w:r w:rsidRPr="00566D91">
              <w:rPr>
                <w:color w:val="1B1F24"/>
                <w:sz w:val="16"/>
                <w:szCs w:val="16"/>
                <w:lang w:val="en"/>
              </w:rPr>
              <w:t>Financing</w:t>
            </w:r>
          </w:p>
        </w:tc>
      </w:tr>
      <w:tr w:rsidR="008A393E" w:rsidRPr="00566D91" w14:paraId="217C0ECD" w14:textId="77777777" w:rsidTr="00AA41E7">
        <w:trPr>
          <w:gridAfter w:val="1"/>
          <w:wAfter w:w="146" w:type="dxa"/>
          <w:trHeight w:val="255"/>
        </w:trPr>
        <w:tc>
          <w:tcPr>
            <w:tcW w:w="3680" w:type="dxa"/>
            <w:shd w:val="clear" w:color="auto" w:fill="auto"/>
            <w:vAlign w:val="center"/>
            <w:hideMark/>
          </w:tcPr>
          <w:p w14:paraId="1503E80C" w14:textId="77777777" w:rsidR="008A393E" w:rsidRPr="00566D91" w:rsidRDefault="008A393E" w:rsidP="00AA41E7">
            <w:pPr>
              <w:autoSpaceDN/>
              <w:rPr>
                <w:rFonts w:ascii="Arial Narrow" w:eastAsia="Times New Roman" w:hAnsi="Arial Narrow"/>
                <w:color w:val="1B1F24"/>
                <w:sz w:val="16"/>
                <w:szCs w:val="16"/>
                <w:lang w:eastAsia="it-IT"/>
              </w:rPr>
            </w:pPr>
            <w:r w:rsidRPr="00566D91">
              <w:rPr>
                <w:color w:val="1B1F24"/>
                <w:sz w:val="16"/>
                <w:szCs w:val="16"/>
                <w:lang w:val="en"/>
              </w:rPr>
              <w:t xml:space="preserve">National Fisheries Solidarity Fund </w:t>
            </w:r>
          </w:p>
        </w:tc>
        <w:tc>
          <w:tcPr>
            <w:tcW w:w="1960" w:type="dxa"/>
            <w:shd w:val="clear" w:color="auto" w:fill="D9D9D9" w:themeFill="background1" w:themeFillShade="D9"/>
            <w:vAlign w:val="center"/>
            <w:hideMark/>
          </w:tcPr>
          <w:p w14:paraId="51E9DE03"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2022-23</w:t>
            </w:r>
          </w:p>
        </w:tc>
        <w:tc>
          <w:tcPr>
            <w:tcW w:w="1400" w:type="dxa"/>
            <w:shd w:val="clear" w:color="auto" w:fill="auto"/>
            <w:vAlign w:val="center"/>
            <w:hideMark/>
          </w:tcPr>
          <w:p w14:paraId="13F70823"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8</w:t>
            </w:r>
          </w:p>
        </w:tc>
        <w:tc>
          <w:tcPr>
            <w:tcW w:w="2780" w:type="dxa"/>
            <w:shd w:val="clear" w:color="auto" w:fill="D9D9D9" w:themeFill="background1" w:themeFillShade="D9"/>
            <w:vAlign w:val="center"/>
            <w:hideMark/>
          </w:tcPr>
          <w:p w14:paraId="06FFE18A"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Bottom</w:t>
            </w:r>
          </w:p>
        </w:tc>
      </w:tr>
      <w:tr w:rsidR="008A393E" w:rsidRPr="00566D91" w14:paraId="0EC264E5" w14:textId="77777777" w:rsidTr="00AA41E7">
        <w:trPr>
          <w:trHeight w:val="255"/>
        </w:trPr>
        <w:tc>
          <w:tcPr>
            <w:tcW w:w="3680" w:type="dxa"/>
            <w:shd w:val="clear" w:color="auto" w:fill="auto"/>
            <w:vAlign w:val="center"/>
            <w:hideMark/>
          </w:tcPr>
          <w:p w14:paraId="2F5093A2" w14:textId="77777777" w:rsidR="008A393E" w:rsidRPr="00566D91" w:rsidRDefault="008A393E" w:rsidP="00AA41E7">
            <w:pPr>
              <w:autoSpaceDN/>
              <w:rPr>
                <w:rFonts w:ascii="Arial Narrow" w:eastAsia="Times New Roman" w:hAnsi="Arial Narrow"/>
                <w:color w:val="1B1F24"/>
                <w:sz w:val="16"/>
                <w:szCs w:val="16"/>
                <w:lang w:eastAsia="it-IT"/>
              </w:rPr>
            </w:pPr>
            <w:r w:rsidRPr="00566D91">
              <w:rPr>
                <w:color w:val="1B1F24"/>
                <w:sz w:val="16"/>
                <w:szCs w:val="16"/>
                <w:lang w:val="en"/>
              </w:rPr>
              <w:t>Fishing stop</w:t>
            </w:r>
          </w:p>
        </w:tc>
        <w:tc>
          <w:tcPr>
            <w:tcW w:w="1960" w:type="dxa"/>
            <w:shd w:val="clear" w:color="auto" w:fill="D9D9D9" w:themeFill="background1" w:themeFillShade="D9"/>
            <w:vAlign w:val="center"/>
            <w:hideMark/>
          </w:tcPr>
          <w:p w14:paraId="413C7A6E" w14:textId="77777777" w:rsidR="008A393E" w:rsidRPr="00566D91" w:rsidRDefault="008A393E" w:rsidP="00AA41E7">
            <w:pPr>
              <w:autoSpaceDN/>
              <w:rPr>
                <w:rFonts w:ascii="Arial Narrow" w:eastAsia="Times New Roman" w:hAnsi="Arial Narrow"/>
                <w:color w:val="1B1F24"/>
                <w:sz w:val="16"/>
                <w:szCs w:val="16"/>
                <w:lang w:eastAsia="it-IT"/>
              </w:rPr>
            </w:pPr>
          </w:p>
        </w:tc>
        <w:tc>
          <w:tcPr>
            <w:tcW w:w="1400" w:type="dxa"/>
            <w:shd w:val="clear" w:color="auto" w:fill="auto"/>
            <w:vAlign w:val="center"/>
            <w:hideMark/>
          </w:tcPr>
          <w:p w14:paraId="483199DD"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19</w:t>
            </w:r>
          </w:p>
        </w:tc>
        <w:tc>
          <w:tcPr>
            <w:tcW w:w="2780" w:type="dxa"/>
            <w:shd w:val="clear" w:color="auto" w:fill="D9D9D9" w:themeFill="background1" w:themeFillShade="D9"/>
            <w:vAlign w:val="center"/>
            <w:hideMark/>
          </w:tcPr>
          <w:p w14:paraId="31E88D33"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 xml:space="preserve">All-inclusive allowance </w:t>
            </w:r>
          </w:p>
        </w:tc>
        <w:tc>
          <w:tcPr>
            <w:tcW w:w="146" w:type="dxa"/>
            <w:vAlign w:val="center"/>
            <w:hideMark/>
          </w:tcPr>
          <w:p w14:paraId="417DB62B" w14:textId="77777777" w:rsidR="008A393E" w:rsidRPr="00566D91" w:rsidRDefault="008A393E" w:rsidP="00AA41E7">
            <w:pPr>
              <w:autoSpaceDN/>
              <w:rPr>
                <w:rFonts w:ascii="Arial Narrow" w:eastAsia="Times New Roman" w:hAnsi="Arial Narrow"/>
                <w:sz w:val="16"/>
                <w:szCs w:val="16"/>
                <w:lang w:eastAsia="it-IT"/>
              </w:rPr>
            </w:pPr>
          </w:p>
        </w:tc>
      </w:tr>
      <w:tr w:rsidR="008A393E" w:rsidRPr="00566D91" w14:paraId="10DB6B5A" w14:textId="77777777" w:rsidTr="00AA41E7">
        <w:trPr>
          <w:trHeight w:val="255"/>
        </w:trPr>
        <w:tc>
          <w:tcPr>
            <w:tcW w:w="3680" w:type="dxa"/>
            <w:vMerge w:val="restart"/>
            <w:shd w:val="clear" w:color="auto" w:fill="auto"/>
            <w:vAlign w:val="center"/>
            <w:hideMark/>
          </w:tcPr>
          <w:p w14:paraId="52A54D6D" w14:textId="77777777" w:rsidR="008A393E" w:rsidRPr="00C667A4" w:rsidRDefault="008A393E" w:rsidP="00AA41E7">
            <w:pPr>
              <w:autoSpaceDN/>
              <w:rPr>
                <w:rFonts w:ascii="Arial Narrow" w:eastAsia="Times New Roman" w:hAnsi="Arial Narrow"/>
                <w:color w:val="1B1F24"/>
                <w:sz w:val="16"/>
                <w:szCs w:val="16"/>
                <w:lang w:val="en-US" w:eastAsia="it-IT"/>
              </w:rPr>
            </w:pPr>
            <w:r w:rsidRPr="00C667A4">
              <w:rPr>
                <w:color w:val="1B1F24"/>
                <w:sz w:val="16"/>
                <w:szCs w:val="16"/>
                <w:lang w:val="en-US"/>
              </w:rPr>
              <w:t xml:space="preserve"> Wage subsidies to agricultural f</w:t>
            </w:r>
            <w:r>
              <w:rPr>
                <w:color w:val="1B1F24"/>
                <w:sz w:val="16"/>
                <w:szCs w:val="16"/>
                <w:lang w:val="en-US"/>
              </w:rPr>
              <w:t>armers</w:t>
            </w:r>
          </w:p>
        </w:tc>
        <w:tc>
          <w:tcPr>
            <w:tcW w:w="1960" w:type="dxa"/>
            <w:vMerge w:val="restart"/>
            <w:shd w:val="clear" w:color="auto" w:fill="D9D9D9" w:themeFill="background1" w:themeFillShade="D9"/>
            <w:vAlign w:val="center"/>
            <w:hideMark/>
          </w:tcPr>
          <w:p w14:paraId="2A983D32"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from 2022</w:t>
            </w:r>
          </w:p>
        </w:tc>
        <w:tc>
          <w:tcPr>
            <w:tcW w:w="1400" w:type="dxa"/>
            <w:vMerge w:val="restart"/>
            <w:shd w:val="clear" w:color="auto" w:fill="auto"/>
            <w:vAlign w:val="center"/>
            <w:hideMark/>
          </w:tcPr>
          <w:p w14:paraId="2D705E8A"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12</w:t>
            </w:r>
          </w:p>
        </w:tc>
        <w:tc>
          <w:tcPr>
            <w:tcW w:w="2780" w:type="dxa"/>
            <w:shd w:val="clear" w:color="auto" w:fill="D9D9D9" w:themeFill="background1" w:themeFillShade="D9"/>
            <w:vAlign w:val="center"/>
            <w:hideMark/>
          </w:tcPr>
          <w:p w14:paraId="4AE79086"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217-218</w:t>
            </w:r>
          </w:p>
        </w:tc>
        <w:tc>
          <w:tcPr>
            <w:tcW w:w="146" w:type="dxa"/>
            <w:vAlign w:val="center"/>
            <w:hideMark/>
          </w:tcPr>
          <w:p w14:paraId="30A04DF5" w14:textId="77777777" w:rsidR="008A393E" w:rsidRPr="00566D91" w:rsidRDefault="008A393E" w:rsidP="00AA41E7">
            <w:pPr>
              <w:autoSpaceDN/>
              <w:rPr>
                <w:rFonts w:ascii="Arial Narrow" w:eastAsia="Times New Roman" w:hAnsi="Arial Narrow"/>
                <w:sz w:val="16"/>
                <w:szCs w:val="16"/>
                <w:lang w:eastAsia="it-IT"/>
              </w:rPr>
            </w:pPr>
          </w:p>
        </w:tc>
      </w:tr>
      <w:tr w:rsidR="008A393E" w:rsidRPr="00566D91" w14:paraId="407D7F7A" w14:textId="77777777" w:rsidTr="00AA41E7">
        <w:trPr>
          <w:trHeight w:val="255"/>
        </w:trPr>
        <w:tc>
          <w:tcPr>
            <w:tcW w:w="3680" w:type="dxa"/>
            <w:vMerge/>
            <w:vAlign w:val="center"/>
            <w:hideMark/>
          </w:tcPr>
          <w:p w14:paraId="4CB209C7" w14:textId="77777777" w:rsidR="008A393E" w:rsidRPr="00566D91" w:rsidRDefault="008A393E" w:rsidP="00AA41E7">
            <w:pPr>
              <w:autoSpaceDN/>
              <w:rPr>
                <w:rFonts w:ascii="Arial Narrow" w:eastAsia="Times New Roman" w:hAnsi="Arial Narrow"/>
                <w:color w:val="1B1F24"/>
                <w:sz w:val="16"/>
                <w:szCs w:val="16"/>
                <w:lang w:eastAsia="it-IT"/>
              </w:rPr>
            </w:pPr>
          </w:p>
        </w:tc>
        <w:tc>
          <w:tcPr>
            <w:tcW w:w="1960" w:type="dxa"/>
            <w:vMerge/>
            <w:shd w:val="clear" w:color="auto" w:fill="D9D9D9" w:themeFill="background1" w:themeFillShade="D9"/>
            <w:vAlign w:val="center"/>
            <w:hideMark/>
          </w:tcPr>
          <w:p w14:paraId="652DE5F7" w14:textId="77777777" w:rsidR="008A393E" w:rsidRPr="00566D91" w:rsidRDefault="008A393E" w:rsidP="00AA41E7">
            <w:pPr>
              <w:autoSpaceDN/>
              <w:rPr>
                <w:rFonts w:ascii="Arial Narrow" w:eastAsia="Times New Roman" w:hAnsi="Arial Narrow"/>
                <w:color w:val="000000"/>
                <w:sz w:val="16"/>
                <w:szCs w:val="16"/>
                <w:lang w:eastAsia="it-IT"/>
              </w:rPr>
            </w:pPr>
          </w:p>
        </w:tc>
        <w:tc>
          <w:tcPr>
            <w:tcW w:w="1400" w:type="dxa"/>
            <w:vMerge/>
            <w:vAlign w:val="center"/>
            <w:hideMark/>
          </w:tcPr>
          <w:p w14:paraId="2CDC2A4B" w14:textId="77777777" w:rsidR="008A393E" w:rsidRPr="00566D91" w:rsidRDefault="008A393E" w:rsidP="00AA41E7">
            <w:pPr>
              <w:autoSpaceDN/>
              <w:rPr>
                <w:rFonts w:ascii="Arial Narrow" w:eastAsia="Times New Roman" w:hAnsi="Arial Narrow"/>
                <w:color w:val="000000"/>
                <w:sz w:val="16"/>
                <w:szCs w:val="16"/>
                <w:lang w:eastAsia="it-IT"/>
              </w:rPr>
            </w:pPr>
          </w:p>
        </w:tc>
        <w:tc>
          <w:tcPr>
            <w:tcW w:w="2780" w:type="dxa"/>
            <w:shd w:val="clear" w:color="auto" w:fill="D9D9D9" w:themeFill="background1" w:themeFillShade="D9"/>
            <w:vAlign w:val="center"/>
            <w:hideMark/>
          </w:tcPr>
          <w:p w14:paraId="154F58DD"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 xml:space="preserve">122 and 130 </w:t>
            </w:r>
          </w:p>
        </w:tc>
        <w:tc>
          <w:tcPr>
            <w:tcW w:w="146" w:type="dxa"/>
            <w:vAlign w:val="center"/>
            <w:hideMark/>
          </w:tcPr>
          <w:p w14:paraId="2010D30E" w14:textId="77777777" w:rsidR="008A393E" w:rsidRPr="00566D91" w:rsidRDefault="008A393E" w:rsidP="00AA41E7">
            <w:pPr>
              <w:autoSpaceDN/>
              <w:rPr>
                <w:rFonts w:ascii="Arial Narrow" w:eastAsia="Times New Roman" w:hAnsi="Arial Narrow"/>
                <w:sz w:val="16"/>
                <w:szCs w:val="16"/>
                <w:lang w:eastAsia="it-IT"/>
              </w:rPr>
            </w:pPr>
          </w:p>
        </w:tc>
      </w:tr>
      <w:tr w:rsidR="008A393E" w:rsidRPr="00463EB5" w14:paraId="21ABA9DE" w14:textId="77777777" w:rsidTr="00AA41E7">
        <w:trPr>
          <w:trHeight w:val="255"/>
        </w:trPr>
        <w:tc>
          <w:tcPr>
            <w:tcW w:w="3680" w:type="dxa"/>
            <w:vMerge/>
            <w:vAlign w:val="center"/>
            <w:hideMark/>
          </w:tcPr>
          <w:p w14:paraId="2990386C" w14:textId="77777777" w:rsidR="008A393E" w:rsidRPr="00566D91" w:rsidRDefault="008A393E" w:rsidP="00AA41E7">
            <w:pPr>
              <w:autoSpaceDN/>
              <w:rPr>
                <w:rFonts w:ascii="Arial Narrow" w:eastAsia="Times New Roman" w:hAnsi="Arial Narrow"/>
                <w:color w:val="1B1F24"/>
                <w:sz w:val="16"/>
                <w:szCs w:val="16"/>
                <w:lang w:eastAsia="it-IT"/>
              </w:rPr>
            </w:pPr>
          </w:p>
        </w:tc>
        <w:tc>
          <w:tcPr>
            <w:tcW w:w="1960" w:type="dxa"/>
            <w:vMerge/>
            <w:shd w:val="clear" w:color="auto" w:fill="D9D9D9" w:themeFill="background1" w:themeFillShade="D9"/>
            <w:vAlign w:val="center"/>
            <w:hideMark/>
          </w:tcPr>
          <w:p w14:paraId="1CD15D8E" w14:textId="77777777" w:rsidR="008A393E" w:rsidRPr="00566D91" w:rsidRDefault="008A393E" w:rsidP="00AA41E7">
            <w:pPr>
              <w:autoSpaceDN/>
              <w:rPr>
                <w:rFonts w:ascii="Arial Narrow" w:eastAsia="Times New Roman" w:hAnsi="Arial Narrow"/>
                <w:color w:val="000000"/>
                <w:sz w:val="16"/>
                <w:szCs w:val="16"/>
                <w:lang w:eastAsia="it-IT"/>
              </w:rPr>
            </w:pPr>
          </w:p>
        </w:tc>
        <w:tc>
          <w:tcPr>
            <w:tcW w:w="1400" w:type="dxa"/>
            <w:vMerge/>
            <w:vAlign w:val="center"/>
            <w:hideMark/>
          </w:tcPr>
          <w:p w14:paraId="26FECDA8" w14:textId="77777777" w:rsidR="008A393E" w:rsidRPr="00566D91" w:rsidRDefault="008A393E" w:rsidP="00AA41E7">
            <w:pPr>
              <w:autoSpaceDN/>
              <w:rPr>
                <w:rFonts w:ascii="Arial Narrow" w:eastAsia="Times New Roman" w:hAnsi="Arial Narrow"/>
                <w:color w:val="000000"/>
                <w:sz w:val="16"/>
                <w:szCs w:val="16"/>
                <w:lang w:eastAsia="it-IT"/>
              </w:rPr>
            </w:pPr>
          </w:p>
        </w:tc>
        <w:tc>
          <w:tcPr>
            <w:tcW w:w="2780" w:type="dxa"/>
            <w:vMerge w:val="restart"/>
            <w:shd w:val="clear" w:color="auto" w:fill="D9D9D9" w:themeFill="background1" w:themeFillShade="D9"/>
            <w:vAlign w:val="center"/>
            <w:hideMark/>
          </w:tcPr>
          <w:p w14:paraId="18245AEF" w14:textId="77777777" w:rsidR="008A393E" w:rsidRPr="005E3784" w:rsidRDefault="008A393E" w:rsidP="00AA41E7">
            <w:pPr>
              <w:autoSpaceDN/>
              <w:jc w:val="center"/>
              <w:rPr>
                <w:rFonts w:ascii="Arial Narrow" w:eastAsia="Times New Roman" w:hAnsi="Arial Narrow"/>
                <w:color w:val="000000"/>
                <w:sz w:val="16"/>
                <w:szCs w:val="16"/>
                <w:lang w:val="en-GB" w:eastAsia="it-IT"/>
              </w:rPr>
            </w:pPr>
            <w:r w:rsidRPr="00566D91">
              <w:rPr>
                <w:color w:val="000000"/>
                <w:sz w:val="16"/>
                <w:szCs w:val="16"/>
                <w:lang w:val="en"/>
              </w:rPr>
              <w:t>Social Fund for Employment and Training</w:t>
            </w:r>
          </w:p>
        </w:tc>
        <w:tc>
          <w:tcPr>
            <w:tcW w:w="146" w:type="dxa"/>
            <w:vAlign w:val="center"/>
            <w:hideMark/>
          </w:tcPr>
          <w:p w14:paraId="45C13F71" w14:textId="77777777" w:rsidR="008A393E" w:rsidRPr="005E3784" w:rsidRDefault="008A393E" w:rsidP="00AA41E7">
            <w:pPr>
              <w:autoSpaceDN/>
              <w:rPr>
                <w:rFonts w:ascii="Arial Narrow" w:eastAsia="Times New Roman" w:hAnsi="Arial Narrow"/>
                <w:sz w:val="16"/>
                <w:szCs w:val="16"/>
                <w:lang w:val="en-GB" w:eastAsia="it-IT"/>
              </w:rPr>
            </w:pPr>
          </w:p>
        </w:tc>
      </w:tr>
      <w:tr w:rsidR="008A393E" w:rsidRPr="00463EB5" w14:paraId="7383CD57" w14:textId="77777777" w:rsidTr="00AA41E7">
        <w:trPr>
          <w:trHeight w:val="255"/>
        </w:trPr>
        <w:tc>
          <w:tcPr>
            <w:tcW w:w="3680" w:type="dxa"/>
            <w:vMerge/>
            <w:vAlign w:val="center"/>
            <w:hideMark/>
          </w:tcPr>
          <w:p w14:paraId="51A07EFE" w14:textId="77777777" w:rsidR="008A393E" w:rsidRPr="005E3784" w:rsidRDefault="008A393E" w:rsidP="00AA41E7">
            <w:pPr>
              <w:autoSpaceDN/>
              <w:rPr>
                <w:rFonts w:ascii="Arial Narrow" w:eastAsia="Times New Roman" w:hAnsi="Arial Narrow"/>
                <w:color w:val="1B1F24"/>
                <w:sz w:val="16"/>
                <w:szCs w:val="16"/>
                <w:lang w:val="en-GB" w:eastAsia="it-IT"/>
              </w:rPr>
            </w:pPr>
          </w:p>
        </w:tc>
        <w:tc>
          <w:tcPr>
            <w:tcW w:w="1960" w:type="dxa"/>
            <w:vMerge/>
            <w:shd w:val="clear" w:color="auto" w:fill="D9D9D9" w:themeFill="background1" w:themeFillShade="D9"/>
            <w:vAlign w:val="center"/>
            <w:hideMark/>
          </w:tcPr>
          <w:p w14:paraId="1534ABD8" w14:textId="77777777" w:rsidR="008A393E" w:rsidRPr="005E3784" w:rsidRDefault="008A393E" w:rsidP="00AA41E7">
            <w:pPr>
              <w:autoSpaceDN/>
              <w:rPr>
                <w:rFonts w:ascii="Arial Narrow" w:eastAsia="Times New Roman" w:hAnsi="Arial Narrow"/>
                <w:color w:val="000000"/>
                <w:sz w:val="16"/>
                <w:szCs w:val="16"/>
                <w:lang w:val="en-GB" w:eastAsia="it-IT"/>
              </w:rPr>
            </w:pPr>
          </w:p>
        </w:tc>
        <w:tc>
          <w:tcPr>
            <w:tcW w:w="1400" w:type="dxa"/>
            <w:vMerge/>
            <w:vAlign w:val="center"/>
            <w:hideMark/>
          </w:tcPr>
          <w:p w14:paraId="20B14195" w14:textId="77777777" w:rsidR="008A393E" w:rsidRPr="005E3784" w:rsidRDefault="008A393E" w:rsidP="00AA41E7">
            <w:pPr>
              <w:autoSpaceDN/>
              <w:rPr>
                <w:rFonts w:ascii="Arial Narrow" w:eastAsia="Times New Roman" w:hAnsi="Arial Narrow"/>
                <w:color w:val="000000"/>
                <w:sz w:val="16"/>
                <w:szCs w:val="16"/>
                <w:lang w:val="en-GB" w:eastAsia="it-IT"/>
              </w:rPr>
            </w:pPr>
          </w:p>
        </w:tc>
        <w:tc>
          <w:tcPr>
            <w:tcW w:w="2780" w:type="dxa"/>
            <w:vMerge/>
            <w:shd w:val="clear" w:color="auto" w:fill="D9D9D9" w:themeFill="background1" w:themeFillShade="D9"/>
            <w:vAlign w:val="center"/>
            <w:hideMark/>
          </w:tcPr>
          <w:p w14:paraId="4B2DA8E0" w14:textId="77777777" w:rsidR="008A393E" w:rsidRPr="005E3784" w:rsidRDefault="008A393E" w:rsidP="00AA41E7">
            <w:pPr>
              <w:autoSpaceDN/>
              <w:rPr>
                <w:rFonts w:ascii="Arial Narrow" w:eastAsia="Times New Roman" w:hAnsi="Arial Narrow"/>
                <w:color w:val="000000"/>
                <w:sz w:val="16"/>
                <w:szCs w:val="16"/>
                <w:lang w:val="en-GB" w:eastAsia="it-IT"/>
              </w:rPr>
            </w:pPr>
          </w:p>
        </w:tc>
        <w:tc>
          <w:tcPr>
            <w:tcW w:w="146" w:type="dxa"/>
            <w:shd w:val="clear" w:color="auto" w:fill="auto"/>
            <w:noWrap/>
            <w:vAlign w:val="bottom"/>
            <w:hideMark/>
          </w:tcPr>
          <w:p w14:paraId="31B4789C" w14:textId="77777777" w:rsidR="008A393E" w:rsidRPr="005E3784" w:rsidRDefault="008A393E" w:rsidP="00AA41E7">
            <w:pPr>
              <w:autoSpaceDN/>
              <w:jc w:val="center"/>
              <w:rPr>
                <w:rFonts w:ascii="Arial Narrow" w:eastAsia="Times New Roman" w:hAnsi="Arial Narrow"/>
                <w:color w:val="000000"/>
                <w:sz w:val="16"/>
                <w:szCs w:val="16"/>
                <w:lang w:val="en-GB" w:eastAsia="it-IT"/>
              </w:rPr>
            </w:pPr>
          </w:p>
        </w:tc>
      </w:tr>
      <w:tr w:rsidR="008A393E" w:rsidRPr="00566D91" w14:paraId="2AD513E7" w14:textId="77777777" w:rsidTr="00AA41E7">
        <w:trPr>
          <w:trHeight w:val="255"/>
        </w:trPr>
        <w:tc>
          <w:tcPr>
            <w:tcW w:w="3680" w:type="dxa"/>
            <w:vMerge w:val="restart"/>
            <w:shd w:val="clear" w:color="auto" w:fill="auto"/>
            <w:vAlign w:val="center"/>
            <w:hideMark/>
          </w:tcPr>
          <w:p w14:paraId="22696630" w14:textId="77777777" w:rsidR="008A393E" w:rsidRPr="005E3784" w:rsidRDefault="008A393E" w:rsidP="00AA41E7">
            <w:pPr>
              <w:autoSpaceDN/>
              <w:rPr>
                <w:rFonts w:ascii="Arial Narrow" w:eastAsia="Times New Roman" w:hAnsi="Arial Narrow"/>
                <w:color w:val="1B1F24"/>
                <w:sz w:val="16"/>
                <w:szCs w:val="16"/>
                <w:lang w:val="en-GB" w:eastAsia="it-IT"/>
              </w:rPr>
            </w:pPr>
            <w:r w:rsidRPr="00566D91">
              <w:rPr>
                <w:color w:val="1B1F24"/>
                <w:sz w:val="16"/>
                <w:szCs w:val="16"/>
                <w:lang w:val="en"/>
              </w:rPr>
              <w:t xml:space="preserve">Extension </w:t>
            </w:r>
            <w:proofErr w:type="gramStart"/>
            <w:r w:rsidRPr="00566D91">
              <w:rPr>
                <w:color w:val="1B1F24"/>
                <w:sz w:val="16"/>
                <w:szCs w:val="16"/>
                <w:lang w:val="en"/>
              </w:rPr>
              <w:t xml:space="preserve">of </w:t>
            </w:r>
            <w:r>
              <w:rPr>
                <w:color w:val="1B1F24"/>
                <w:sz w:val="16"/>
                <w:szCs w:val="16"/>
                <w:lang w:val="en"/>
              </w:rPr>
              <w:t xml:space="preserve"> tax</w:t>
            </w:r>
            <w:proofErr w:type="gramEnd"/>
            <w:r>
              <w:rPr>
                <w:color w:val="1B1F24"/>
                <w:sz w:val="16"/>
                <w:szCs w:val="16"/>
                <w:lang w:val="en"/>
              </w:rPr>
              <w:t xml:space="preserve">-relief  on </w:t>
            </w:r>
            <w:r w:rsidRPr="00566D91">
              <w:rPr>
                <w:color w:val="1B1F24"/>
                <w:sz w:val="16"/>
                <w:szCs w:val="16"/>
                <w:lang w:val="en"/>
              </w:rPr>
              <w:t>young direct farmers or professional farmers</w:t>
            </w:r>
          </w:p>
        </w:tc>
        <w:tc>
          <w:tcPr>
            <w:tcW w:w="1960" w:type="dxa"/>
            <w:vMerge w:val="restart"/>
            <w:shd w:val="clear" w:color="auto" w:fill="D9D9D9" w:themeFill="background1" w:themeFillShade="D9"/>
            <w:vAlign w:val="center"/>
            <w:hideMark/>
          </w:tcPr>
          <w:p w14:paraId="40820259"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2022-24</w:t>
            </w:r>
          </w:p>
        </w:tc>
        <w:tc>
          <w:tcPr>
            <w:tcW w:w="1400" w:type="dxa"/>
            <w:vMerge w:val="restart"/>
            <w:shd w:val="clear" w:color="auto" w:fill="auto"/>
            <w:vAlign w:val="center"/>
            <w:hideMark/>
          </w:tcPr>
          <w:p w14:paraId="56A0F20A"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54</w:t>
            </w:r>
          </w:p>
        </w:tc>
        <w:tc>
          <w:tcPr>
            <w:tcW w:w="2780" w:type="dxa"/>
            <w:vMerge w:val="restart"/>
            <w:shd w:val="clear" w:color="auto" w:fill="D9D9D9" w:themeFill="background1" w:themeFillShade="D9"/>
            <w:vAlign w:val="center"/>
            <w:hideMark/>
          </w:tcPr>
          <w:p w14:paraId="77723E13" w14:textId="77777777" w:rsidR="008A393E" w:rsidRPr="00566D91" w:rsidRDefault="008A393E" w:rsidP="00AA41E7">
            <w:pPr>
              <w:autoSpaceDN/>
              <w:jc w:val="center"/>
              <w:rPr>
                <w:rFonts w:ascii="Arial Narrow" w:eastAsia="Times New Roman" w:hAnsi="Arial Narrow"/>
                <w:color w:val="000000"/>
                <w:sz w:val="16"/>
                <w:szCs w:val="16"/>
                <w:lang w:eastAsia="it-IT"/>
              </w:rPr>
            </w:pPr>
            <w:r w:rsidRPr="00566D91">
              <w:rPr>
                <w:color w:val="000000"/>
                <w:sz w:val="16"/>
                <w:szCs w:val="16"/>
                <w:lang w:val="en"/>
              </w:rPr>
              <w:t>520</w:t>
            </w:r>
          </w:p>
        </w:tc>
        <w:tc>
          <w:tcPr>
            <w:tcW w:w="146" w:type="dxa"/>
            <w:vAlign w:val="center"/>
            <w:hideMark/>
          </w:tcPr>
          <w:p w14:paraId="74C453F0" w14:textId="77777777" w:rsidR="008A393E" w:rsidRPr="00566D91" w:rsidRDefault="008A393E" w:rsidP="00AA41E7">
            <w:pPr>
              <w:autoSpaceDN/>
              <w:rPr>
                <w:rFonts w:ascii="Arial Narrow" w:eastAsia="Times New Roman" w:hAnsi="Arial Narrow"/>
                <w:sz w:val="16"/>
                <w:szCs w:val="16"/>
                <w:lang w:eastAsia="it-IT"/>
              </w:rPr>
            </w:pPr>
          </w:p>
        </w:tc>
      </w:tr>
      <w:tr w:rsidR="008A393E" w:rsidRPr="00566D91" w14:paraId="76556D4A" w14:textId="77777777" w:rsidTr="00AA41E7">
        <w:trPr>
          <w:trHeight w:val="255"/>
        </w:trPr>
        <w:tc>
          <w:tcPr>
            <w:tcW w:w="3680" w:type="dxa"/>
            <w:vMerge/>
            <w:vAlign w:val="center"/>
            <w:hideMark/>
          </w:tcPr>
          <w:p w14:paraId="4B69462E" w14:textId="77777777" w:rsidR="008A393E" w:rsidRPr="00566D91" w:rsidRDefault="008A393E" w:rsidP="00AA41E7">
            <w:pPr>
              <w:autoSpaceDN/>
              <w:rPr>
                <w:rFonts w:ascii="Arial Narrow" w:eastAsia="Times New Roman" w:hAnsi="Arial Narrow"/>
                <w:color w:val="1B1F24"/>
                <w:sz w:val="16"/>
                <w:szCs w:val="16"/>
                <w:lang w:eastAsia="it-IT"/>
              </w:rPr>
            </w:pPr>
          </w:p>
        </w:tc>
        <w:tc>
          <w:tcPr>
            <w:tcW w:w="1960" w:type="dxa"/>
            <w:vMerge/>
            <w:shd w:val="clear" w:color="auto" w:fill="D9D9D9" w:themeFill="background1" w:themeFillShade="D9"/>
            <w:vAlign w:val="center"/>
            <w:hideMark/>
          </w:tcPr>
          <w:p w14:paraId="20B63492" w14:textId="77777777" w:rsidR="008A393E" w:rsidRPr="00566D91" w:rsidRDefault="008A393E" w:rsidP="00AA41E7">
            <w:pPr>
              <w:autoSpaceDN/>
              <w:rPr>
                <w:rFonts w:ascii="Arial Narrow" w:eastAsia="Times New Roman" w:hAnsi="Arial Narrow"/>
                <w:color w:val="000000"/>
                <w:sz w:val="16"/>
                <w:szCs w:val="16"/>
                <w:lang w:eastAsia="it-IT"/>
              </w:rPr>
            </w:pPr>
          </w:p>
        </w:tc>
        <w:tc>
          <w:tcPr>
            <w:tcW w:w="1400" w:type="dxa"/>
            <w:vMerge/>
            <w:vAlign w:val="center"/>
            <w:hideMark/>
          </w:tcPr>
          <w:p w14:paraId="090B810F" w14:textId="77777777" w:rsidR="008A393E" w:rsidRPr="00566D91" w:rsidRDefault="008A393E" w:rsidP="00AA41E7">
            <w:pPr>
              <w:autoSpaceDN/>
              <w:rPr>
                <w:rFonts w:ascii="Arial Narrow" w:eastAsia="Times New Roman" w:hAnsi="Arial Narrow"/>
                <w:color w:val="000000"/>
                <w:sz w:val="16"/>
                <w:szCs w:val="16"/>
                <w:lang w:eastAsia="it-IT"/>
              </w:rPr>
            </w:pPr>
          </w:p>
        </w:tc>
        <w:tc>
          <w:tcPr>
            <w:tcW w:w="2780" w:type="dxa"/>
            <w:vMerge/>
            <w:shd w:val="clear" w:color="auto" w:fill="D9D9D9" w:themeFill="background1" w:themeFillShade="D9"/>
            <w:vAlign w:val="center"/>
            <w:hideMark/>
          </w:tcPr>
          <w:p w14:paraId="1962E2E2" w14:textId="77777777" w:rsidR="008A393E" w:rsidRPr="00566D91" w:rsidRDefault="008A393E" w:rsidP="00AA41E7">
            <w:pPr>
              <w:autoSpaceDN/>
              <w:rPr>
                <w:rFonts w:ascii="Arial Narrow" w:eastAsia="Times New Roman" w:hAnsi="Arial Narrow"/>
                <w:color w:val="000000"/>
                <w:sz w:val="16"/>
                <w:szCs w:val="16"/>
                <w:lang w:eastAsia="it-IT"/>
              </w:rPr>
            </w:pPr>
          </w:p>
        </w:tc>
        <w:tc>
          <w:tcPr>
            <w:tcW w:w="146" w:type="dxa"/>
            <w:shd w:val="clear" w:color="auto" w:fill="auto"/>
            <w:noWrap/>
            <w:vAlign w:val="bottom"/>
            <w:hideMark/>
          </w:tcPr>
          <w:p w14:paraId="01A6C80E" w14:textId="77777777" w:rsidR="008A393E" w:rsidRPr="00566D91" w:rsidRDefault="008A393E" w:rsidP="00AA41E7">
            <w:pPr>
              <w:autoSpaceDN/>
              <w:jc w:val="center"/>
              <w:rPr>
                <w:rFonts w:ascii="Arial Narrow" w:eastAsia="Times New Roman" w:hAnsi="Arial Narrow"/>
                <w:color w:val="000000"/>
                <w:sz w:val="16"/>
                <w:szCs w:val="16"/>
                <w:lang w:eastAsia="it-IT"/>
              </w:rPr>
            </w:pPr>
          </w:p>
        </w:tc>
      </w:tr>
    </w:tbl>
    <w:p w14:paraId="570575DF" w14:textId="77777777" w:rsidR="002B37DB" w:rsidRDefault="002B37DB" w:rsidP="00D76C27">
      <w:pPr>
        <w:pStyle w:val="Titolo1"/>
        <w:spacing w:after="120"/>
        <w:ind w:left="0" w:right="-34"/>
        <w:rPr>
          <w:rStyle w:val="fontstyle01"/>
          <w:rFonts w:ascii="Trebuchet MS" w:eastAsia="Times New Roman" w:hAnsi="Trebuchet MS" w:cs="Times New Roman"/>
          <w:b/>
          <w:iCs/>
          <w:color w:val="595959" w:themeColor="text1" w:themeTint="A6"/>
          <w:lang w:eastAsia="it-IT"/>
        </w:rPr>
      </w:pPr>
    </w:p>
    <w:p w14:paraId="1DC4DB26" w14:textId="77777777" w:rsidR="00F51A89" w:rsidRPr="00DC6F12" w:rsidRDefault="00F51A89" w:rsidP="00F51A89">
      <w:pPr>
        <w:pStyle w:val="Default"/>
        <w:spacing w:after="80"/>
        <w:jc w:val="both"/>
        <w:rPr>
          <w:rFonts w:ascii="Arial MT" w:eastAsia="Arial MT" w:hAnsi="Arial MT" w:cs="Arial MT"/>
          <w:b/>
          <w:color w:val="595959"/>
          <w:sz w:val="20"/>
          <w:szCs w:val="20"/>
          <w:lang w:val="en"/>
        </w:rPr>
      </w:pPr>
      <w:r w:rsidRPr="00DC6F12">
        <w:rPr>
          <w:rFonts w:ascii="Arial MT" w:eastAsia="Arial MT" w:hAnsi="Arial MT" w:cs="Arial MT"/>
          <w:b/>
          <w:color w:val="595959"/>
          <w:sz w:val="20"/>
          <w:szCs w:val="20"/>
          <w:lang w:val="en"/>
        </w:rPr>
        <w:t>Tax benefits</w:t>
      </w:r>
    </w:p>
    <w:p w14:paraId="241815FF" w14:textId="77777777" w:rsidR="00F51A89" w:rsidRPr="002B724E" w:rsidRDefault="00F51A89" w:rsidP="00F51A89">
      <w:pPr>
        <w:pStyle w:val="Default"/>
        <w:spacing w:after="80"/>
        <w:jc w:val="both"/>
        <w:rPr>
          <w:rFonts w:ascii="Arial MT" w:eastAsia="Arial MT" w:hAnsi="Arial MT" w:cs="Arial MT"/>
          <w:color w:val="595959"/>
          <w:sz w:val="20"/>
          <w:szCs w:val="20"/>
          <w:lang w:val="en"/>
        </w:rPr>
      </w:pPr>
      <w:r>
        <w:rPr>
          <w:rFonts w:ascii="Arial MT" w:eastAsia="Arial MT" w:hAnsi="Arial MT" w:cs="Arial MT"/>
          <w:color w:val="595959"/>
          <w:sz w:val="20"/>
          <w:szCs w:val="20"/>
          <w:lang w:val="en"/>
        </w:rPr>
        <w:t xml:space="preserve"> The </w:t>
      </w:r>
      <w:r w:rsidRPr="002B724E">
        <w:rPr>
          <w:rFonts w:ascii="Arial MT" w:eastAsia="Arial MT" w:hAnsi="Arial MT" w:cs="Arial MT"/>
          <w:color w:val="595959"/>
          <w:sz w:val="20"/>
          <w:szCs w:val="20"/>
          <w:lang w:val="en"/>
        </w:rPr>
        <w:t xml:space="preserve">regulation of excise duty on beer </w:t>
      </w:r>
      <w:r>
        <w:rPr>
          <w:rFonts w:ascii="Arial MT" w:eastAsia="Arial MT" w:hAnsi="Arial MT" w:cs="Arial MT"/>
          <w:color w:val="595959"/>
          <w:sz w:val="20"/>
          <w:szCs w:val="20"/>
          <w:lang w:val="en"/>
        </w:rPr>
        <w:t xml:space="preserve">undergoes some changes </w:t>
      </w:r>
      <w:r w:rsidRPr="002B724E">
        <w:rPr>
          <w:rFonts w:ascii="Arial MT" w:eastAsia="Arial MT" w:hAnsi="Arial MT" w:cs="Arial MT"/>
          <w:color w:val="595959"/>
          <w:sz w:val="20"/>
          <w:szCs w:val="20"/>
          <w:lang w:val="en"/>
        </w:rPr>
        <w:t xml:space="preserve">by </w:t>
      </w:r>
      <w:r>
        <w:rPr>
          <w:rFonts w:ascii="Arial MT" w:eastAsia="Arial MT" w:hAnsi="Arial MT" w:cs="Arial MT"/>
          <w:color w:val="595959"/>
          <w:sz w:val="20"/>
          <w:szCs w:val="20"/>
          <w:lang w:val="en"/>
        </w:rPr>
        <w:t>envisaging a reduction of</w:t>
      </w:r>
      <w:r w:rsidRPr="002B724E">
        <w:rPr>
          <w:rFonts w:ascii="Arial MT" w:eastAsia="Arial MT" w:hAnsi="Arial MT" w:cs="Arial MT"/>
          <w:color w:val="595959"/>
          <w:sz w:val="20"/>
          <w:szCs w:val="20"/>
          <w:lang w:val="en"/>
        </w:rPr>
        <w:t xml:space="preserve"> 16 million euros, for the year 2022, for </w:t>
      </w:r>
      <w:r>
        <w:rPr>
          <w:rFonts w:ascii="Arial MT" w:eastAsia="Arial MT" w:hAnsi="Arial MT" w:cs="Arial MT"/>
          <w:color w:val="595959"/>
          <w:sz w:val="20"/>
          <w:szCs w:val="20"/>
          <w:lang w:val="en"/>
        </w:rPr>
        <w:t xml:space="preserve">all </w:t>
      </w:r>
      <w:r w:rsidRPr="002B724E">
        <w:rPr>
          <w:rFonts w:ascii="Arial MT" w:eastAsia="Arial MT" w:hAnsi="Arial MT" w:cs="Arial MT"/>
          <w:color w:val="595959"/>
          <w:sz w:val="20"/>
          <w:szCs w:val="20"/>
          <w:lang w:val="en"/>
        </w:rPr>
        <w:t xml:space="preserve">craft breweries that produce less than 60,000 hectoliters </w:t>
      </w:r>
      <w:r>
        <w:rPr>
          <w:rFonts w:ascii="Arial MT" w:eastAsia="Arial MT" w:hAnsi="Arial MT" w:cs="Arial MT"/>
          <w:color w:val="595959"/>
          <w:sz w:val="20"/>
          <w:szCs w:val="20"/>
          <w:lang w:val="en"/>
        </w:rPr>
        <w:t>with the aim</w:t>
      </w:r>
      <w:r w:rsidRPr="002B724E">
        <w:rPr>
          <w:rFonts w:ascii="Arial MT" w:eastAsia="Arial MT" w:hAnsi="Arial MT" w:cs="Arial MT"/>
          <w:color w:val="595959"/>
          <w:sz w:val="20"/>
          <w:szCs w:val="20"/>
          <w:lang w:val="en"/>
        </w:rPr>
        <w:t xml:space="preserve"> to stimulate the production recovery and the development of the supply chain connected to the brewing sector, in particular: </w:t>
      </w:r>
    </w:p>
    <w:p w14:paraId="4B108E4C" w14:textId="77777777" w:rsidR="00F51A89" w:rsidRPr="002B724E" w:rsidRDefault="00F51A89" w:rsidP="00F51A89">
      <w:pPr>
        <w:pStyle w:val="Default"/>
        <w:numPr>
          <w:ilvl w:val="1"/>
          <w:numId w:val="51"/>
        </w:numPr>
        <w:adjustRightInd/>
        <w:spacing w:after="80"/>
        <w:ind w:left="709" w:hanging="425"/>
        <w:jc w:val="both"/>
        <w:rPr>
          <w:rFonts w:ascii="Arial MT" w:eastAsia="Arial MT" w:hAnsi="Arial MT" w:cs="Arial MT"/>
          <w:color w:val="595959"/>
          <w:sz w:val="20"/>
          <w:szCs w:val="20"/>
          <w:lang w:val="en"/>
        </w:rPr>
      </w:pPr>
      <w:r w:rsidRPr="002B724E">
        <w:rPr>
          <w:rFonts w:ascii="Arial MT" w:eastAsia="Arial MT" w:hAnsi="Arial MT" w:cs="Arial MT"/>
          <w:color w:val="595959"/>
          <w:sz w:val="20"/>
          <w:szCs w:val="20"/>
          <w:lang w:val="en"/>
        </w:rPr>
        <w:t xml:space="preserve">for artisanal microbreweries (that is, those with an annual production not exceeding 10 thousand hectoliters), the reduction in excise </w:t>
      </w:r>
      <w:proofErr w:type="gramStart"/>
      <w:r w:rsidRPr="002B724E">
        <w:rPr>
          <w:rFonts w:ascii="Arial MT" w:eastAsia="Arial MT" w:hAnsi="Arial MT" w:cs="Arial MT"/>
          <w:color w:val="595959"/>
          <w:sz w:val="20"/>
          <w:szCs w:val="20"/>
          <w:lang w:val="en"/>
        </w:rPr>
        <w:t xml:space="preserve">duty </w:t>
      </w:r>
      <w:r>
        <w:rPr>
          <w:rFonts w:ascii="Arial MT" w:eastAsia="Arial MT" w:hAnsi="Arial MT" w:cs="Arial MT"/>
          <w:color w:val="595959"/>
          <w:sz w:val="20"/>
          <w:szCs w:val="20"/>
          <w:lang w:val="en"/>
        </w:rPr>
        <w:t xml:space="preserve"> arises</w:t>
      </w:r>
      <w:proofErr w:type="gramEnd"/>
      <w:r>
        <w:rPr>
          <w:rFonts w:ascii="Arial MT" w:eastAsia="Arial MT" w:hAnsi="Arial MT" w:cs="Arial MT"/>
          <w:color w:val="595959"/>
          <w:sz w:val="20"/>
          <w:szCs w:val="20"/>
          <w:lang w:val="en"/>
        </w:rPr>
        <w:t xml:space="preserve"> </w:t>
      </w:r>
      <w:r w:rsidRPr="002B724E">
        <w:rPr>
          <w:rFonts w:ascii="Arial MT" w:eastAsia="Arial MT" w:hAnsi="Arial MT" w:cs="Arial MT"/>
          <w:color w:val="595959"/>
          <w:sz w:val="20"/>
          <w:szCs w:val="20"/>
          <w:lang w:val="en"/>
        </w:rPr>
        <w:t>from 40 to 50%;</w:t>
      </w:r>
    </w:p>
    <w:p w14:paraId="7BCC39E9" w14:textId="77777777" w:rsidR="004309DC" w:rsidRDefault="00F51A89" w:rsidP="00DC6F12">
      <w:pPr>
        <w:pStyle w:val="Default"/>
        <w:numPr>
          <w:ilvl w:val="1"/>
          <w:numId w:val="51"/>
        </w:numPr>
        <w:adjustRightInd/>
        <w:spacing w:after="80"/>
        <w:ind w:left="709" w:hanging="425"/>
        <w:jc w:val="both"/>
        <w:rPr>
          <w:rFonts w:ascii="Arial MT" w:eastAsia="Arial MT" w:hAnsi="Arial MT" w:cs="Arial MT"/>
          <w:color w:val="595959"/>
          <w:sz w:val="20"/>
          <w:szCs w:val="20"/>
          <w:lang w:val="en"/>
        </w:rPr>
      </w:pPr>
      <w:r w:rsidRPr="002B724E">
        <w:rPr>
          <w:rFonts w:ascii="Arial MT" w:eastAsia="Arial MT" w:hAnsi="Arial MT" w:cs="Arial MT"/>
          <w:color w:val="595959"/>
          <w:sz w:val="20"/>
          <w:szCs w:val="20"/>
          <w:lang w:val="en"/>
        </w:rPr>
        <w:t xml:space="preserve">for craft breweries with an annual </w:t>
      </w:r>
      <w:proofErr w:type="gramStart"/>
      <w:r w:rsidRPr="002B724E">
        <w:rPr>
          <w:rFonts w:ascii="Arial MT" w:eastAsia="Arial MT" w:hAnsi="Arial MT" w:cs="Arial MT"/>
          <w:color w:val="595959"/>
          <w:sz w:val="20"/>
          <w:szCs w:val="20"/>
          <w:lang w:val="en"/>
        </w:rPr>
        <w:t xml:space="preserve">production </w:t>
      </w:r>
      <w:r>
        <w:rPr>
          <w:rFonts w:ascii="Arial MT" w:eastAsia="Arial MT" w:hAnsi="Arial MT" w:cs="Arial MT"/>
          <w:color w:val="595959"/>
          <w:sz w:val="20"/>
          <w:szCs w:val="20"/>
          <w:lang w:val="en"/>
        </w:rPr>
        <w:t xml:space="preserve"> exceeding</w:t>
      </w:r>
      <w:proofErr w:type="gramEnd"/>
      <w:r>
        <w:rPr>
          <w:rFonts w:ascii="Arial MT" w:eastAsia="Arial MT" w:hAnsi="Arial MT" w:cs="Arial MT"/>
          <w:color w:val="595959"/>
          <w:sz w:val="20"/>
          <w:szCs w:val="20"/>
          <w:lang w:val="en"/>
        </w:rPr>
        <w:t xml:space="preserve"> </w:t>
      </w:r>
      <w:r w:rsidRPr="002B724E">
        <w:rPr>
          <w:rFonts w:ascii="Arial MT" w:eastAsia="Arial MT" w:hAnsi="Arial MT" w:cs="Arial MT"/>
          <w:color w:val="595959"/>
          <w:sz w:val="20"/>
          <w:szCs w:val="20"/>
          <w:lang w:val="en"/>
        </w:rPr>
        <w:t xml:space="preserve">10 thousand hectoliters and </w:t>
      </w:r>
      <w:r>
        <w:rPr>
          <w:rFonts w:ascii="Arial MT" w:eastAsia="Arial MT" w:hAnsi="Arial MT" w:cs="Arial MT"/>
          <w:color w:val="595959"/>
          <w:sz w:val="20"/>
          <w:szCs w:val="20"/>
          <w:lang w:val="en"/>
        </w:rPr>
        <w:t xml:space="preserve"> lower </w:t>
      </w:r>
      <w:r w:rsidRPr="002B724E">
        <w:rPr>
          <w:rFonts w:ascii="Arial MT" w:eastAsia="Arial MT" w:hAnsi="Arial MT" w:cs="Arial MT"/>
          <w:color w:val="595959"/>
          <w:sz w:val="20"/>
          <w:szCs w:val="20"/>
          <w:lang w:val="en"/>
        </w:rPr>
        <w:t xml:space="preserve">than 60 thousand hectoliters, the excise duty is reduced by 30 or 20% depending on whether the production does exceed or </w:t>
      </w:r>
      <w:r>
        <w:rPr>
          <w:rFonts w:ascii="Arial MT" w:eastAsia="Arial MT" w:hAnsi="Arial MT" w:cs="Arial MT"/>
          <w:color w:val="595959"/>
          <w:sz w:val="20"/>
          <w:szCs w:val="20"/>
          <w:lang w:val="en"/>
        </w:rPr>
        <w:t xml:space="preserve"> not </w:t>
      </w:r>
      <w:r w:rsidRPr="002B724E">
        <w:rPr>
          <w:rFonts w:ascii="Arial MT" w:eastAsia="Arial MT" w:hAnsi="Arial MT" w:cs="Arial MT"/>
          <w:color w:val="595959"/>
          <w:sz w:val="20"/>
          <w:szCs w:val="20"/>
          <w:lang w:val="en"/>
        </w:rPr>
        <w:t>30 thousand hectoliters;</w:t>
      </w:r>
      <w:r w:rsidR="00DC6F12">
        <w:rPr>
          <w:rFonts w:ascii="Arial MT" w:eastAsia="Arial MT" w:hAnsi="Arial MT" w:cs="Arial MT"/>
          <w:color w:val="595959"/>
          <w:sz w:val="20"/>
          <w:szCs w:val="20"/>
          <w:lang w:val="en"/>
        </w:rPr>
        <w:t xml:space="preserve"> </w:t>
      </w:r>
    </w:p>
    <w:p w14:paraId="542E738E" w14:textId="64D69E92" w:rsidR="00E425BB" w:rsidRPr="00DC6F12" w:rsidRDefault="00F51A89" w:rsidP="004309DC">
      <w:pPr>
        <w:pStyle w:val="Default"/>
        <w:adjustRightInd/>
        <w:spacing w:after="80"/>
        <w:jc w:val="both"/>
        <w:rPr>
          <w:rFonts w:ascii="Arial MT" w:eastAsia="Arial MT" w:hAnsi="Arial MT" w:cs="Arial MT"/>
          <w:color w:val="595959"/>
          <w:sz w:val="20"/>
          <w:szCs w:val="20"/>
          <w:lang w:val="en"/>
        </w:rPr>
      </w:pPr>
      <w:r w:rsidRPr="00DC6F12">
        <w:rPr>
          <w:rFonts w:ascii="Arial MT" w:eastAsia="Arial MT" w:hAnsi="Arial MT" w:cs="Arial MT"/>
          <w:color w:val="595959"/>
          <w:sz w:val="20"/>
          <w:szCs w:val="20"/>
          <w:lang w:val="en"/>
        </w:rPr>
        <w:t xml:space="preserve">the measure of the general excise duty is set at 2.94 euros per </w:t>
      </w:r>
      <w:proofErr w:type="spellStart"/>
      <w:r w:rsidRPr="00DC6F12">
        <w:rPr>
          <w:rFonts w:ascii="Arial MT" w:eastAsia="Arial MT" w:hAnsi="Arial MT" w:cs="Arial MT"/>
          <w:color w:val="595959"/>
          <w:sz w:val="20"/>
          <w:szCs w:val="20"/>
          <w:lang w:val="en"/>
        </w:rPr>
        <w:t>hectolitre</w:t>
      </w:r>
      <w:proofErr w:type="spellEnd"/>
      <w:r w:rsidRPr="00DC6F12">
        <w:rPr>
          <w:rFonts w:ascii="Arial MT" w:eastAsia="Arial MT" w:hAnsi="Arial MT" w:cs="Arial MT"/>
          <w:color w:val="595959"/>
          <w:sz w:val="20"/>
          <w:szCs w:val="20"/>
          <w:lang w:val="en"/>
        </w:rPr>
        <w:t xml:space="preserve"> and degree-Plato (from 1 January 2023, it returns to 2.99 euros).</w:t>
      </w:r>
    </w:p>
    <w:p w14:paraId="37B983F2" w14:textId="154A78D7" w:rsidR="00D76C27" w:rsidRPr="00E425BB" w:rsidRDefault="00F51A89" w:rsidP="00D76C27">
      <w:pPr>
        <w:adjustRightInd w:val="0"/>
        <w:spacing w:after="80"/>
        <w:jc w:val="both"/>
        <w:rPr>
          <w:rFonts w:ascii="Trebuchet MS" w:hAnsi="Trebuchet MS" w:cs="Arial"/>
          <w:b/>
          <w:bCs/>
          <w:color w:val="595959"/>
          <w:sz w:val="20"/>
          <w:szCs w:val="20"/>
          <w:lang w:val="en-US"/>
        </w:rPr>
      </w:pPr>
      <w:r>
        <w:rPr>
          <w:color w:val="595959"/>
          <w:sz w:val="20"/>
          <w:szCs w:val="20"/>
          <w:lang w:val="en"/>
        </w:rPr>
        <w:t>Some measures have been extended, such as: t</w:t>
      </w:r>
      <w:r w:rsidRPr="00A83D72">
        <w:rPr>
          <w:color w:val="595959"/>
          <w:sz w:val="20"/>
          <w:szCs w:val="20"/>
          <w:lang w:val="en"/>
        </w:rPr>
        <w:t>he so-called</w:t>
      </w:r>
      <w:r w:rsidRPr="00A83D72">
        <w:rPr>
          <w:b/>
          <w:bCs/>
          <w:color w:val="595959"/>
          <w:sz w:val="20"/>
          <w:szCs w:val="20"/>
          <w:lang w:val="en"/>
        </w:rPr>
        <w:t xml:space="preserve"> green bonus</w:t>
      </w:r>
      <w:r>
        <w:rPr>
          <w:b/>
          <w:bCs/>
          <w:color w:val="595959"/>
          <w:sz w:val="20"/>
          <w:szCs w:val="20"/>
          <w:lang w:val="en"/>
        </w:rPr>
        <w:t>,</w:t>
      </w:r>
      <w:r w:rsidRPr="00A83D72">
        <w:rPr>
          <w:b/>
          <w:bCs/>
          <w:color w:val="595959"/>
          <w:sz w:val="20"/>
          <w:szCs w:val="20"/>
          <w:lang w:val="en"/>
        </w:rPr>
        <w:t xml:space="preserve"> </w:t>
      </w:r>
      <w:r w:rsidRPr="00A83D72">
        <w:rPr>
          <w:color w:val="595959"/>
          <w:sz w:val="20"/>
          <w:szCs w:val="20"/>
          <w:lang w:val="en"/>
        </w:rPr>
        <w:t xml:space="preserve">the tax </w:t>
      </w:r>
      <w:r>
        <w:rPr>
          <w:color w:val="595959"/>
          <w:sz w:val="20"/>
          <w:szCs w:val="20"/>
          <w:lang w:val="en"/>
        </w:rPr>
        <w:t xml:space="preserve"> relief  dealing with </w:t>
      </w:r>
      <w:r w:rsidRPr="00A83D72">
        <w:rPr>
          <w:color w:val="595959"/>
          <w:sz w:val="20"/>
          <w:szCs w:val="20"/>
          <w:lang w:val="en"/>
        </w:rPr>
        <w:t xml:space="preserve">the </w:t>
      </w:r>
      <w:r w:rsidRPr="00A83D72">
        <w:rPr>
          <w:color w:val="595959"/>
          <w:sz w:val="20"/>
          <w:szCs w:val="20"/>
          <w:lang w:val="en"/>
        </w:rPr>
        <w:lastRenderedPageBreak/>
        <w:t xml:space="preserve">green arrangement of uncovered areas of private properties for residential use; </w:t>
      </w:r>
      <w:r>
        <w:rPr>
          <w:lang w:val="en"/>
        </w:rPr>
        <w:t xml:space="preserve"> </w:t>
      </w:r>
      <w:r w:rsidRPr="00A83D72">
        <w:rPr>
          <w:b/>
          <w:bCs/>
          <w:color w:val="595959"/>
          <w:sz w:val="20"/>
          <w:szCs w:val="20"/>
          <w:lang w:val="en"/>
        </w:rPr>
        <w:t xml:space="preserve">the IRPEF exemption of dominical and agrarian </w:t>
      </w:r>
      <w:r w:rsidRPr="00A83D72">
        <w:rPr>
          <w:color w:val="595959"/>
          <w:sz w:val="20"/>
          <w:szCs w:val="20"/>
          <w:lang w:val="en"/>
        </w:rPr>
        <w:t xml:space="preserve">incomes relating to direct farmers and professional agricultural entrepreneurs </w:t>
      </w:r>
      <w:r>
        <w:rPr>
          <w:color w:val="595959"/>
          <w:sz w:val="20"/>
          <w:szCs w:val="20"/>
          <w:lang w:val="en"/>
        </w:rPr>
        <w:t xml:space="preserve"> enrolled </w:t>
      </w:r>
      <w:r w:rsidRPr="00A83D72">
        <w:rPr>
          <w:color w:val="595959"/>
          <w:sz w:val="20"/>
          <w:szCs w:val="20"/>
          <w:lang w:val="en"/>
        </w:rPr>
        <w:t xml:space="preserve">in the agricultural pension scheme; </w:t>
      </w:r>
      <w:r>
        <w:rPr>
          <w:color w:val="595959"/>
          <w:sz w:val="20"/>
          <w:szCs w:val="20"/>
          <w:lang w:val="en"/>
        </w:rPr>
        <w:t xml:space="preserve"> support measures </w:t>
      </w:r>
      <w:r w:rsidRPr="00A83D72">
        <w:rPr>
          <w:color w:val="595959"/>
          <w:sz w:val="20"/>
          <w:szCs w:val="20"/>
          <w:lang w:val="en"/>
        </w:rPr>
        <w:t xml:space="preserve">to </w:t>
      </w:r>
      <w:r w:rsidRPr="00A83D72">
        <w:rPr>
          <w:b/>
          <w:bCs/>
          <w:color w:val="595959"/>
          <w:sz w:val="20"/>
          <w:szCs w:val="20"/>
          <w:lang w:val="en"/>
        </w:rPr>
        <w:t xml:space="preserve">animal husbandry </w:t>
      </w:r>
      <w:r w:rsidRPr="00A83D72">
        <w:rPr>
          <w:color w:val="595959"/>
          <w:sz w:val="20"/>
          <w:szCs w:val="20"/>
          <w:lang w:val="en"/>
        </w:rPr>
        <w:t xml:space="preserve">aimed at confirming the percentages of VAT compensation in the livestock sector for the sale of live animals of </w:t>
      </w:r>
      <w:r>
        <w:rPr>
          <w:lang w:val="en"/>
        </w:rPr>
        <w:t xml:space="preserve"> the </w:t>
      </w:r>
      <w:r w:rsidRPr="00A83D72">
        <w:rPr>
          <w:b/>
          <w:bCs/>
          <w:color w:val="595959"/>
          <w:sz w:val="20"/>
          <w:szCs w:val="20"/>
          <w:lang w:val="en"/>
        </w:rPr>
        <w:t xml:space="preserve">bovine and porcine </w:t>
      </w:r>
      <w:r>
        <w:rPr>
          <w:lang w:val="en"/>
        </w:rPr>
        <w:t xml:space="preserve"> </w:t>
      </w:r>
      <w:r w:rsidRPr="00BE3C41">
        <w:rPr>
          <w:color w:val="595959"/>
          <w:sz w:val="20"/>
          <w:szCs w:val="20"/>
          <w:lang w:val="en"/>
        </w:rPr>
        <w:t>species</w:t>
      </w:r>
      <w:r>
        <w:rPr>
          <w:lang w:val="en"/>
        </w:rPr>
        <w:t xml:space="preserve"> </w:t>
      </w:r>
      <w:r w:rsidRPr="00A83D72">
        <w:rPr>
          <w:color w:val="595959"/>
          <w:sz w:val="20"/>
          <w:szCs w:val="20"/>
          <w:lang w:val="en"/>
        </w:rPr>
        <w:t xml:space="preserve"> raised to 9.5% for 2021</w:t>
      </w:r>
      <w:r>
        <w:rPr>
          <w:color w:val="595959"/>
          <w:sz w:val="20"/>
          <w:szCs w:val="20"/>
          <w:lang w:val="en"/>
        </w:rPr>
        <w:t>.</w:t>
      </w:r>
      <w:r w:rsidR="00D76C27" w:rsidRPr="00E425BB">
        <w:rPr>
          <w:rFonts w:ascii="Trebuchet MS" w:hAnsi="Trebuchet MS" w:cs="Arial"/>
          <w:color w:val="595959"/>
          <w:sz w:val="20"/>
          <w:szCs w:val="20"/>
          <w:lang w:val="en-US"/>
        </w:rPr>
        <w:t xml:space="preserve"> </w:t>
      </w:r>
    </w:p>
    <w:p w14:paraId="6307B773" w14:textId="77777777" w:rsidR="00D76C27" w:rsidRPr="00A16285" w:rsidRDefault="00D76C27" w:rsidP="00D76C27">
      <w:pPr>
        <w:adjustRightInd w:val="0"/>
        <w:spacing w:line="360" w:lineRule="auto"/>
        <w:jc w:val="both"/>
        <w:rPr>
          <w:rFonts w:ascii="ArialMT" w:hAnsi="ArialMT" w:cs="Arial"/>
          <w:b/>
          <w:bCs/>
          <w:sz w:val="12"/>
          <w:szCs w:val="12"/>
          <w:lang w:val="en-US"/>
        </w:rPr>
      </w:pPr>
    </w:p>
    <w:p w14:paraId="3A159D21" w14:textId="7CAECE91" w:rsidR="00D76C27" w:rsidRPr="00BD5414" w:rsidRDefault="00BD5414" w:rsidP="00D76C27">
      <w:pPr>
        <w:pStyle w:val="Titolo1"/>
        <w:spacing w:after="120"/>
        <w:ind w:left="0" w:right="-34"/>
        <w:rPr>
          <w:rStyle w:val="fontstyle01"/>
          <w:rFonts w:ascii="Trebuchet MS" w:eastAsia="Times New Roman" w:hAnsi="Trebuchet MS" w:cs="Times New Roman"/>
          <w:b/>
          <w:iCs/>
          <w:color w:val="595959" w:themeColor="text1" w:themeTint="A6"/>
          <w:lang w:val="en-US" w:eastAsia="it-IT"/>
        </w:rPr>
      </w:pPr>
      <w:r w:rsidRPr="00BD5414">
        <w:rPr>
          <w:rStyle w:val="fontstyle01"/>
          <w:rFonts w:ascii="Trebuchet MS" w:eastAsia="Times New Roman" w:hAnsi="Trebuchet MS" w:cs="Times New Roman"/>
          <w:b/>
          <w:iCs/>
          <w:color w:val="595959" w:themeColor="text1" w:themeTint="A6"/>
          <w:lang w:val="en-US" w:eastAsia="it-IT"/>
        </w:rPr>
        <w:t>Contribution and social security benefits</w:t>
      </w:r>
    </w:p>
    <w:p w14:paraId="6A47EEFB" w14:textId="77777777" w:rsidR="00C13F4B" w:rsidRPr="005E3784" w:rsidRDefault="00C13F4B" w:rsidP="00A16285">
      <w:pPr>
        <w:adjustRightInd w:val="0"/>
        <w:spacing w:after="120"/>
        <w:jc w:val="both"/>
        <w:rPr>
          <w:rFonts w:ascii="Trebuchet MS" w:hAnsi="Trebuchet MS" w:cs="Arial"/>
          <w:color w:val="595959"/>
          <w:sz w:val="20"/>
          <w:szCs w:val="20"/>
          <w:shd w:val="clear" w:color="auto" w:fill="FFFFFF"/>
          <w:lang w:val="en-GB"/>
        </w:rPr>
      </w:pPr>
      <w:r>
        <w:rPr>
          <w:color w:val="595959"/>
          <w:sz w:val="20"/>
          <w:szCs w:val="20"/>
          <w:lang w:val="en"/>
        </w:rPr>
        <w:t xml:space="preserve">The </w:t>
      </w:r>
      <w:r w:rsidRPr="00F0639B">
        <w:rPr>
          <w:color w:val="595959"/>
          <w:sz w:val="20"/>
          <w:szCs w:val="20"/>
          <w:lang w:val="en"/>
        </w:rPr>
        <w:t xml:space="preserve"> fisheries sector</w:t>
      </w:r>
      <w:r>
        <w:rPr>
          <w:color w:val="595959"/>
          <w:sz w:val="20"/>
          <w:szCs w:val="20"/>
          <w:lang w:val="en"/>
        </w:rPr>
        <w:t xml:space="preserve"> has envisaged</w:t>
      </w:r>
      <w:r w:rsidRPr="00F0639B">
        <w:rPr>
          <w:color w:val="595959"/>
          <w:sz w:val="20"/>
          <w:szCs w:val="20"/>
          <w:lang w:val="en"/>
        </w:rPr>
        <w:t xml:space="preserve"> through</w:t>
      </w:r>
      <w:r>
        <w:rPr>
          <w:color w:val="595959"/>
          <w:sz w:val="20"/>
          <w:szCs w:val="20"/>
          <w:lang w:val="en"/>
        </w:rPr>
        <w:t xml:space="preserve"> </w:t>
      </w:r>
      <w:r w:rsidRPr="00F0639B">
        <w:rPr>
          <w:color w:val="595959"/>
          <w:sz w:val="20"/>
          <w:szCs w:val="20"/>
          <w:lang w:val="en"/>
        </w:rPr>
        <w:t xml:space="preserve">the </w:t>
      </w:r>
      <w:r w:rsidRPr="00F0639B">
        <w:rPr>
          <w:b/>
          <w:color w:val="595959"/>
          <w:sz w:val="20"/>
          <w:szCs w:val="20"/>
          <w:lang w:val="en"/>
        </w:rPr>
        <w:t xml:space="preserve"> Solidarity</w:t>
      </w:r>
      <w:r>
        <w:rPr>
          <w:lang w:val="en"/>
        </w:rPr>
        <w:t xml:space="preserve"> </w:t>
      </w:r>
      <w:r w:rsidRPr="00F0639B">
        <w:rPr>
          <w:b/>
          <w:bCs/>
          <w:color w:val="595959"/>
          <w:sz w:val="20"/>
          <w:szCs w:val="20"/>
          <w:lang w:val="en"/>
        </w:rPr>
        <w:t>Fund</w:t>
      </w:r>
      <w:r>
        <w:rPr>
          <w:color w:val="595959"/>
          <w:sz w:val="20"/>
          <w:szCs w:val="20"/>
          <w:lang w:val="en"/>
        </w:rPr>
        <w:t xml:space="preserve">, </w:t>
      </w:r>
      <w:r w:rsidRPr="00F0639B">
        <w:rPr>
          <w:color w:val="595959"/>
          <w:sz w:val="20"/>
          <w:szCs w:val="20"/>
          <w:lang w:val="en"/>
        </w:rPr>
        <w:t xml:space="preserve">measures to prevent damage </w:t>
      </w:r>
      <w:r>
        <w:rPr>
          <w:color w:val="595959"/>
          <w:sz w:val="20"/>
          <w:szCs w:val="20"/>
          <w:lang w:val="en"/>
        </w:rPr>
        <w:t xml:space="preserve"> to </w:t>
      </w:r>
      <w:r w:rsidRPr="005E3784">
        <w:rPr>
          <w:color w:val="595959"/>
          <w:sz w:val="20"/>
          <w:szCs w:val="20"/>
          <w:lang w:val="en"/>
        </w:rPr>
        <w:t xml:space="preserve">production and </w:t>
      </w:r>
      <w:r>
        <w:rPr>
          <w:color w:val="595959"/>
          <w:sz w:val="20"/>
          <w:szCs w:val="20"/>
          <w:lang w:val="en"/>
        </w:rPr>
        <w:t xml:space="preserve">fisheries </w:t>
      </w:r>
      <w:r w:rsidRPr="005E3784">
        <w:rPr>
          <w:color w:val="595959"/>
          <w:sz w:val="20"/>
          <w:szCs w:val="20"/>
          <w:lang w:val="en"/>
        </w:rPr>
        <w:t xml:space="preserve">structures </w:t>
      </w:r>
      <w:r w:rsidRPr="00F0639B">
        <w:rPr>
          <w:color w:val="595959"/>
          <w:sz w:val="20"/>
          <w:szCs w:val="20"/>
          <w:lang w:val="en"/>
        </w:rPr>
        <w:t xml:space="preserve"> as a result of exceptional natural disasters, adverse weather</w:t>
      </w:r>
      <w:r>
        <w:rPr>
          <w:color w:val="595959"/>
          <w:sz w:val="20"/>
          <w:szCs w:val="20"/>
          <w:lang w:val="en"/>
        </w:rPr>
        <w:t xml:space="preserve"> conditions</w:t>
      </w:r>
      <w:r>
        <w:rPr>
          <w:lang w:val="en"/>
        </w:rPr>
        <w:t xml:space="preserve">; </w:t>
      </w:r>
      <w:r w:rsidRPr="00F0639B">
        <w:rPr>
          <w:b/>
          <w:bCs/>
          <w:color w:val="595959"/>
          <w:sz w:val="20"/>
          <w:szCs w:val="20"/>
          <w:shd w:val="clear" w:color="auto" w:fill="FFFFFF"/>
          <w:lang w:val="en"/>
        </w:rPr>
        <w:t xml:space="preserve">the fishing stoppage </w:t>
      </w:r>
      <w:r w:rsidRPr="00F0639B">
        <w:rPr>
          <w:color w:val="595959"/>
          <w:sz w:val="20"/>
          <w:szCs w:val="20"/>
          <w:lang w:val="en"/>
        </w:rPr>
        <w:t>has been</w:t>
      </w:r>
      <w:r>
        <w:rPr>
          <w:color w:val="595959"/>
          <w:sz w:val="20"/>
          <w:szCs w:val="20"/>
          <w:lang w:val="en"/>
        </w:rPr>
        <w:t xml:space="preserve"> </w:t>
      </w:r>
      <w:r w:rsidRPr="00F0639B">
        <w:rPr>
          <w:color w:val="595959"/>
          <w:sz w:val="20"/>
          <w:szCs w:val="20"/>
          <w:shd w:val="clear" w:color="auto" w:fill="FFFFFF"/>
          <w:lang w:val="en"/>
        </w:rPr>
        <w:t>renewed</w:t>
      </w:r>
      <w:r>
        <w:rPr>
          <w:lang w:val="en"/>
        </w:rPr>
        <w:t>,</w:t>
      </w:r>
      <w:r w:rsidRPr="00F0639B">
        <w:rPr>
          <w:color w:val="595959"/>
          <w:sz w:val="20"/>
          <w:szCs w:val="20"/>
          <w:shd w:val="clear" w:color="auto" w:fill="FFFFFF"/>
          <w:lang w:val="en"/>
        </w:rPr>
        <w:t xml:space="preserve"> </w:t>
      </w:r>
      <w:r>
        <w:rPr>
          <w:color w:val="595959"/>
          <w:sz w:val="20"/>
          <w:szCs w:val="20"/>
          <w:shd w:val="clear" w:color="auto" w:fill="FFFFFF"/>
          <w:lang w:val="en"/>
        </w:rPr>
        <w:t xml:space="preserve">as well as </w:t>
      </w:r>
      <w:r w:rsidRPr="00F0639B">
        <w:rPr>
          <w:color w:val="595959"/>
          <w:sz w:val="20"/>
          <w:szCs w:val="20"/>
          <w:shd w:val="clear" w:color="auto" w:fill="FFFFFF"/>
          <w:lang w:val="en"/>
        </w:rPr>
        <w:t xml:space="preserve">the all-inclusive allowance for each worker employed by a sea fishing undertaking and the working members of small-scale fishing cooperatives in the event of suspension from work resulting from compulsory and non-compulsory temporary cessation measures; the </w:t>
      </w:r>
      <w:proofErr w:type="spellStart"/>
      <w:r w:rsidRPr="00F0639B">
        <w:rPr>
          <w:b/>
          <w:bCs/>
          <w:color w:val="595959"/>
          <w:sz w:val="20"/>
          <w:szCs w:val="20"/>
          <w:shd w:val="clear" w:color="auto" w:fill="FFFFFF"/>
          <w:lang w:val="en"/>
        </w:rPr>
        <w:t>Cassa</w:t>
      </w:r>
      <w:proofErr w:type="spellEnd"/>
      <w:r w:rsidRPr="00F0639B">
        <w:rPr>
          <w:b/>
          <w:bCs/>
          <w:color w:val="595959"/>
          <w:sz w:val="20"/>
          <w:szCs w:val="20"/>
          <w:shd w:val="clear" w:color="auto" w:fill="FFFFFF"/>
          <w:lang w:val="en"/>
        </w:rPr>
        <w:t xml:space="preserve"> </w:t>
      </w:r>
      <w:proofErr w:type="spellStart"/>
      <w:r w:rsidRPr="00F0639B">
        <w:rPr>
          <w:b/>
          <w:bCs/>
          <w:color w:val="595959"/>
          <w:sz w:val="20"/>
          <w:szCs w:val="20"/>
          <w:shd w:val="clear" w:color="auto" w:fill="FFFFFF"/>
          <w:lang w:val="en"/>
        </w:rPr>
        <w:t>Integrazione</w:t>
      </w:r>
      <w:proofErr w:type="spellEnd"/>
      <w:r w:rsidRPr="00F0639B">
        <w:rPr>
          <w:b/>
          <w:bCs/>
          <w:color w:val="595959"/>
          <w:sz w:val="20"/>
          <w:szCs w:val="20"/>
          <w:shd w:val="clear" w:color="auto" w:fill="FFFFFF"/>
          <w:lang w:val="en"/>
        </w:rPr>
        <w:t xml:space="preserve"> </w:t>
      </w:r>
      <w:proofErr w:type="spellStart"/>
      <w:r w:rsidRPr="00F0639B">
        <w:rPr>
          <w:b/>
          <w:bCs/>
          <w:color w:val="595959"/>
          <w:sz w:val="20"/>
          <w:szCs w:val="20"/>
          <w:shd w:val="clear" w:color="auto" w:fill="FFFFFF"/>
          <w:lang w:val="en"/>
        </w:rPr>
        <w:t>Salariale</w:t>
      </w:r>
      <w:proofErr w:type="spellEnd"/>
      <w:r w:rsidRPr="00F0639B">
        <w:rPr>
          <w:b/>
          <w:bCs/>
          <w:color w:val="595959"/>
          <w:sz w:val="20"/>
          <w:szCs w:val="20"/>
          <w:shd w:val="clear" w:color="auto" w:fill="FFFFFF"/>
          <w:lang w:val="en"/>
        </w:rPr>
        <w:t xml:space="preserve"> </w:t>
      </w:r>
      <w:proofErr w:type="spellStart"/>
      <w:r w:rsidRPr="00F0639B">
        <w:rPr>
          <w:b/>
          <w:bCs/>
          <w:color w:val="595959"/>
          <w:sz w:val="20"/>
          <w:szCs w:val="20"/>
          <w:shd w:val="clear" w:color="auto" w:fill="FFFFFF"/>
          <w:lang w:val="en"/>
        </w:rPr>
        <w:t>Operai</w:t>
      </w:r>
      <w:proofErr w:type="spellEnd"/>
      <w:r w:rsidRPr="00F0639B">
        <w:rPr>
          <w:b/>
          <w:bCs/>
          <w:color w:val="595959"/>
          <w:sz w:val="20"/>
          <w:szCs w:val="20"/>
          <w:shd w:val="clear" w:color="auto" w:fill="FFFFFF"/>
          <w:lang w:val="en"/>
        </w:rPr>
        <w:t xml:space="preserve"> Agricole</w:t>
      </w:r>
      <w:r w:rsidRPr="00F0639B">
        <w:rPr>
          <w:color w:val="595959"/>
          <w:sz w:val="20"/>
          <w:szCs w:val="20"/>
          <w:shd w:val="clear" w:color="auto" w:fill="FFFFFF"/>
          <w:lang w:val="en"/>
        </w:rPr>
        <w:t xml:space="preserve"> (CISOA)</w:t>
      </w:r>
      <w:r>
        <w:rPr>
          <w:color w:val="595959"/>
          <w:sz w:val="20"/>
          <w:szCs w:val="20"/>
          <w:shd w:val="clear" w:color="auto" w:fill="FFFFFF"/>
          <w:lang w:val="en"/>
        </w:rPr>
        <w:t xml:space="preserve"> (wage subsidy)</w:t>
      </w:r>
      <w:r w:rsidRPr="00F0639B">
        <w:rPr>
          <w:color w:val="595959"/>
          <w:sz w:val="20"/>
          <w:szCs w:val="20"/>
          <w:shd w:val="clear" w:color="auto" w:fill="FFFFFF"/>
          <w:lang w:val="en"/>
        </w:rPr>
        <w:t xml:space="preserve"> to fishermen </w:t>
      </w:r>
      <w:r>
        <w:rPr>
          <w:color w:val="595959"/>
          <w:sz w:val="20"/>
          <w:szCs w:val="20"/>
          <w:shd w:val="clear" w:color="auto" w:fill="FFFFFF"/>
          <w:lang w:val="en"/>
        </w:rPr>
        <w:t xml:space="preserve">has been </w:t>
      </w:r>
      <w:r w:rsidRPr="00F0639B">
        <w:rPr>
          <w:color w:val="595959"/>
          <w:sz w:val="20"/>
          <w:szCs w:val="20"/>
          <w:shd w:val="clear" w:color="auto" w:fill="FFFFFF"/>
          <w:lang w:val="en"/>
        </w:rPr>
        <w:t>extended</w:t>
      </w:r>
      <w:r>
        <w:rPr>
          <w:color w:val="595959"/>
          <w:sz w:val="20"/>
          <w:szCs w:val="20"/>
          <w:shd w:val="clear" w:color="auto" w:fill="FFFFFF"/>
          <w:lang w:val="en"/>
        </w:rPr>
        <w:t xml:space="preserve">, </w:t>
      </w:r>
      <w:r w:rsidRPr="00F0639B">
        <w:rPr>
          <w:color w:val="595959"/>
          <w:sz w:val="20"/>
          <w:szCs w:val="20"/>
          <w:shd w:val="clear" w:color="auto" w:fill="FFFFFF"/>
          <w:lang w:val="en"/>
        </w:rPr>
        <w:t xml:space="preserve">as a structural social shock absorber. </w:t>
      </w:r>
    </w:p>
    <w:p w14:paraId="4858D2AB" w14:textId="701739E7" w:rsidR="00D76C27" w:rsidRPr="00BD5414" w:rsidRDefault="004309DC" w:rsidP="00A16285">
      <w:pPr>
        <w:spacing w:after="120"/>
        <w:jc w:val="both"/>
        <w:rPr>
          <w:rFonts w:ascii="Trebuchet MS" w:hAnsi="Trebuchet MS" w:cs="Arial"/>
          <w:color w:val="595959"/>
          <w:sz w:val="20"/>
          <w:szCs w:val="20"/>
          <w:lang w:val="en-US"/>
        </w:rPr>
      </w:pPr>
      <w:r w:rsidRPr="00F0639B">
        <w:rPr>
          <w:b/>
          <w:color w:val="595959"/>
          <w:sz w:val="20"/>
          <w:szCs w:val="20"/>
          <w:lang w:val="en"/>
        </w:rPr>
        <w:t>The</w:t>
      </w:r>
      <w:r w:rsidR="00C13F4B" w:rsidRPr="00F0639B">
        <w:rPr>
          <w:b/>
          <w:color w:val="595959"/>
          <w:sz w:val="20"/>
          <w:szCs w:val="20"/>
          <w:lang w:val="en"/>
        </w:rPr>
        <w:t xml:space="preserve"> </w:t>
      </w:r>
      <w:proofErr w:type="spellStart"/>
      <w:r w:rsidR="00C13F4B" w:rsidRPr="00F0639B">
        <w:rPr>
          <w:b/>
          <w:color w:val="595959"/>
          <w:sz w:val="20"/>
          <w:szCs w:val="20"/>
          <w:lang w:val="en"/>
        </w:rPr>
        <w:t>decontribution</w:t>
      </w:r>
      <w:proofErr w:type="spellEnd"/>
      <w:r w:rsidR="00C13F4B" w:rsidRPr="003740CF">
        <w:rPr>
          <w:color w:val="595959"/>
          <w:sz w:val="20"/>
          <w:szCs w:val="20"/>
          <w:lang w:val="en"/>
        </w:rPr>
        <w:t xml:space="preserve"> </w:t>
      </w:r>
      <w:r w:rsidR="00C13F4B">
        <w:rPr>
          <w:color w:val="595959"/>
          <w:sz w:val="20"/>
          <w:szCs w:val="20"/>
          <w:lang w:val="en"/>
        </w:rPr>
        <w:t>has been e</w:t>
      </w:r>
      <w:r w:rsidR="00C13F4B" w:rsidRPr="00F0639B">
        <w:rPr>
          <w:color w:val="595959"/>
          <w:sz w:val="20"/>
          <w:szCs w:val="20"/>
          <w:lang w:val="en"/>
        </w:rPr>
        <w:t>xtended</w:t>
      </w:r>
      <w:r w:rsidR="0025081F" w:rsidRPr="00F0639B">
        <w:rPr>
          <w:color w:val="595959"/>
          <w:sz w:val="20"/>
          <w:szCs w:val="20"/>
          <w:lang w:val="en"/>
        </w:rPr>
        <w:t>,</w:t>
      </w:r>
      <w:r w:rsidR="0025081F">
        <w:rPr>
          <w:color w:val="595959"/>
          <w:sz w:val="20"/>
          <w:szCs w:val="20"/>
          <w:lang w:val="en"/>
        </w:rPr>
        <w:t xml:space="preserve"> that</w:t>
      </w:r>
      <w:r w:rsidR="00C13F4B">
        <w:rPr>
          <w:color w:val="595959"/>
          <w:sz w:val="20"/>
          <w:szCs w:val="20"/>
          <w:lang w:val="en"/>
        </w:rPr>
        <w:t xml:space="preserve"> is </w:t>
      </w:r>
      <w:r w:rsidR="00C13F4B" w:rsidRPr="00F0639B">
        <w:rPr>
          <w:color w:val="595959"/>
          <w:sz w:val="20"/>
          <w:szCs w:val="20"/>
          <w:lang w:val="en"/>
        </w:rPr>
        <w:t>the exemption from the payment of 100% of the</w:t>
      </w:r>
      <w:r w:rsidR="00C13F4B" w:rsidRPr="00F0639B">
        <w:rPr>
          <w:b/>
          <w:bCs/>
          <w:color w:val="595959"/>
          <w:sz w:val="20"/>
          <w:szCs w:val="20"/>
          <w:lang w:val="en"/>
        </w:rPr>
        <w:t xml:space="preserve"> contribution </w:t>
      </w:r>
      <w:r w:rsidR="00C13F4B" w:rsidRPr="00651EE0">
        <w:rPr>
          <w:b/>
          <w:bCs/>
          <w:color w:val="595959"/>
          <w:sz w:val="20"/>
          <w:szCs w:val="20"/>
          <w:lang w:val="en"/>
        </w:rPr>
        <w:t>credit</w:t>
      </w:r>
      <w:r w:rsidR="00C13F4B">
        <w:rPr>
          <w:lang w:val="en"/>
        </w:rPr>
        <w:t xml:space="preserve"> </w:t>
      </w:r>
      <w:r w:rsidR="00C13F4B" w:rsidRPr="00F0639B">
        <w:rPr>
          <w:rStyle w:val="Enfasigrassetto"/>
          <w:color w:val="595959"/>
          <w:sz w:val="20"/>
          <w:szCs w:val="20"/>
          <w:lang w:val="en"/>
        </w:rPr>
        <w:t>to</w:t>
      </w:r>
      <w:r w:rsidR="00C13F4B" w:rsidRPr="00F0639B">
        <w:rPr>
          <w:color w:val="595959"/>
          <w:sz w:val="20"/>
          <w:szCs w:val="20"/>
          <w:lang w:val="en"/>
        </w:rPr>
        <w:t xml:space="preserve"> guarantee new </w:t>
      </w:r>
      <w:r w:rsidR="00C13F4B">
        <w:rPr>
          <w:color w:val="595959"/>
          <w:sz w:val="20"/>
          <w:szCs w:val="20"/>
          <w:lang w:val="en"/>
        </w:rPr>
        <w:t xml:space="preserve">enrollments in </w:t>
      </w:r>
      <w:r w:rsidR="00C13F4B" w:rsidRPr="00F0639B">
        <w:rPr>
          <w:color w:val="595959"/>
          <w:sz w:val="20"/>
          <w:szCs w:val="20"/>
          <w:lang w:val="en"/>
        </w:rPr>
        <w:t xml:space="preserve">the agricultural social security management as direct farmers or professional agricultural </w:t>
      </w:r>
      <w:proofErr w:type="gramStart"/>
      <w:r w:rsidR="00C13F4B" w:rsidRPr="00F0639B">
        <w:rPr>
          <w:color w:val="595959"/>
          <w:sz w:val="20"/>
          <w:szCs w:val="20"/>
          <w:lang w:val="en"/>
        </w:rPr>
        <w:t xml:space="preserve">entrepreneurs, </w:t>
      </w:r>
      <w:r w:rsidR="00C13F4B">
        <w:rPr>
          <w:color w:val="595959"/>
          <w:sz w:val="20"/>
          <w:szCs w:val="20"/>
          <w:lang w:val="en"/>
        </w:rPr>
        <w:t xml:space="preserve"> aged</w:t>
      </w:r>
      <w:proofErr w:type="gramEnd"/>
      <w:r w:rsidR="00C13F4B">
        <w:rPr>
          <w:color w:val="595959"/>
          <w:sz w:val="20"/>
          <w:szCs w:val="20"/>
          <w:lang w:val="en"/>
        </w:rPr>
        <w:t xml:space="preserve"> less than 40 </w:t>
      </w:r>
      <w:r w:rsidR="00C13F4B" w:rsidRPr="00F0639B">
        <w:rPr>
          <w:color w:val="595959"/>
          <w:sz w:val="20"/>
          <w:szCs w:val="20"/>
          <w:lang w:val="en"/>
        </w:rPr>
        <w:t>f.</w:t>
      </w:r>
    </w:p>
    <w:p w14:paraId="1296D08D" w14:textId="77777777" w:rsidR="00D76C27" w:rsidRPr="00BD5414" w:rsidRDefault="00D76C27" w:rsidP="00D76C27">
      <w:pPr>
        <w:pStyle w:val="Stile1istat"/>
        <w:rPr>
          <w:color w:val="595959"/>
          <w:sz w:val="14"/>
          <w:lang w:val="en-US"/>
        </w:rPr>
      </w:pPr>
    </w:p>
    <w:p w14:paraId="3ECB7050" w14:textId="7016864D" w:rsidR="00D76C27" w:rsidRPr="00BD5414" w:rsidRDefault="00BD5414" w:rsidP="00D76C27">
      <w:pPr>
        <w:pStyle w:val="Stile1istat"/>
        <w:spacing w:after="80" w:line="240" w:lineRule="auto"/>
        <w:rPr>
          <w:rFonts w:ascii="Trebuchet MS" w:hAnsi="Trebuchet MS"/>
          <w:color w:val="595959"/>
          <w:sz w:val="22"/>
          <w:szCs w:val="22"/>
          <w:lang w:val="en-US"/>
        </w:rPr>
      </w:pPr>
      <w:r w:rsidRPr="00BD5414">
        <w:rPr>
          <w:rFonts w:ascii="Trebuchet MS" w:hAnsi="Trebuchet MS"/>
          <w:color w:val="595959"/>
          <w:sz w:val="22"/>
          <w:szCs w:val="22"/>
          <w:lang w:val="en-US"/>
        </w:rPr>
        <w:t>THE HORIZONTAL INTERVENTIONS OF THE BUDGET LAW THAT AFFECT THE PRIMARY SECTOR</w:t>
      </w:r>
    </w:p>
    <w:p w14:paraId="1DA084A8" w14:textId="77777777" w:rsidR="00D76C27" w:rsidRPr="00BD5414" w:rsidRDefault="00D76C27" w:rsidP="00D76C27">
      <w:pPr>
        <w:pStyle w:val="Stile1istat"/>
        <w:spacing w:after="80" w:line="240" w:lineRule="auto"/>
        <w:rPr>
          <w:rFonts w:ascii="Trebuchet MS" w:hAnsi="Trebuchet MS"/>
          <w:color w:val="595959"/>
          <w:sz w:val="6"/>
          <w:szCs w:val="22"/>
          <w:lang w:val="en-US"/>
        </w:rPr>
      </w:pPr>
    </w:p>
    <w:p w14:paraId="2D949233" w14:textId="1E056C4E" w:rsidR="00D76C27" w:rsidRDefault="00BD5414" w:rsidP="00D76C27">
      <w:pPr>
        <w:rPr>
          <w:rFonts w:ascii="Trebuchet MS" w:eastAsia="Times New Roman" w:hAnsi="Trebuchet MS" w:cs="Arial"/>
          <w:color w:val="595959"/>
          <w:sz w:val="20"/>
          <w:szCs w:val="20"/>
          <w:lang w:eastAsia="it-IT"/>
        </w:rPr>
      </w:pPr>
      <w:r w:rsidRPr="00BD5414">
        <w:rPr>
          <w:rFonts w:ascii="Trebuchet MS" w:eastAsia="Times New Roman" w:hAnsi="Trebuchet MS" w:cs="Arial"/>
          <w:color w:val="595959"/>
          <w:sz w:val="20"/>
          <w:szCs w:val="20"/>
          <w:lang w:val="en-US" w:eastAsia="it-IT"/>
        </w:rPr>
        <w:t xml:space="preserve">The Budget Law also provides for a series of horizontal measures, aimed to the businesses development, of interest also for the agricultural and food sector. </w:t>
      </w:r>
      <w:proofErr w:type="spellStart"/>
      <w:r w:rsidRPr="00BD5414">
        <w:rPr>
          <w:rFonts w:ascii="Trebuchet MS" w:eastAsia="Times New Roman" w:hAnsi="Trebuchet MS" w:cs="Arial"/>
          <w:color w:val="595959"/>
          <w:sz w:val="20"/>
          <w:szCs w:val="20"/>
          <w:lang w:eastAsia="it-IT"/>
        </w:rPr>
        <w:t>Especially</w:t>
      </w:r>
      <w:proofErr w:type="spellEnd"/>
      <w:r w:rsidRPr="00BD5414">
        <w:rPr>
          <w:rFonts w:ascii="Trebuchet MS" w:eastAsia="Times New Roman" w:hAnsi="Trebuchet MS" w:cs="Arial"/>
          <w:color w:val="595959"/>
          <w:sz w:val="20"/>
          <w:szCs w:val="20"/>
          <w:lang w:eastAsia="it-IT"/>
        </w:rPr>
        <w:t>:</w:t>
      </w:r>
    </w:p>
    <w:p w14:paraId="457FE65C" w14:textId="77777777" w:rsidR="00B958FD" w:rsidRDefault="00B958FD" w:rsidP="00D76C27">
      <w:pPr>
        <w:rPr>
          <w:rFonts w:ascii="Trebuchet MS" w:eastAsia="Times New Roman" w:hAnsi="Trebuchet MS" w:cs="Arial"/>
          <w:color w:val="595959"/>
          <w:sz w:val="20"/>
          <w:szCs w:val="20"/>
          <w:lang w:eastAsia="it-IT"/>
        </w:rPr>
      </w:pPr>
    </w:p>
    <w:tbl>
      <w:tblPr>
        <w:tblW w:w="9498" w:type="dxa"/>
        <w:tblBorders>
          <w:top w:val="single" w:sz="4" w:space="0" w:color="000000" w:themeColor="text1"/>
          <w:bottom w:val="single" w:sz="4" w:space="0" w:color="000000" w:themeColor="text1"/>
          <w:insideH w:val="single" w:sz="4" w:space="0" w:color="000000" w:themeColor="text1"/>
        </w:tblBorders>
        <w:tblLayout w:type="fixed"/>
        <w:tblCellMar>
          <w:left w:w="70" w:type="dxa"/>
          <w:right w:w="70" w:type="dxa"/>
        </w:tblCellMar>
        <w:tblLook w:val="04A0" w:firstRow="1" w:lastRow="0" w:firstColumn="1" w:lastColumn="0" w:noHBand="0" w:noVBand="1"/>
      </w:tblPr>
      <w:tblGrid>
        <w:gridCol w:w="3785"/>
        <w:gridCol w:w="1885"/>
        <w:gridCol w:w="807"/>
        <w:gridCol w:w="3021"/>
      </w:tblGrid>
      <w:tr w:rsidR="00BD5414" w:rsidRPr="00C4200B" w14:paraId="53BCED39" w14:textId="77777777" w:rsidTr="00AA41E7">
        <w:trPr>
          <w:trHeight w:val="255"/>
        </w:trPr>
        <w:tc>
          <w:tcPr>
            <w:tcW w:w="9498" w:type="dxa"/>
            <w:gridSpan w:val="4"/>
            <w:shd w:val="clear" w:color="auto" w:fill="17365D"/>
            <w:noWrap/>
            <w:vAlign w:val="center"/>
            <w:hideMark/>
          </w:tcPr>
          <w:p w14:paraId="01E89C32" w14:textId="77777777" w:rsidR="00BD5414" w:rsidRPr="00C4200B" w:rsidRDefault="00BD5414" w:rsidP="00AA41E7">
            <w:pPr>
              <w:autoSpaceDN/>
              <w:jc w:val="center"/>
              <w:rPr>
                <w:rFonts w:ascii="Arial Narrow" w:eastAsia="Times New Roman" w:hAnsi="Arial Narrow" w:cs="Arial"/>
                <w:b/>
                <w:bCs/>
                <w:color w:val="FFFFFF" w:themeColor="background1"/>
                <w:sz w:val="16"/>
                <w:szCs w:val="16"/>
                <w:lang w:eastAsia="it-IT"/>
              </w:rPr>
            </w:pPr>
            <w:r w:rsidRPr="00C4200B">
              <w:rPr>
                <w:b/>
                <w:color w:val="FFFFFF" w:themeColor="background1"/>
                <w:sz w:val="16"/>
                <w:szCs w:val="16"/>
                <w:lang w:val="en"/>
              </w:rPr>
              <w:t xml:space="preserve">HORIZONTAL INTERVENTIONS </w:t>
            </w:r>
          </w:p>
        </w:tc>
      </w:tr>
      <w:tr w:rsidR="00BD5414" w:rsidRPr="00C4200B" w14:paraId="270C20A0" w14:textId="77777777" w:rsidTr="00AA41E7">
        <w:trPr>
          <w:trHeight w:val="255"/>
        </w:trPr>
        <w:tc>
          <w:tcPr>
            <w:tcW w:w="3785" w:type="dxa"/>
            <w:vMerge w:val="restart"/>
            <w:shd w:val="clear" w:color="auto" w:fill="auto"/>
            <w:vAlign w:val="center"/>
            <w:hideMark/>
          </w:tcPr>
          <w:p w14:paraId="11E5935B" w14:textId="77777777" w:rsidR="00BD5414" w:rsidRPr="00C4200B" w:rsidRDefault="00BD5414" w:rsidP="00AA41E7">
            <w:pPr>
              <w:autoSpaceDN/>
              <w:rPr>
                <w:rFonts w:ascii="Arial Narrow" w:eastAsia="Times New Roman" w:hAnsi="Arial Narrow" w:cs="Arial"/>
                <w:b/>
                <w:bCs/>
                <w:color w:val="000000"/>
                <w:sz w:val="16"/>
                <w:szCs w:val="16"/>
                <w:lang w:eastAsia="it-IT"/>
              </w:rPr>
            </w:pPr>
            <w:r w:rsidRPr="00C4200B">
              <w:rPr>
                <w:b/>
                <w:color w:val="000000" w:themeColor="text1"/>
                <w:sz w:val="16"/>
                <w:szCs w:val="16"/>
                <w:lang w:val="en"/>
              </w:rPr>
              <w:t>Type of intervention</w:t>
            </w:r>
          </w:p>
        </w:tc>
        <w:tc>
          <w:tcPr>
            <w:tcW w:w="1885" w:type="dxa"/>
            <w:vMerge w:val="restart"/>
            <w:shd w:val="clear" w:color="auto" w:fill="auto"/>
            <w:vAlign w:val="center"/>
            <w:hideMark/>
          </w:tcPr>
          <w:p w14:paraId="2F52C6E7" w14:textId="77777777" w:rsidR="00BD5414" w:rsidRPr="00C4200B" w:rsidRDefault="00BD5414" w:rsidP="00AA41E7">
            <w:pPr>
              <w:autoSpaceDN/>
              <w:jc w:val="center"/>
              <w:rPr>
                <w:rFonts w:ascii="Arial Narrow" w:eastAsia="Times New Roman" w:hAnsi="Arial Narrow" w:cs="Arial"/>
                <w:b/>
                <w:bCs/>
                <w:color w:val="000000"/>
                <w:sz w:val="16"/>
                <w:szCs w:val="16"/>
                <w:lang w:eastAsia="it-IT"/>
              </w:rPr>
            </w:pPr>
            <w:r w:rsidRPr="00C4200B">
              <w:rPr>
                <w:b/>
                <w:color w:val="000000"/>
                <w:sz w:val="16"/>
                <w:szCs w:val="16"/>
                <w:lang w:val="en"/>
              </w:rPr>
              <w:t>Reference period</w:t>
            </w:r>
          </w:p>
        </w:tc>
        <w:tc>
          <w:tcPr>
            <w:tcW w:w="807" w:type="dxa"/>
            <w:shd w:val="clear" w:color="auto" w:fill="auto"/>
            <w:vAlign w:val="center"/>
            <w:hideMark/>
          </w:tcPr>
          <w:p w14:paraId="15A55247" w14:textId="77777777" w:rsidR="00BD5414" w:rsidRPr="00C4200B" w:rsidRDefault="00BD5414" w:rsidP="00AA41E7">
            <w:pPr>
              <w:autoSpaceDN/>
              <w:jc w:val="center"/>
              <w:rPr>
                <w:rFonts w:ascii="Arial Narrow" w:eastAsia="Times New Roman" w:hAnsi="Arial Narrow" w:cs="Arial"/>
                <w:b/>
                <w:bCs/>
                <w:color w:val="000000"/>
                <w:sz w:val="16"/>
                <w:szCs w:val="16"/>
                <w:lang w:eastAsia="it-IT"/>
              </w:rPr>
            </w:pPr>
            <w:r w:rsidRPr="00C4200B">
              <w:rPr>
                <w:b/>
                <w:color w:val="000000"/>
                <w:sz w:val="16"/>
                <w:szCs w:val="16"/>
                <w:lang w:val="en"/>
              </w:rPr>
              <w:t>Appropriation</w:t>
            </w:r>
          </w:p>
        </w:tc>
        <w:tc>
          <w:tcPr>
            <w:tcW w:w="3021" w:type="dxa"/>
            <w:shd w:val="clear" w:color="auto" w:fill="auto"/>
            <w:vAlign w:val="center"/>
            <w:hideMark/>
          </w:tcPr>
          <w:p w14:paraId="025236C7" w14:textId="77777777" w:rsidR="00BD5414" w:rsidRPr="00C4200B" w:rsidRDefault="00BD5414" w:rsidP="00AA41E7">
            <w:pPr>
              <w:autoSpaceDN/>
              <w:jc w:val="center"/>
              <w:rPr>
                <w:rFonts w:ascii="Arial Narrow" w:eastAsia="Times New Roman" w:hAnsi="Arial Narrow" w:cs="Arial"/>
                <w:b/>
                <w:bCs/>
                <w:color w:val="000000"/>
                <w:sz w:val="16"/>
                <w:szCs w:val="16"/>
                <w:lang w:eastAsia="it-IT"/>
              </w:rPr>
            </w:pPr>
            <w:r w:rsidRPr="00C4200B">
              <w:rPr>
                <w:b/>
                <w:color w:val="000000"/>
                <w:sz w:val="16"/>
                <w:szCs w:val="16"/>
                <w:lang w:val="en"/>
              </w:rPr>
              <w:t>Art. 1</w:t>
            </w:r>
          </w:p>
        </w:tc>
      </w:tr>
      <w:tr w:rsidR="00BD5414" w:rsidRPr="00C4200B" w14:paraId="5680F290" w14:textId="77777777" w:rsidTr="00AA41E7">
        <w:trPr>
          <w:trHeight w:val="255"/>
        </w:trPr>
        <w:tc>
          <w:tcPr>
            <w:tcW w:w="3785" w:type="dxa"/>
            <w:vMerge/>
            <w:vAlign w:val="center"/>
            <w:hideMark/>
          </w:tcPr>
          <w:p w14:paraId="174C53AD" w14:textId="77777777" w:rsidR="00BD5414" w:rsidRPr="00C4200B" w:rsidRDefault="00BD5414" w:rsidP="00AA41E7">
            <w:pPr>
              <w:autoSpaceDN/>
              <w:rPr>
                <w:rFonts w:ascii="Arial Narrow" w:eastAsia="Times New Roman" w:hAnsi="Arial Narrow" w:cs="Arial"/>
                <w:b/>
                <w:bCs/>
                <w:color w:val="000000"/>
                <w:sz w:val="16"/>
                <w:szCs w:val="16"/>
                <w:lang w:eastAsia="it-IT"/>
              </w:rPr>
            </w:pPr>
          </w:p>
        </w:tc>
        <w:tc>
          <w:tcPr>
            <w:tcW w:w="1885" w:type="dxa"/>
            <w:vMerge/>
            <w:vAlign w:val="center"/>
            <w:hideMark/>
          </w:tcPr>
          <w:p w14:paraId="6632CB25" w14:textId="77777777" w:rsidR="00BD5414" w:rsidRPr="00C4200B" w:rsidRDefault="00BD5414" w:rsidP="00AA41E7">
            <w:pPr>
              <w:autoSpaceDN/>
              <w:rPr>
                <w:rFonts w:ascii="Arial Narrow" w:eastAsia="Times New Roman" w:hAnsi="Arial Narrow" w:cs="Arial"/>
                <w:b/>
                <w:bCs/>
                <w:color w:val="000000"/>
                <w:sz w:val="16"/>
                <w:szCs w:val="16"/>
                <w:lang w:eastAsia="it-IT"/>
              </w:rPr>
            </w:pPr>
          </w:p>
        </w:tc>
        <w:tc>
          <w:tcPr>
            <w:tcW w:w="807" w:type="dxa"/>
            <w:shd w:val="clear" w:color="auto" w:fill="auto"/>
            <w:vAlign w:val="center"/>
            <w:hideMark/>
          </w:tcPr>
          <w:p w14:paraId="45A8263B" w14:textId="77777777" w:rsidR="00BD5414" w:rsidRPr="00C4200B" w:rsidRDefault="00BD5414" w:rsidP="00AA41E7">
            <w:pPr>
              <w:autoSpaceDN/>
              <w:jc w:val="center"/>
              <w:rPr>
                <w:rFonts w:ascii="Arial Narrow" w:eastAsia="Times New Roman" w:hAnsi="Arial Narrow" w:cs="Arial"/>
                <w:b/>
                <w:bCs/>
                <w:color w:val="000000"/>
                <w:sz w:val="16"/>
                <w:szCs w:val="16"/>
                <w:lang w:eastAsia="it-IT"/>
              </w:rPr>
            </w:pPr>
            <w:proofErr w:type="spellStart"/>
            <w:r w:rsidRPr="00C4200B">
              <w:rPr>
                <w:b/>
                <w:color w:val="000000"/>
                <w:sz w:val="16"/>
                <w:szCs w:val="16"/>
                <w:lang w:val="en"/>
              </w:rPr>
              <w:t>Meuro</w:t>
            </w:r>
            <w:proofErr w:type="spellEnd"/>
          </w:p>
        </w:tc>
        <w:tc>
          <w:tcPr>
            <w:tcW w:w="3021" w:type="dxa"/>
            <w:shd w:val="clear" w:color="auto" w:fill="auto"/>
            <w:vAlign w:val="center"/>
            <w:hideMark/>
          </w:tcPr>
          <w:p w14:paraId="5ECF6C77" w14:textId="77777777" w:rsidR="00BD5414" w:rsidRPr="00C4200B" w:rsidRDefault="00BD5414" w:rsidP="00AA41E7">
            <w:pPr>
              <w:autoSpaceDN/>
              <w:jc w:val="center"/>
              <w:rPr>
                <w:rFonts w:ascii="Arial Narrow" w:eastAsia="Times New Roman" w:hAnsi="Arial Narrow" w:cs="Arial"/>
                <w:b/>
                <w:bCs/>
                <w:color w:val="000000"/>
                <w:sz w:val="16"/>
                <w:szCs w:val="16"/>
                <w:lang w:eastAsia="it-IT"/>
              </w:rPr>
            </w:pPr>
            <w:r w:rsidRPr="00C4200B">
              <w:rPr>
                <w:b/>
                <w:color w:val="000000"/>
                <w:sz w:val="16"/>
                <w:szCs w:val="16"/>
                <w:lang w:val="en"/>
              </w:rPr>
              <w:t>Comma</w:t>
            </w:r>
          </w:p>
        </w:tc>
      </w:tr>
      <w:tr w:rsidR="00BD5414" w:rsidRPr="00C4200B" w14:paraId="3F84EF50" w14:textId="77777777" w:rsidTr="00AA41E7">
        <w:trPr>
          <w:trHeight w:val="255"/>
        </w:trPr>
        <w:tc>
          <w:tcPr>
            <w:tcW w:w="3785" w:type="dxa"/>
            <w:shd w:val="clear" w:color="auto" w:fill="auto"/>
            <w:vAlign w:val="center"/>
            <w:hideMark/>
          </w:tcPr>
          <w:p w14:paraId="2BE65648" w14:textId="77777777" w:rsidR="00BD5414" w:rsidRPr="00C667A4" w:rsidRDefault="00BD5414" w:rsidP="00AA41E7">
            <w:pPr>
              <w:autoSpaceDN/>
              <w:rPr>
                <w:rFonts w:ascii="Arial Narrow" w:eastAsia="Times New Roman" w:hAnsi="Arial Narrow" w:cs="Arial"/>
                <w:color w:val="000000"/>
                <w:sz w:val="16"/>
                <w:szCs w:val="16"/>
                <w:lang w:val="en-US" w:eastAsia="it-IT"/>
              </w:rPr>
            </w:pPr>
            <w:proofErr w:type="gramStart"/>
            <w:r w:rsidRPr="00C667A4">
              <w:rPr>
                <w:color w:val="000000"/>
                <w:sz w:val="16"/>
                <w:szCs w:val="16"/>
                <w:lang w:val="en-US"/>
              </w:rPr>
              <w:t>Sugar  and</w:t>
            </w:r>
            <w:proofErr w:type="gramEnd"/>
            <w:r w:rsidRPr="00C667A4">
              <w:rPr>
                <w:color w:val="000000"/>
                <w:sz w:val="16"/>
                <w:szCs w:val="16"/>
                <w:lang w:val="en-US"/>
              </w:rPr>
              <w:t xml:space="preserve"> plastic tax (L 169/2019)</w:t>
            </w:r>
          </w:p>
        </w:tc>
        <w:tc>
          <w:tcPr>
            <w:tcW w:w="1885" w:type="dxa"/>
            <w:shd w:val="clear" w:color="auto" w:fill="D9D9D9"/>
            <w:vAlign w:val="center"/>
            <w:hideMark/>
          </w:tcPr>
          <w:p w14:paraId="3E88C513"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postponement to 2023</w:t>
            </w:r>
          </w:p>
        </w:tc>
        <w:tc>
          <w:tcPr>
            <w:tcW w:w="807" w:type="dxa"/>
            <w:shd w:val="clear" w:color="auto" w:fill="auto"/>
            <w:vAlign w:val="center"/>
            <w:hideMark/>
          </w:tcPr>
          <w:p w14:paraId="1FFD373B"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w:t>
            </w:r>
          </w:p>
        </w:tc>
        <w:tc>
          <w:tcPr>
            <w:tcW w:w="3021" w:type="dxa"/>
            <w:shd w:val="clear" w:color="auto" w:fill="D9D9D9"/>
            <w:noWrap/>
            <w:vAlign w:val="center"/>
            <w:hideMark/>
          </w:tcPr>
          <w:p w14:paraId="503C974B"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12</w:t>
            </w:r>
          </w:p>
        </w:tc>
      </w:tr>
      <w:tr w:rsidR="00BD5414" w:rsidRPr="00C4200B" w14:paraId="77676FB3" w14:textId="77777777" w:rsidTr="00AA41E7">
        <w:trPr>
          <w:trHeight w:val="255"/>
        </w:trPr>
        <w:tc>
          <w:tcPr>
            <w:tcW w:w="3785" w:type="dxa"/>
            <w:shd w:val="clear" w:color="auto" w:fill="auto"/>
            <w:vAlign w:val="center"/>
            <w:hideMark/>
          </w:tcPr>
          <w:p w14:paraId="69DDAC72" w14:textId="77777777" w:rsidR="00BD5414" w:rsidRPr="00C4200B" w:rsidRDefault="00BD5414" w:rsidP="00AA41E7">
            <w:pPr>
              <w:autoSpaceDN/>
              <w:rPr>
                <w:rFonts w:ascii="Arial Narrow" w:eastAsia="Times New Roman" w:hAnsi="Arial Narrow" w:cs="Arial"/>
                <w:color w:val="000000"/>
                <w:sz w:val="16"/>
                <w:szCs w:val="16"/>
                <w:lang w:eastAsia="it-IT"/>
              </w:rPr>
            </w:pPr>
            <w:r w:rsidRPr="00C4200B">
              <w:rPr>
                <w:color w:val="000000"/>
                <w:sz w:val="16"/>
                <w:szCs w:val="16"/>
                <w:lang w:val="en"/>
              </w:rPr>
              <w:t xml:space="preserve">SME Guarantee Fund    </w:t>
            </w:r>
          </w:p>
        </w:tc>
        <w:tc>
          <w:tcPr>
            <w:tcW w:w="1885" w:type="dxa"/>
            <w:vMerge w:val="restart"/>
            <w:shd w:val="clear" w:color="auto" w:fill="D9D9D9"/>
            <w:noWrap/>
            <w:vAlign w:val="center"/>
            <w:hideMark/>
          </w:tcPr>
          <w:p w14:paraId="782D9031" w14:textId="77777777" w:rsidR="00BD5414" w:rsidRPr="00C4200B" w:rsidRDefault="00BD5414" w:rsidP="00AA41E7">
            <w:pPr>
              <w:autoSpaceDN/>
              <w:rPr>
                <w:rFonts w:ascii="Arial Narrow" w:eastAsia="Times New Roman" w:hAnsi="Arial Narrow" w:cs="Arial"/>
                <w:color w:val="000000"/>
                <w:sz w:val="16"/>
                <w:szCs w:val="16"/>
                <w:lang w:eastAsia="it-IT"/>
              </w:rPr>
            </w:pPr>
            <w:r w:rsidRPr="00C4200B">
              <w:rPr>
                <w:color w:val="000000"/>
                <w:sz w:val="16"/>
                <w:szCs w:val="16"/>
                <w:lang w:val="en"/>
              </w:rPr>
              <w:t xml:space="preserve">          from 2022</w:t>
            </w:r>
          </w:p>
        </w:tc>
        <w:tc>
          <w:tcPr>
            <w:tcW w:w="807" w:type="dxa"/>
            <w:vMerge w:val="restart"/>
            <w:shd w:val="clear" w:color="auto" w:fill="auto"/>
            <w:vAlign w:val="center"/>
            <w:hideMark/>
          </w:tcPr>
          <w:p w14:paraId="07018E88"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 xml:space="preserve"> 3</w:t>
            </w:r>
          </w:p>
        </w:tc>
        <w:tc>
          <w:tcPr>
            <w:tcW w:w="3021" w:type="dxa"/>
            <w:vMerge w:val="restart"/>
            <w:shd w:val="clear" w:color="auto" w:fill="D9D9D9"/>
            <w:vAlign w:val="center"/>
            <w:hideMark/>
          </w:tcPr>
          <w:p w14:paraId="61C5AC14" w14:textId="400D6D5B" w:rsidR="00BD5414" w:rsidRPr="00C4200B" w:rsidRDefault="00BD5414" w:rsidP="0025081F">
            <w:pPr>
              <w:autoSpaceDN/>
              <w:jc w:val="center"/>
              <w:rPr>
                <w:rFonts w:ascii="Arial Narrow" w:eastAsia="Times New Roman" w:hAnsi="Arial Narrow" w:cs="Arial"/>
                <w:color w:val="000000"/>
                <w:sz w:val="16"/>
                <w:szCs w:val="16"/>
                <w:lang w:eastAsia="it-IT"/>
              </w:rPr>
            </w:pPr>
            <w:r w:rsidRPr="00C4200B">
              <w:rPr>
                <w:color w:val="000000"/>
                <w:sz w:val="16"/>
                <w:szCs w:val="16"/>
                <w:lang w:val="en"/>
              </w:rPr>
              <w:t xml:space="preserve">1058 </w:t>
            </w:r>
            <w:r w:rsidR="0025081F">
              <w:rPr>
                <w:color w:val="000000"/>
                <w:sz w:val="16"/>
                <w:szCs w:val="16"/>
                <w:lang w:val="en"/>
              </w:rPr>
              <w:t>and seq</w:t>
            </w:r>
            <w:r w:rsidRPr="00C4200B">
              <w:rPr>
                <w:color w:val="000000"/>
                <w:sz w:val="16"/>
                <w:szCs w:val="16"/>
                <w:lang w:val="en"/>
              </w:rPr>
              <w:t>.</w:t>
            </w:r>
          </w:p>
        </w:tc>
      </w:tr>
      <w:tr w:rsidR="00BD5414" w:rsidRPr="00C4200B" w14:paraId="66FAAAFD" w14:textId="77777777" w:rsidTr="00AA41E7">
        <w:trPr>
          <w:trHeight w:val="255"/>
        </w:trPr>
        <w:tc>
          <w:tcPr>
            <w:tcW w:w="3785" w:type="dxa"/>
            <w:shd w:val="clear" w:color="auto" w:fill="auto"/>
            <w:vAlign w:val="center"/>
            <w:hideMark/>
          </w:tcPr>
          <w:p w14:paraId="56353092" w14:textId="77777777" w:rsidR="00BD5414" w:rsidRPr="00C4200B" w:rsidRDefault="00BD5414" w:rsidP="00AA41E7">
            <w:pPr>
              <w:autoSpaceDN/>
              <w:jc w:val="center"/>
              <w:rPr>
                <w:rFonts w:ascii="Arial Narrow" w:eastAsia="Times New Roman" w:hAnsi="Arial Narrow" w:cs="Arial"/>
                <w:color w:val="000000"/>
                <w:sz w:val="16"/>
                <w:szCs w:val="16"/>
                <w:lang w:eastAsia="it-IT"/>
              </w:rPr>
            </w:pPr>
          </w:p>
        </w:tc>
        <w:tc>
          <w:tcPr>
            <w:tcW w:w="1885" w:type="dxa"/>
            <w:vMerge/>
            <w:shd w:val="clear" w:color="auto" w:fill="D9D9D9"/>
            <w:vAlign w:val="center"/>
            <w:hideMark/>
          </w:tcPr>
          <w:p w14:paraId="51952555" w14:textId="77777777" w:rsidR="00BD5414" w:rsidRPr="00C4200B" w:rsidRDefault="00BD5414" w:rsidP="00AA41E7">
            <w:pPr>
              <w:autoSpaceDN/>
              <w:rPr>
                <w:rFonts w:ascii="Arial Narrow" w:eastAsia="Times New Roman" w:hAnsi="Arial Narrow" w:cs="Arial"/>
                <w:color w:val="000000"/>
                <w:sz w:val="16"/>
                <w:szCs w:val="16"/>
                <w:lang w:eastAsia="it-IT"/>
              </w:rPr>
            </w:pPr>
          </w:p>
        </w:tc>
        <w:tc>
          <w:tcPr>
            <w:tcW w:w="807" w:type="dxa"/>
            <w:vMerge/>
            <w:vAlign w:val="center"/>
            <w:hideMark/>
          </w:tcPr>
          <w:p w14:paraId="61C614FA" w14:textId="77777777" w:rsidR="00BD5414" w:rsidRPr="00C4200B" w:rsidRDefault="00BD5414" w:rsidP="00AA41E7">
            <w:pPr>
              <w:autoSpaceDN/>
              <w:rPr>
                <w:rFonts w:ascii="Arial Narrow" w:eastAsia="Times New Roman" w:hAnsi="Arial Narrow" w:cs="Arial"/>
                <w:color w:val="000000"/>
                <w:sz w:val="16"/>
                <w:szCs w:val="16"/>
                <w:lang w:eastAsia="it-IT"/>
              </w:rPr>
            </w:pPr>
          </w:p>
        </w:tc>
        <w:tc>
          <w:tcPr>
            <w:tcW w:w="3021" w:type="dxa"/>
            <w:vMerge/>
            <w:shd w:val="clear" w:color="auto" w:fill="D9D9D9"/>
            <w:vAlign w:val="center"/>
            <w:hideMark/>
          </w:tcPr>
          <w:p w14:paraId="071FB8A1" w14:textId="77777777" w:rsidR="00BD5414" w:rsidRPr="00C4200B" w:rsidRDefault="00BD5414" w:rsidP="00AA41E7">
            <w:pPr>
              <w:autoSpaceDN/>
              <w:rPr>
                <w:rFonts w:ascii="Arial Narrow" w:eastAsia="Times New Roman" w:hAnsi="Arial Narrow" w:cs="Arial"/>
                <w:color w:val="000000"/>
                <w:sz w:val="16"/>
                <w:szCs w:val="16"/>
                <w:lang w:eastAsia="it-IT"/>
              </w:rPr>
            </w:pPr>
          </w:p>
        </w:tc>
      </w:tr>
      <w:tr w:rsidR="00BD5414" w:rsidRPr="00C4200B" w14:paraId="356726E4" w14:textId="77777777" w:rsidTr="00AA41E7">
        <w:trPr>
          <w:trHeight w:val="255"/>
        </w:trPr>
        <w:tc>
          <w:tcPr>
            <w:tcW w:w="3785" w:type="dxa"/>
            <w:shd w:val="clear" w:color="auto" w:fill="auto"/>
            <w:vAlign w:val="center"/>
            <w:hideMark/>
          </w:tcPr>
          <w:p w14:paraId="397E9616" w14:textId="77777777" w:rsidR="00BD5414" w:rsidRPr="00C4200B" w:rsidRDefault="00BD5414" w:rsidP="00AA41E7">
            <w:pPr>
              <w:autoSpaceDN/>
              <w:rPr>
                <w:rFonts w:ascii="Arial Narrow" w:eastAsia="Times New Roman" w:hAnsi="Arial Narrow" w:cs="Arial"/>
                <w:color w:val="000000"/>
                <w:sz w:val="16"/>
                <w:szCs w:val="16"/>
                <w:lang w:eastAsia="it-IT"/>
              </w:rPr>
            </w:pPr>
            <w:r w:rsidRPr="00C4200B">
              <w:rPr>
                <w:color w:val="000000"/>
                <w:sz w:val="16"/>
                <w:szCs w:val="16"/>
                <w:lang w:val="en"/>
              </w:rPr>
              <w:t>New Sabatini</w:t>
            </w:r>
          </w:p>
        </w:tc>
        <w:tc>
          <w:tcPr>
            <w:tcW w:w="1885" w:type="dxa"/>
            <w:shd w:val="clear" w:color="auto" w:fill="D9D9D9"/>
            <w:vAlign w:val="center"/>
            <w:hideMark/>
          </w:tcPr>
          <w:p w14:paraId="48508C3B"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2022-27</w:t>
            </w:r>
          </w:p>
        </w:tc>
        <w:tc>
          <w:tcPr>
            <w:tcW w:w="807" w:type="dxa"/>
            <w:shd w:val="clear" w:color="auto" w:fill="auto"/>
            <w:vAlign w:val="center"/>
            <w:hideMark/>
          </w:tcPr>
          <w:p w14:paraId="55207CCA"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660</w:t>
            </w:r>
          </w:p>
        </w:tc>
        <w:tc>
          <w:tcPr>
            <w:tcW w:w="3021" w:type="dxa"/>
            <w:shd w:val="clear" w:color="auto" w:fill="D9D9D9"/>
            <w:vAlign w:val="center"/>
            <w:hideMark/>
          </w:tcPr>
          <w:p w14:paraId="5A60248D"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47-48</w:t>
            </w:r>
          </w:p>
        </w:tc>
      </w:tr>
      <w:tr w:rsidR="00BD5414" w:rsidRPr="00C4200B" w14:paraId="38BBC311" w14:textId="77777777" w:rsidTr="00AA41E7">
        <w:trPr>
          <w:trHeight w:val="255"/>
        </w:trPr>
        <w:tc>
          <w:tcPr>
            <w:tcW w:w="3785" w:type="dxa"/>
            <w:shd w:val="clear" w:color="auto" w:fill="auto"/>
            <w:vAlign w:val="center"/>
            <w:hideMark/>
          </w:tcPr>
          <w:p w14:paraId="514BC15C" w14:textId="77777777" w:rsidR="00BD5414" w:rsidRPr="00C4200B" w:rsidRDefault="00BD5414" w:rsidP="00AA41E7">
            <w:pPr>
              <w:autoSpaceDN/>
              <w:rPr>
                <w:rFonts w:ascii="Arial Narrow" w:eastAsia="Times New Roman" w:hAnsi="Arial Narrow" w:cs="Arial"/>
                <w:color w:val="000000"/>
                <w:sz w:val="16"/>
                <w:szCs w:val="16"/>
                <w:lang w:eastAsia="it-IT"/>
              </w:rPr>
            </w:pPr>
            <w:r w:rsidRPr="00C4200B">
              <w:rPr>
                <w:color w:val="000000"/>
                <w:sz w:val="16"/>
                <w:szCs w:val="16"/>
                <w:lang w:val="en"/>
              </w:rPr>
              <w:t xml:space="preserve">Internationalization of companies </w:t>
            </w:r>
          </w:p>
        </w:tc>
        <w:tc>
          <w:tcPr>
            <w:tcW w:w="1885" w:type="dxa"/>
            <w:shd w:val="clear" w:color="auto" w:fill="D9D9D9"/>
            <w:noWrap/>
            <w:vAlign w:val="center"/>
            <w:hideMark/>
          </w:tcPr>
          <w:p w14:paraId="6245B9AA" w14:textId="77777777" w:rsidR="00BD5414" w:rsidRPr="00C4200B" w:rsidRDefault="00BD5414" w:rsidP="00AA41E7">
            <w:pPr>
              <w:autoSpaceDN/>
              <w:rPr>
                <w:rFonts w:ascii="Arial Narrow" w:eastAsia="Times New Roman" w:hAnsi="Arial Narrow" w:cs="Arial"/>
                <w:color w:val="000000"/>
                <w:sz w:val="16"/>
                <w:szCs w:val="16"/>
                <w:lang w:eastAsia="it-IT"/>
              </w:rPr>
            </w:pPr>
          </w:p>
        </w:tc>
        <w:tc>
          <w:tcPr>
            <w:tcW w:w="807" w:type="dxa"/>
            <w:shd w:val="clear" w:color="auto" w:fill="auto"/>
            <w:noWrap/>
            <w:vAlign w:val="center"/>
            <w:hideMark/>
          </w:tcPr>
          <w:p w14:paraId="27F0A765" w14:textId="77777777" w:rsidR="00BD5414" w:rsidRPr="00C4200B" w:rsidRDefault="00BD5414" w:rsidP="00AA41E7">
            <w:pPr>
              <w:autoSpaceDN/>
              <w:jc w:val="center"/>
              <w:rPr>
                <w:rFonts w:ascii="Arial Narrow" w:eastAsia="Times New Roman" w:hAnsi="Arial Narrow" w:cs="Arial"/>
                <w:sz w:val="16"/>
                <w:szCs w:val="16"/>
                <w:lang w:eastAsia="it-IT"/>
              </w:rPr>
            </w:pPr>
            <w:r w:rsidRPr="00C4200B">
              <w:rPr>
                <w:sz w:val="16"/>
                <w:szCs w:val="16"/>
                <w:lang w:val="en"/>
              </w:rPr>
              <w:t>3.000</w:t>
            </w:r>
          </w:p>
        </w:tc>
        <w:tc>
          <w:tcPr>
            <w:tcW w:w="3021" w:type="dxa"/>
            <w:shd w:val="clear" w:color="auto" w:fill="D9D9D9"/>
            <w:vAlign w:val="center"/>
            <w:hideMark/>
          </w:tcPr>
          <w:p w14:paraId="5652921A"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49</w:t>
            </w:r>
          </w:p>
        </w:tc>
      </w:tr>
      <w:tr w:rsidR="00BD5414" w:rsidRPr="00C4200B" w14:paraId="2A7D385B" w14:textId="77777777" w:rsidTr="00AA41E7">
        <w:trPr>
          <w:trHeight w:val="255"/>
        </w:trPr>
        <w:tc>
          <w:tcPr>
            <w:tcW w:w="3785" w:type="dxa"/>
            <w:shd w:val="clear" w:color="auto" w:fill="auto"/>
            <w:vAlign w:val="center"/>
            <w:hideMark/>
          </w:tcPr>
          <w:p w14:paraId="163731EE" w14:textId="77777777" w:rsidR="00BD5414" w:rsidRPr="005E3784" w:rsidRDefault="00BD5414" w:rsidP="00AA41E7">
            <w:pPr>
              <w:autoSpaceDN/>
              <w:ind w:firstLineChars="45" w:firstLine="72"/>
              <w:rPr>
                <w:rFonts w:ascii="Arial Narrow" w:eastAsia="Times New Roman" w:hAnsi="Arial Narrow" w:cs="Arial"/>
                <w:color w:val="000000"/>
                <w:sz w:val="16"/>
                <w:szCs w:val="16"/>
                <w:lang w:val="en-GB" w:eastAsia="it-IT"/>
              </w:rPr>
            </w:pPr>
            <w:r w:rsidRPr="00C4200B">
              <w:rPr>
                <w:color w:val="000000"/>
                <w:sz w:val="16"/>
                <w:szCs w:val="16"/>
                <w:lang w:val="en"/>
              </w:rPr>
              <w:t xml:space="preserve">·     </w:t>
            </w:r>
            <w:r w:rsidRPr="00C4200B">
              <w:rPr>
                <w:i/>
                <w:color w:val="000000"/>
                <w:sz w:val="16"/>
                <w:szCs w:val="16"/>
                <w:lang w:val="en"/>
              </w:rPr>
              <w:t>Revolving fund for Italian companies</w:t>
            </w:r>
          </w:p>
        </w:tc>
        <w:tc>
          <w:tcPr>
            <w:tcW w:w="1885" w:type="dxa"/>
            <w:shd w:val="clear" w:color="auto" w:fill="D9D9D9"/>
            <w:noWrap/>
            <w:vAlign w:val="center"/>
            <w:hideMark/>
          </w:tcPr>
          <w:p w14:paraId="5E832743"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2022-26</w:t>
            </w:r>
          </w:p>
        </w:tc>
        <w:tc>
          <w:tcPr>
            <w:tcW w:w="807" w:type="dxa"/>
            <w:shd w:val="clear" w:color="auto" w:fill="auto"/>
            <w:noWrap/>
            <w:vAlign w:val="center"/>
            <w:hideMark/>
          </w:tcPr>
          <w:p w14:paraId="68863132"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7,5</w:t>
            </w:r>
          </w:p>
        </w:tc>
        <w:tc>
          <w:tcPr>
            <w:tcW w:w="3021" w:type="dxa"/>
            <w:shd w:val="clear" w:color="auto" w:fill="D9D9D9"/>
            <w:vAlign w:val="center"/>
            <w:hideMark/>
          </w:tcPr>
          <w:p w14:paraId="7F1A2EAA" w14:textId="77777777" w:rsidR="00BD5414" w:rsidRPr="00C4200B" w:rsidRDefault="00BD5414" w:rsidP="00AA41E7">
            <w:pPr>
              <w:autoSpaceDN/>
              <w:jc w:val="center"/>
              <w:rPr>
                <w:rFonts w:ascii="Arial Narrow" w:eastAsia="Times New Roman" w:hAnsi="Arial Narrow" w:cs="Arial"/>
                <w:color w:val="000000"/>
                <w:sz w:val="16"/>
                <w:szCs w:val="16"/>
                <w:lang w:eastAsia="it-IT"/>
              </w:rPr>
            </w:pPr>
          </w:p>
        </w:tc>
      </w:tr>
      <w:tr w:rsidR="00BD5414" w:rsidRPr="00C4200B" w14:paraId="650F0082" w14:textId="77777777" w:rsidTr="00AA41E7">
        <w:trPr>
          <w:trHeight w:val="255"/>
        </w:trPr>
        <w:tc>
          <w:tcPr>
            <w:tcW w:w="3785" w:type="dxa"/>
            <w:shd w:val="clear" w:color="auto" w:fill="auto"/>
            <w:vAlign w:val="center"/>
            <w:hideMark/>
          </w:tcPr>
          <w:p w14:paraId="20E7B3A2" w14:textId="77777777" w:rsidR="00BD5414" w:rsidRPr="00C4200B" w:rsidRDefault="00BD5414" w:rsidP="00AA41E7">
            <w:pPr>
              <w:autoSpaceDN/>
              <w:ind w:firstLineChars="45" w:firstLine="72"/>
              <w:rPr>
                <w:rFonts w:ascii="Arial Narrow" w:eastAsia="Times New Roman" w:hAnsi="Arial Narrow" w:cs="Arial"/>
                <w:color w:val="000000"/>
                <w:sz w:val="16"/>
                <w:szCs w:val="16"/>
                <w:lang w:eastAsia="it-IT"/>
              </w:rPr>
            </w:pPr>
            <w:r w:rsidRPr="00C4200B">
              <w:rPr>
                <w:color w:val="000000"/>
                <w:sz w:val="16"/>
                <w:szCs w:val="16"/>
                <w:lang w:val="en"/>
              </w:rPr>
              <w:t xml:space="preserve">·     </w:t>
            </w:r>
            <w:r w:rsidRPr="00C4200B">
              <w:rPr>
                <w:i/>
                <w:color w:val="000000"/>
                <w:sz w:val="16"/>
                <w:szCs w:val="16"/>
                <w:lang w:val="en"/>
              </w:rPr>
              <w:t>Integrated Promotion Fund</w:t>
            </w:r>
          </w:p>
        </w:tc>
        <w:tc>
          <w:tcPr>
            <w:tcW w:w="1885" w:type="dxa"/>
            <w:shd w:val="clear" w:color="auto" w:fill="D9D9D9"/>
            <w:noWrap/>
            <w:vAlign w:val="center"/>
            <w:hideMark/>
          </w:tcPr>
          <w:p w14:paraId="73E306A5"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2022-26</w:t>
            </w:r>
          </w:p>
        </w:tc>
        <w:tc>
          <w:tcPr>
            <w:tcW w:w="807" w:type="dxa"/>
            <w:shd w:val="clear" w:color="auto" w:fill="auto"/>
            <w:noWrap/>
            <w:vAlign w:val="center"/>
            <w:hideMark/>
          </w:tcPr>
          <w:p w14:paraId="6782DC01"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750</w:t>
            </w:r>
          </w:p>
        </w:tc>
        <w:tc>
          <w:tcPr>
            <w:tcW w:w="3021" w:type="dxa"/>
            <w:shd w:val="clear" w:color="auto" w:fill="D9D9D9"/>
            <w:vAlign w:val="center"/>
            <w:hideMark/>
          </w:tcPr>
          <w:p w14:paraId="223EFA24" w14:textId="77777777" w:rsidR="00BD5414" w:rsidRPr="00C4200B" w:rsidRDefault="00BD5414" w:rsidP="00AA41E7">
            <w:pPr>
              <w:autoSpaceDN/>
              <w:jc w:val="center"/>
              <w:rPr>
                <w:rFonts w:ascii="Arial Narrow" w:eastAsia="Times New Roman" w:hAnsi="Arial Narrow" w:cs="Arial"/>
                <w:color w:val="000000"/>
                <w:sz w:val="16"/>
                <w:szCs w:val="16"/>
                <w:lang w:eastAsia="it-IT"/>
              </w:rPr>
            </w:pPr>
          </w:p>
        </w:tc>
      </w:tr>
      <w:tr w:rsidR="00BD5414" w:rsidRPr="00C4200B" w14:paraId="37F9F60E" w14:textId="77777777" w:rsidTr="00AA41E7">
        <w:trPr>
          <w:trHeight w:val="255"/>
        </w:trPr>
        <w:tc>
          <w:tcPr>
            <w:tcW w:w="3785" w:type="dxa"/>
            <w:shd w:val="clear" w:color="auto" w:fill="auto"/>
            <w:vAlign w:val="center"/>
            <w:hideMark/>
          </w:tcPr>
          <w:p w14:paraId="0B93555E" w14:textId="77777777" w:rsidR="00BD5414" w:rsidRPr="00C4200B" w:rsidRDefault="00BD5414" w:rsidP="00AA41E7">
            <w:pPr>
              <w:autoSpaceDN/>
              <w:rPr>
                <w:rFonts w:ascii="Arial Narrow" w:eastAsia="Times New Roman" w:hAnsi="Arial Narrow" w:cs="Arial"/>
                <w:color w:val="000000"/>
                <w:sz w:val="16"/>
                <w:szCs w:val="16"/>
                <w:lang w:eastAsia="it-IT"/>
              </w:rPr>
            </w:pPr>
            <w:r w:rsidRPr="00C4200B">
              <w:rPr>
                <w:color w:val="000000"/>
                <w:sz w:val="16"/>
                <w:szCs w:val="16"/>
                <w:lang w:val="en"/>
              </w:rPr>
              <w:t>Tax Credit - Transition 4.0</w:t>
            </w:r>
          </w:p>
        </w:tc>
        <w:tc>
          <w:tcPr>
            <w:tcW w:w="1885" w:type="dxa"/>
            <w:shd w:val="clear" w:color="auto" w:fill="D9D9D9"/>
            <w:noWrap/>
            <w:vAlign w:val="center"/>
            <w:hideMark/>
          </w:tcPr>
          <w:p w14:paraId="2E3EBE55"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 xml:space="preserve">   2023-25 </w:t>
            </w:r>
          </w:p>
        </w:tc>
        <w:tc>
          <w:tcPr>
            <w:tcW w:w="807" w:type="dxa"/>
            <w:shd w:val="clear" w:color="auto" w:fill="auto"/>
            <w:noWrap/>
            <w:vAlign w:val="center"/>
            <w:hideMark/>
          </w:tcPr>
          <w:p w14:paraId="38188BC9" w14:textId="77777777" w:rsidR="00BD5414" w:rsidRPr="00C4200B" w:rsidRDefault="00BD5414" w:rsidP="00AA41E7">
            <w:pPr>
              <w:autoSpaceDN/>
              <w:jc w:val="center"/>
              <w:rPr>
                <w:rFonts w:ascii="Arial Narrow" w:eastAsia="Times New Roman" w:hAnsi="Arial Narrow" w:cs="Arial"/>
                <w:color w:val="000000"/>
                <w:sz w:val="16"/>
                <w:szCs w:val="16"/>
                <w:lang w:eastAsia="it-IT"/>
              </w:rPr>
            </w:pPr>
          </w:p>
        </w:tc>
        <w:tc>
          <w:tcPr>
            <w:tcW w:w="3021" w:type="dxa"/>
            <w:shd w:val="clear" w:color="auto" w:fill="D9D9D9"/>
            <w:vAlign w:val="center"/>
            <w:hideMark/>
          </w:tcPr>
          <w:p w14:paraId="20B76DBF"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1051-1063 </w:t>
            </w:r>
          </w:p>
        </w:tc>
      </w:tr>
      <w:tr w:rsidR="00BD5414" w:rsidRPr="00C4200B" w14:paraId="1C7B27E1" w14:textId="77777777" w:rsidTr="00AA41E7">
        <w:trPr>
          <w:trHeight w:val="315"/>
        </w:trPr>
        <w:tc>
          <w:tcPr>
            <w:tcW w:w="3785" w:type="dxa"/>
            <w:shd w:val="clear" w:color="auto" w:fill="auto"/>
            <w:vAlign w:val="center"/>
            <w:hideMark/>
          </w:tcPr>
          <w:p w14:paraId="0B613D5F" w14:textId="77777777" w:rsidR="00BD5414" w:rsidRPr="00C4200B" w:rsidRDefault="00BD5414" w:rsidP="00AA41E7">
            <w:pPr>
              <w:autoSpaceDN/>
              <w:rPr>
                <w:rFonts w:ascii="Arial Narrow" w:eastAsia="Times New Roman" w:hAnsi="Arial Narrow" w:cs="Arial"/>
                <w:color w:val="000000"/>
                <w:sz w:val="16"/>
                <w:szCs w:val="16"/>
                <w:lang w:eastAsia="it-IT"/>
              </w:rPr>
            </w:pPr>
            <w:proofErr w:type="spellStart"/>
            <w:r w:rsidRPr="00C4200B">
              <w:rPr>
                <w:color w:val="000000"/>
                <w:sz w:val="16"/>
                <w:szCs w:val="16"/>
                <w:lang w:val="en"/>
              </w:rPr>
              <w:t>Mezzogiorno</w:t>
            </w:r>
            <w:proofErr w:type="spellEnd"/>
            <w:r w:rsidRPr="00C4200B">
              <w:rPr>
                <w:color w:val="000000"/>
                <w:sz w:val="16"/>
                <w:szCs w:val="16"/>
                <w:lang w:val="en"/>
              </w:rPr>
              <w:t xml:space="preserve"> tax credit</w:t>
            </w:r>
          </w:p>
        </w:tc>
        <w:tc>
          <w:tcPr>
            <w:tcW w:w="1885" w:type="dxa"/>
            <w:shd w:val="clear" w:color="auto" w:fill="D9D9D9"/>
            <w:noWrap/>
            <w:vAlign w:val="center"/>
            <w:hideMark/>
          </w:tcPr>
          <w:p w14:paraId="2C7C2786"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2022</w:t>
            </w:r>
          </w:p>
        </w:tc>
        <w:tc>
          <w:tcPr>
            <w:tcW w:w="807" w:type="dxa"/>
            <w:shd w:val="clear" w:color="auto" w:fill="auto"/>
            <w:noWrap/>
            <w:vAlign w:val="center"/>
            <w:hideMark/>
          </w:tcPr>
          <w:p w14:paraId="32051A7E" w14:textId="77777777" w:rsidR="00BD5414" w:rsidRPr="00C4200B" w:rsidRDefault="00BD5414" w:rsidP="00AA41E7">
            <w:pPr>
              <w:autoSpaceDN/>
              <w:jc w:val="right"/>
              <w:rPr>
                <w:rFonts w:ascii="Arial Narrow" w:eastAsia="Times New Roman" w:hAnsi="Arial Narrow" w:cs="Arial"/>
                <w:color w:val="000000"/>
                <w:sz w:val="16"/>
                <w:szCs w:val="16"/>
                <w:lang w:eastAsia="it-IT"/>
              </w:rPr>
            </w:pPr>
            <w:r w:rsidRPr="00C4200B">
              <w:rPr>
                <w:rFonts w:ascii="Arial Narrow" w:eastAsia="Times New Roman" w:hAnsi="Arial Narrow" w:cs="Arial"/>
                <w:color w:val="000000"/>
                <w:sz w:val="16"/>
                <w:szCs w:val="16"/>
                <w:lang w:eastAsia="it-IT"/>
              </w:rPr>
              <w:t> </w:t>
            </w:r>
          </w:p>
        </w:tc>
        <w:tc>
          <w:tcPr>
            <w:tcW w:w="3021" w:type="dxa"/>
            <w:shd w:val="clear" w:color="auto" w:fill="D9D9D9"/>
            <w:vAlign w:val="center"/>
            <w:hideMark/>
          </w:tcPr>
          <w:p w14:paraId="08D63350" w14:textId="77777777" w:rsidR="00BD5414" w:rsidRPr="00C4200B" w:rsidRDefault="00BD5414" w:rsidP="00AA41E7">
            <w:pPr>
              <w:autoSpaceDN/>
              <w:jc w:val="center"/>
              <w:rPr>
                <w:rFonts w:ascii="Arial Narrow" w:eastAsia="Times New Roman" w:hAnsi="Arial Narrow" w:cs="Arial"/>
                <w:color w:val="000000"/>
                <w:sz w:val="16"/>
                <w:szCs w:val="16"/>
                <w:lang w:eastAsia="it-IT"/>
              </w:rPr>
            </w:pPr>
            <w:r w:rsidRPr="00C4200B">
              <w:rPr>
                <w:color w:val="000000"/>
                <w:sz w:val="16"/>
                <w:szCs w:val="16"/>
                <w:lang w:val="en"/>
              </w:rPr>
              <w:t> 176</w:t>
            </w:r>
          </w:p>
        </w:tc>
      </w:tr>
    </w:tbl>
    <w:p w14:paraId="598F9A86" w14:textId="77777777" w:rsidR="00D76C27" w:rsidRDefault="00D76C27" w:rsidP="00D76C27">
      <w:pPr>
        <w:rPr>
          <w:b/>
          <w:sz w:val="24"/>
          <w:szCs w:val="24"/>
        </w:rPr>
      </w:pPr>
    </w:p>
    <w:p w14:paraId="6AA7B39C" w14:textId="67BCB470" w:rsidR="00D76C27" w:rsidRPr="004309DC" w:rsidRDefault="00BD5414" w:rsidP="00D76C27">
      <w:pPr>
        <w:spacing w:after="80"/>
        <w:jc w:val="both"/>
        <w:rPr>
          <w:rFonts w:ascii="Trebuchet MS" w:eastAsia="Times New Roman" w:hAnsi="Trebuchet MS" w:cs="Arial"/>
          <w:color w:val="595959"/>
          <w:sz w:val="20"/>
          <w:szCs w:val="20"/>
          <w:lang w:val="en-US" w:eastAsia="it-IT"/>
        </w:rPr>
      </w:pPr>
      <w:r w:rsidRPr="004309DC">
        <w:rPr>
          <w:color w:val="595959"/>
          <w:sz w:val="20"/>
          <w:szCs w:val="20"/>
          <w:lang w:val="en"/>
        </w:rPr>
        <w:t xml:space="preserve">The </w:t>
      </w:r>
      <w:r w:rsidRPr="004309DC">
        <w:rPr>
          <w:b/>
          <w:color w:val="595959"/>
          <w:sz w:val="20"/>
          <w:szCs w:val="20"/>
          <w:lang w:val="en"/>
        </w:rPr>
        <w:t>sugar and plastic tax</w:t>
      </w:r>
      <w:r w:rsidRPr="004309DC">
        <w:rPr>
          <w:color w:val="595959"/>
          <w:sz w:val="20"/>
          <w:szCs w:val="20"/>
          <w:lang w:val="en"/>
        </w:rPr>
        <w:t xml:space="preserve"> </w:t>
      </w:r>
      <w:proofErr w:type="gramStart"/>
      <w:r w:rsidRPr="004309DC">
        <w:rPr>
          <w:color w:val="595959"/>
          <w:sz w:val="20"/>
          <w:szCs w:val="20"/>
          <w:lang w:val="en"/>
        </w:rPr>
        <w:t>has</w:t>
      </w:r>
      <w:proofErr w:type="gramEnd"/>
      <w:r w:rsidRPr="004309DC">
        <w:rPr>
          <w:color w:val="595959"/>
          <w:sz w:val="20"/>
          <w:szCs w:val="20"/>
          <w:lang w:val="en"/>
        </w:rPr>
        <w:t xml:space="preserve"> been delayed by 1 year.</w:t>
      </w:r>
      <w:r w:rsidR="00D76C27" w:rsidRPr="004309DC">
        <w:rPr>
          <w:rFonts w:ascii="Trebuchet MS" w:eastAsia="Times New Roman" w:hAnsi="Trebuchet MS" w:cs="Arial"/>
          <w:color w:val="595959"/>
          <w:sz w:val="20"/>
          <w:szCs w:val="20"/>
          <w:lang w:val="en-US" w:eastAsia="it-IT"/>
        </w:rPr>
        <w:t xml:space="preserve"> </w:t>
      </w:r>
    </w:p>
    <w:p w14:paraId="3EA25FEF" w14:textId="1FF11BC9" w:rsidR="00D76C27" w:rsidRPr="00BD5414" w:rsidRDefault="00BD5414" w:rsidP="00D76C27">
      <w:pPr>
        <w:adjustRightInd w:val="0"/>
        <w:spacing w:after="80"/>
        <w:jc w:val="both"/>
        <w:rPr>
          <w:rFonts w:ascii="Trebuchet MS" w:eastAsia="Times New Roman" w:hAnsi="Trebuchet MS" w:cs="Arial"/>
          <w:color w:val="595959"/>
          <w:sz w:val="20"/>
          <w:szCs w:val="20"/>
          <w:lang w:val="en-US" w:eastAsia="it-IT"/>
        </w:rPr>
      </w:pPr>
      <w:r w:rsidRPr="00A83D72">
        <w:rPr>
          <w:color w:val="595959"/>
          <w:sz w:val="20"/>
          <w:szCs w:val="20"/>
          <w:lang w:val="en"/>
        </w:rPr>
        <w:t xml:space="preserve">The </w:t>
      </w:r>
      <w:r w:rsidRPr="00A83D72">
        <w:rPr>
          <w:b/>
          <w:bCs/>
          <w:color w:val="595959"/>
          <w:sz w:val="20"/>
          <w:szCs w:val="20"/>
          <w:lang w:val="en"/>
        </w:rPr>
        <w:t xml:space="preserve">extraordinary intervention </w:t>
      </w:r>
      <w:r w:rsidRPr="00A83D72">
        <w:rPr>
          <w:color w:val="595959"/>
          <w:sz w:val="20"/>
          <w:szCs w:val="20"/>
          <w:lang w:val="en"/>
        </w:rPr>
        <w:t xml:space="preserve">operation </w:t>
      </w:r>
      <w:r w:rsidRPr="00A83D72">
        <w:rPr>
          <w:b/>
          <w:bCs/>
          <w:color w:val="595959"/>
          <w:sz w:val="20"/>
          <w:szCs w:val="20"/>
          <w:lang w:val="en"/>
        </w:rPr>
        <w:t>of the</w:t>
      </w:r>
      <w:r w:rsidRPr="00A83D72">
        <w:rPr>
          <w:color w:val="595959"/>
          <w:sz w:val="20"/>
          <w:szCs w:val="20"/>
          <w:lang w:val="en"/>
        </w:rPr>
        <w:t xml:space="preserve"> </w:t>
      </w:r>
      <w:r w:rsidRPr="00A83D72">
        <w:rPr>
          <w:b/>
          <w:color w:val="595959"/>
          <w:sz w:val="20"/>
          <w:szCs w:val="20"/>
          <w:lang w:val="en"/>
        </w:rPr>
        <w:t>SME Guarantee Fund</w:t>
      </w:r>
      <w:r w:rsidRPr="00A83D72">
        <w:rPr>
          <w:color w:val="595959"/>
          <w:sz w:val="20"/>
          <w:szCs w:val="20"/>
          <w:lang w:val="en"/>
        </w:rPr>
        <w:t xml:space="preserve"> to support the liquidity of companies affected by the epidemiological emergency from COVID has been</w:t>
      </w:r>
      <w:r>
        <w:rPr>
          <w:lang w:val="en"/>
        </w:rPr>
        <w:t xml:space="preserve"> </w:t>
      </w:r>
      <w:r w:rsidRPr="000353CD">
        <w:rPr>
          <w:color w:val="595959"/>
          <w:sz w:val="20"/>
          <w:szCs w:val="20"/>
          <w:lang w:val="en"/>
        </w:rPr>
        <w:t>extended</w:t>
      </w:r>
      <w:r w:rsidRPr="00A83D72">
        <w:rPr>
          <w:color w:val="595959"/>
          <w:sz w:val="20"/>
          <w:szCs w:val="20"/>
          <w:lang w:val="en"/>
        </w:rPr>
        <w:t>.</w:t>
      </w:r>
    </w:p>
    <w:p w14:paraId="76471BC1" w14:textId="2EFA93FA" w:rsidR="00D76C27" w:rsidRPr="00BD5414" w:rsidRDefault="00BD5414" w:rsidP="00D76C27">
      <w:pPr>
        <w:spacing w:after="80"/>
        <w:jc w:val="both"/>
        <w:rPr>
          <w:rFonts w:ascii="Trebuchet MS" w:eastAsia="Times New Roman" w:hAnsi="Trebuchet MS" w:cs="Arial"/>
          <w:color w:val="595959"/>
          <w:sz w:val="20"/>
          <w:szCs w:val="20"/>
          <w:lang w:val="en-US" w:eastAsia="it-IT"/>
        </w:rPr>
      </w:pPr>
      <w:proofErr w:type="spellStart"/>
      <w:r>
        <w:rPr>
          <w:color w:val="595959"/>
          <w:sz w:val="20"/>
          <w:szCs w:val="20"/>
          <w:lang w:val="en-US"/>
        </w:rPr>
        <w:t>T</w:t>
      </w:r>
      <w:r w:rsidRPr="00A83D72">
        <w:rPr>
          <w:color w:val="595959"/>
          <w:sz w:val="20"/>
          <w:szCs w:val="20"/>
          <w:lang w:val="en"/>
        </w:rPr>
        <w:t>he</w:t>
      </w:r>
      <w:proofErr w:type="spellEnd"/>
      <w:r w:rsidRPr="00A83D72">
        <w:rPr>
          <w:color w:val="595959"/>
          <w:sz w:val="20"/>
          <w:szCs w:val="20"/>
          <w:lang w:val="en"/>
        </w:rPr>
        <w:t xml:space="preserve"> so-called "</w:t>
      </w:r>
      <w:r w:rsidRPr="00A83D72">
        <w:rPr>
          <w:b/>
          <w:color w:val="595959"/>
          <w:sz w:val="20"/>
          <w:szCs w:val="20"/>
          <w:lang w:val="en"/>
        </w:rPr>
        <w:t>Nuova Sabatini</w:t>
      </w:r>
      <w:r w:rsidRPr="00A83D72">
        <w:rPr>
          <w:color w:val="595959"/>
          <w:sz w:val="20"/>
          <w:szCs w:val="20"/>
          <w:lang w:val="en"/>
        </w:rPr>
        <w:t xml:space="preserve">" </w:t>
      </w:r>
      <w:r>
        <w:rPr>
          <w:color w:val="595959"/>
          <w:sz w:val="20"/>
          <w:szCs w:val="20"/>
          <w:lang w:val="en"/>
        </w:rPr>
        <w:t>has been r</w:t>
      </w:r>
      <w:r w:rsidRPr="00A83D72">
        <w:rPr>
          <w:color w:val="595959"/>
          <w:sz w:val="20"/>
          <w:szCs w:val="20"/>
          <w:lang w:val="en"/>
        </w:rPr>
        <w:t>efinanced the aim of encouraging companies that invest in new capital goods, both ordinary and attributable to the category "technology 4.0".</w:t>
      </w:r>
      <w:r w:rsidR="00D76C27" w:rsidRPr="00BD5414">
        <w:rPr>
          <w:rFonts w:ascii="Trebuchet MS" w:eastAsia="Times New Roman" w:hAnsi="Trebuchet MS" w:cs="Arial"/>
          <w:color w:val="595959"/>
          <w:sz w:val="20"/>
          <w:szCs w:val="20"/>
          <w:lang w:val="en-US" w:eastAsia="it-IT"/>
        </w:rPr>
        <w:t xml:space="preserve">  </w:t>
      </w:r>
    </w:p>
    <w:p w14:paraId="2100A357" w14:textId="1603D695" w:rsidR="00D76C27" w:rsidRPr="00D17C64" w:rsidRDefault="00D17C64" w:rsidP="00D76C27">
      <w:pPr>
        <w:spacing w:after="80"/>
        <w:jc w:val="both"/>
        <w:rPr>
          <w:rFonts w:ascii="Trebuchet MS" w:eastAsia="Times New Roman" w:hAnsi="Trebuchet MS" w:cs="Arial"/>
          <w:color w:val="595959"/>
          <w:sz w:val="20"/>
          <w:szCs w:val="20"/>
          <w:lang w:val="en-US" w:eastAsia="it-IT"/>
        </w:rPr>
      </w:pPr>
      <w:r>
        <w:rPr>
          <w:color w:val="595959"/>
          <w:sz w:val="20"/>
          <w:szCs w:val="20"/>
          <w:lang w:val="en"/>
        </w:rPr>
        <w:t>T</w:t>
      </w:r>
      <w:r w:rsidRPr="00A83D72">
        <w:rPr>
          <w:color w:val="595959"/>
          <w:sz w:val="20"/>
          <w:szCs w:val="20"/>
          <w:lang w:val="en"/>
        </w:rPr>
        <w:t>he endowment of the Revolving Fund in favor of Italian companies operating on foreign markets and the endowment of the Fund for integrated promotion have been increased</w:t>
      </w:r>
      <w:r>
        <w:rPr>
          <w:color w:val="595959"/>
          <w:sz w:val="20"/>
          <w:szCs w:val="20"/>
          <w:lang w:val="en"/>
        </w:rPr>
        <w:t xml:space="preserve">, </w:t>
      </w:r>
      <w:proofErr w:type="gramStart"/>
      <w:r>
        <w:rPr>
          <w:color w:val="595959"/>
          <w:sz w:val="20"/>
          <w:szCs w:val="20"/>
          <w:lang w:val="en"/>
        </w:rPr>
        <w:t>in order</w:t>
      </w:r>
      <w:r w:rsidRPr="00E102E9">
        <w:rPr>
          <w:color w:val="595959"/>
          <w:sz w:val="20"/>
          <w:szCs w:val="20"/>
          <w:lang w:val="en"/>
        </w:rPr>
        <w:t xml:space="preserve"> </w:t>
      </w:r>
      <w:r>
        <w:rPr>
          <w:color w:val="595959"/>
          <w:sz w:val="20"/>
          <w:szCs w:val="20"/>
          <w:lang w:val="en"/>
        </w:rPr>
        <w:t>t</w:t>
      </w:r>
      <w:r w:rsidRPr="00A83D72">
        <w:rPr>
          <w:color w:val="595959"/>
          <w:sz w:val="20"/>
          <w:szCs w:val="20"/>
          <w:lang w:val="en"/>
        </w:rPr>
        <w:t>o</w:t>
      </w:r>
      <w:proofErr w:type="gramEnd"/>
      <w:r w:rsidRPr="00A83D72">
        <w:rPr>
          <w:color w:val="595959"/>
          <w:sz w:val="20"/>
          <w:szCs w:val="20"/>
          <w:lang w:val="en"/>
        </w:rPr>
        <w:t xml:space="preserve"> promote </w:t>
      </w:r>
      <w:r w:rsidRPr="00A83D72">
        <w:rPr>
          <w:b/>
          <w:color w:val="595959"/>
          <w:sz w:val="20"/>
          <w:szCs w:val="20"/>
          <w:lang w:val="en"/>
        </w:rPr>
        <w:t>the internationalization of companies</w:t>
      </w:r>
      <w:r w:rsidRPr="00A83D72">
        <w:rPr>
          <w:color w:val="595959"/>
          <w:sz w:val="20"/>
          <w:szCs w:val="20"/>
          <w:lang w:val="en"/>
        </w:rPr>
        <w:t>.</w:t>
      </w:r>
      <w:r w:rsidR="00D76C27" w:rsidRPr="00D17C64">
        <w:rPr>
          <w:rFonts w:ascii="Trebuchet MS" w:eastAsia="Times New Roman" w:hAnsi="Trebuchet MS" w:cs="Arial"/>
          <w:color w:val="595959"/>
          <w:sz w:val="20"/>
          <w:szCs w:val="20"/>
          <w:lang w:val="en-US" w:eastAsia="it-IT"/>
        </w:rPr>
        <w:t xml:space="preserve"> </w:t>
      </w:r>
    </w:p>
    <w:p w14:paraId="30870D8F" w14:textId="42472BB4" w:rsidR="00D76C27" w:rsidRPr="00D17C64" w:rsidRDefault="00D17C64" w:rsidP="00D76C27">
      <w:pPr>
        <w:spacing w:after="80"/>
        <w:jc w:val="both"/>
        <w:rPr>
          <w:rFonts w:ascii="Trebuchet MS" w:eastAsia="Times New Roman" w:hAnsi="Trebuchet MS" w:cs="Arial"/>
          <w:color w:val="595959"/>
          <w:sz w:val="20"/>
          <w:szCs w:val="20"/>
          <w:lang w:val="en-US" w:eastAsia="it-IT"/>
        </w:rPr>
      </w:pPr>
      <w:r w:rsidRPr="00A83D72">
        <w:rPr>
          <w:color w:val="595959"/>
          <w:sz w:val="20"/>
          <w:szCs w:val="20"/>
          <w:lang w:val="en"/>
        </w:rPr>
        <w:t xml:space="preserve">The </w:t>
      </w:r>
      <w:r w:rsidRPr="00A83D72">
        <w:rPr>
          <w:b/>
          <w:color w:val="595959"/>
          <w:sz w:val="20"/>
          <w:szCs w:val="20"/>
          <w:lang w:val="en"/>
        </w:rPr>
        <w:t xml:space="preserve">tax credit </w:t>
      </w:r>
      <w:r w:rsidRPr="00A83D72">
        <w:rPr>
          <w:color w:val="595959"/>
          <w:sz w:val="20"/>
          <w:szCs w:val="20"/>
          <w:lang w:val="en"/>
        </w:rPr>
        <w:t>for investments in capital goods "</w:t>
      </w:r>
      <w:r w:rsidRPr="00A83D72">
        <w:rPr>
          <w:b/>
          <w:color w:val="595959"/>
          <w:sz w:val="20"/>
          <w:szCs w:val="20"/>
          <w:lang w:val="en"/>
        </w:rPr>
        <w:t>transition 4.0</w:t>
      </w:r>
      <w:r w:rsidRPr="00A83D72">
        <w:rPr>
          <w:color w:val="595959"/>
          <w:sz w:val="20"/>
          <w:szCs w:val="20"/>
          <w:lang w:val="en"/>
        </w:rPr>
        <w:t xml:space="preserve">" and the tax credit for investments in </w:t>
      </w:r>
      <w:r w:rsidRPr="00A83D72">
        <w:rPr>
          <w:b/>
          <w:color w:val="595959"/>
          <w:sz w:val="20"/>
          <w:szCs w:val="20"/>
          <w:lang w:val="en"/>
        </w:rPr>
        <w:t>research and development</w:t>
      </w:r>
      <w:r w:rsidRPr="00A83D72">
        <w:rPr>
          <w:color w:val="595959"/>
          <w:sz w:val="20"/>
          <w:szCs w:val="20"/>
          <w:lang w:val="en"/>
        </w:rPr>
        <w:t xml:space="preserve">, in </w:t>
      </w:r>
      <w:r w:rsidRPr="00A83D72">
        <w:rPr>
          <w:b/>
          <w:color w:val="595959"/>
          <w:sz w:val="20"/>
          <w:szCs w:val="20"/>
          <w:lang w:val="en"/>
        </w:rPr>
        <w:t>ecological transition</w:t>
      </w:r>
      <w:r>
        <w:rPr>
          <w:lang w:val="en"/>
        </w:rPr>
        <w:t xml:space="preserve">, </w:t>
      </w:r>
      <w:r w:rsidRPr="00A83D72">
        <w:rPr>
          <w:color w:val="595959"/>
          <w:sz w:val="20"/>
          <w:szCs w:val="20"/>
          <w:lang w:val="en"/>
        </w:rPr>
        <w:t xml:space="preserve">in </w:t>
      </w:r>
      <w:r w:rsidRPr="00A83D72">
        <w:rPr>
          <w:b/>
          <w:color w:val="595959"/>
          <w:sz w:val="20"/>
          <w:szCs w:val="20"/>
          <w:lang w:val="en"/>
        </w:rPr>
        <w:t>technological innovation 4.0</w:t>
      </w:r>
      <w:r w:rsidRPr="00A83D72">
        <w:rPr>
          <w:color w:val="595959"/>
          <w:sz w:val="20"/>
          <w:szCs w:val="20"/>
          <w:lang w:val="en"/>
        </w:rPr>
        <w:t xml:space="preserve"> and in other innovative activities</w:t>
      </w:r>
      <w:r>
        <w:rPr>
          <w:lang w:val="en"/>
        </w:rPr>
        <w:t xml:space="preserve"> have been extended</w:t>
      </w:r>
      <w:r>
        <w:rPr>
          <w:color w:val="595959"/>
          <w:sz w:val="20"/>
          <w:szCs w:val="20"/>
          <w:lang w:val="en"/>
        </w:rPr>
        <w:t>.</w:t>
      </w:r>
      <w:r w:rsidR="00D76C27" w:rsidRPr="00D17C64">
        <w:rPr>
          <w:rFonts w:ascii="Trebuchet MS" w:eastAsia="Times New Roman" w:hAnsi="Trebuchet MS" w:cs="Arial"/>
          <w:color w:val="595959"/>
          <w:sz w:val="20"/>
          <w:szCs w:val="20"/>
          <w:lang w:val="en-US" w:eastAsia="it-IT"/>
        </w:rPr>
        <w:t xml:space="preserve"> </w:t>
      </w:r>
    </w:p>
    <w:p w14:paraId="5FB62B4B" w14:textId="4615439C" w:rsidR="00D76C27" w:rsidRDefault="00D17C64" w:rsidP="00346AFB">
      <w:pPr>
        <w:jc w:val="both"/>
        <w:rPr>
          <w:color w:val="595959"/>
          <w:sz w:val="20"/>
          <w:szCs w:val="20"/>
          <w:lang w:val="en"/>
        </w:rPr>
      </w:pPr>
      <w:r w:rsidRPr="00C667A4">
        <w:rPr>
          <w:color w:val="595959"/>
          <w:sz w:val="20"/>
          <w:szCs w:val="20"/>
          <w:lang w:val="en"/>
        </w:rPr>
        <w:t xml:space="preserve">The tax credits for research and development activities, technological innovation and design and aesthetic ideation activities, other innovative activities for ecological transition objectives or digital innovation 4.0 have also been extended and remodulated. Finally, the </w:t>
      </w:r>
      <w:proofErr w:type="spellStart"/>
      <w:r w:rsidRPr="00C667A4">
        <w:rPr>
          <w:color w:val="595959"/>
          <w:sz w:val="20"/>
          <w:szCs w:val="20"/>
          <w:lang w:val="en"/>
        </w:rPr>
        <w:t>Mezzogiorno</w:t>
      </w:r>
      <w:proofErr w:type="spellEnd"/>
      <w:r w:rsidRPr="00C667A4">
        <w:rPr>
          <w:color w:val="595959"/>
          <w:sz w:val="20"/>
          <w:szCs w:val="20"/>
          <w:lang w:val="en"/>
        </w:rPr>
        <w:t xml:space="preserve"> Tax Credit for the purchase, also through leasing, of goods (machiner</w:t>
      </w:r>
      <w:r>
        <w:rPr>
          <w:color w:val="595959"/>
          <w:sz w:val="20"/>
          <w:szCs w:val="20"/>
          <w:lang w:val="en"/>
        </w:rPr>
        <w:t>ies</w:t>
      </w:r>
      <w:r w:rsidRPr="00C667A4">
        <w:rPr>
          <w:color w:val="595959"/>
          <w:sz w:val="20"/>
          <w:szCs w:val="20"/>
          <w:lang w:val="en"/>
        </w:rPr>
        <w:t xml:space="preserve">, </w:t>
      </w:r>
      <w:proofErr w:type="gramStart"/>
      <w:r w:rsidRPr="00C667A4">
        <w:rPr>
          <w:color w:val="595959"/>
          <w:sz w:val="20"/>
          <w:szCs w:val="20"/>
          <w:lang w:val="en"/>
        </w:rPr>
        <w:t>plants</w:t>
      </w:r>
      <w:proofErr w:type="gramEnd"/>
      <w:r w:rsidRPr="00C667A4">
        <w:rPr>
          <w:color w:val="595959"/>
          <w:sz w:val="20"/>
          <w:szCs w:val="20"/>
          <w:lang w:val="en"/>
        </w:rPr>
        <w:t xml:space="preserve"> and equipment) instrumental to business activity and part of the company's production cycle and intended for production facilities located in the</w:t>
      </w:r>
      <w:r>
        <w:rPr>
          <w:color w:val="595959"/>
          <w:sz w:val="20"/>
          <w:szCs w:val="20"/>
          <w:lang w:val="en"/>
        </w:rPr>
        <w:t xml:space="preserve"> Southern </w:t>
      </w:r>
      <w:r w:rsidRPr="00C667A4">
        <w:rPr>
          <w:color w:val="595959"/>
          <w:sz w:val="20"/>
          <w:szCs w:val="20"/>
          <w:lang w:val="en"/>
        </w:rPr>
        <w:t xml:space="preserve">regions (Campania, </w:t>
      </w:r>
      <w:r>
        <w:rPr>
          <w:color w:val="595959"/>
          <w:sz w:val="20"/>
          <w:szCs w:val="20"/>
          <w:lang w:val="en"/>
        </w:rPr>
        <w:t>Apulia</w:t>
      </w:r>
      <w:r w:rsidRPr="00C667A4">
        <w:rPr>
          <w:color w:val="595959"/>
          <w:sz w:val="20"/>
          <w:szCs w:val="20"/>
          <w:lang w:val="en"/>
        </w:rPr>
        <w:t>, Basilicata, Calabria, Sicily, Molise, Sardinia and Abruzzo).</w:t>
      </w:r>
    </w:p>
    <w:p w14:paraId="31F1466B" w14:textId="77777777" w:rsidR="00D17C64" w:rsidRDefault="00D17C64" w:rsidP="00346AFB">
      <w:pPr>
        <w:jc w:val="both"/>
        <w:rPr>
          <w:color w:val="595959"/>
          <w:sz w:val="20"/>
          <w:szCs w:val="20"/>
          <w:lang w:val="en"/>
        </w:rPr>
      </w:pPr>
    </w:p>
    <w:p w14:paraId="10274D7E" w14:textId="77777777" w:rsidR="00D17C64" w:rsidRPr="00D17C64" w:rsidRDefault="00D17C64" w:rsidP="00346AFB">
      <w:pPr>
        <w:jc w:val="both"/>
        <w:rPr>
          <w:b/>
          <w:sz w:val="24"/>
          <w:szCs w:val="24"/>
          <w:lang w:val="en-US"/>
        </w:rPr>
      </w:pPr>
    </w:p>
    <w:bookmarkEnd w:id="0"/>
    <w:p w14:paraId="4D772963" w14:textId="77777777" w:rsidR="005E4366" w:rsidRPr="009B3D4B" w:rsidRDefault="005E4366" w:rsidP="005E4366">
      <w:pPr>
        <w:rPr>
          <w:b/>
          <w:bCs/>
          <w:color w:val="595959"/>
          <w:w w:val="0"/>
          <w:lang w:val="en-US"/>
        </w:rPr>
      </w:pPr>
      <w:r w:rsidRPr="009B3D4B">
        <w:rPr>
          <w:b/>
          <w:bCs/>
          <w:color w:val="595959"/>
          <w:w w:val="0"/>
          <w:lang w:val="en-US"/>
        </w:rPr>
        <w:lastRenderedPageBreak/>
        <w:t>NRRP and agriculture</w:t>
      </w:r>
    </w:p>
    <w:p w14:paraId="6F7B8943" w14:textId="77777777" w:rsidR="005E4366" w:rsidRPr="009B3D4B" w:rsidRDefault="005E4366" w:rsidP="005E4366">
      <w:pPr>
        <w:rPr>
          <w:w w:val="0"/>
          <w:lang w:val="en-US"/>
        </w:rPr>
      </w:pPr>
    </w:p>
    <w:p w14:paraId="714DC86C" w14:textId="77777777" w:rsidR="005E4366" w:rsidRPr="009B3D4B" w:rsidRDefault="005E4366" w:rsidP="005E4366">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The National Recovery and Resilience Plans (NRRPs) originated as a common response to the pandemic and the economic and social effects brought about by the health crisis due to COVID-19. In fact, the gravity of the situation had quickly brought to light the need to strengthen the existing EU framework supporting </w:t>
      </w:r>
      <w:r>
        <w:rPr>
          <w:rFonts w:ascii="Trebuchet MS" w:hAnsi="Trebuchet MS" w:cs="Trebuchet MS"/>
          <w:color w:val="595959"/>
          <w:w w:val="0"/>
          <w:sz w:val="20"/>
          <w:szCs w:val="20"/>
          <w:lang w:val="en-US"/>
        </w:rPr>
        <w:t>M</w:t>
      </w:r>
      <w:r w:rsidRPr="009B3D4B">
        <w:rPr>
          <w:rFonts w:ascii="Trebuchet MS" w:hAnsi="Trebuchet MS" w:cs="Trebuchet MS"/>
          <w:color w:val="595959"/>
          <w:w w:val="0"/>
          <w:sz w:val="20"/>
          <w:szCs w:val="20"/>
          <w:lang w:val="en-US"/>
        </w:rPr>
        <w:t xml:space="preserve">ember States, leading to the introduction of a new financial instrument: the Next Generation EU (NGEU). </w:t>
      </w:r>
    </w:p>
    <w:p w14:paraId="500EC574" w14:textId="77777777" w:rsidR="005E4366" w:rsidRPr="009B3D4B" w:rsidRDefault="005E4366" w:rsidP="005E4366">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The Next Generation EU has an allocation of €750 billion </w:t>
      </w:r>
      <w:r>
        <w:rPr>
          <w:rFonts w:ascii="Trebuchet MS" w:hAnsi="Trebuchet MS" w:cs="Trebuchet MS"/>
          <w:color w:val="595959"/>
          <w:w w:val="0"/>
          <w:sz w:val="20"/>
          <w:szCs w:val="20"/>
          <w:lang w:val="en-US"/>
        </w:rPr>
        <w:t>at</w:t>
      </w:r>
      <w:r w:rsidRPr="009B3D4B">
        <w:rPr>
          <w:rFonts w:ascii="Trebuchet MS" w:hAnsi="Trebuchet MS" w:cs="Trebuchet MS"/>
          <w:color w:val="595959"/>
          <w:w w:val="0"/>
          <w:sz w:val="20"/>
          <w:szCs w:val="20"/>
          <w:lang w:val="en-US"/>
        </w:rPr>
        <w:t xml:space="preserve"> 2018 prices (including €390 billion as grants and €360 billion as loans); the bulk of these resources, totaling €672.5 billion (including €312.5 billion as grants and €360 billion as low-interest loans), are earmarked for the Recovery and Resilience Facility to cope with the crisis due to COVID-19. </w:t>
      </w:r>
    </w:p>
    <w:p w14:paraId="61B9D479" w14:textId="77777777" w:rsidR="005E4366" w:rsidRPr="009B3D4B" w:rsidRDefault="005E4366" w:rsidP="005E4366">
      <w:pPr>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The different impact on </w:t>
      </w:r>
      <w:r>
        <w:rPr>
          <w:rFonts w:ascii="Trebuchet MS" w:hAnsi="Trebuchet MS" w:cs="Trebuchet MS"/>
          <w:color w:val="595959"/>
          <w:w w:val="0"/>
          <w:sz w:val="20"/>
          <w:szCs w:val="20"/>
          <w:lang w:val="en-US"/>
        </w:rPr>
        <w:t>M</w:t>
      </w:r>
      <w:r w:rsidRPr="009B3D4B">
        <w:rPr>
          <w:rFonts w:ascii="Trebuchet MS" w:hAnsi="Trebuchet MS" w:cs="Trebuchet MS"/>
          <w:color w:val="595959"/>
          <w:w w:val="0"/>
          <w:sz w:val="20"/>
          <w:szCs w:val="20"/>
          <w:lang w:val="en-US"/>
        </w:rPr>
        <w:t xml:space="preserve">ember States depended on the different spread and intensity of the health crisis in national contexts, macroeconomic </w:t>
      </w:r>
      <w:proofErr w:type="gramStart"/>
      <w:r w:rsidRPr="009B3D4B">
        <w:rPr>
          <w:rFonts w:ascii="Trebuchet MS" w:hAnsi="Trebuchet MS" w:cs="Trebuchet MS"/>
          <w:color w:val="595959"/>
          <w:w w:val="0"/>
          <w:sz w:val="20"/>
          <w:szCs w:val="20"/>
          <w:lang w:val="en-US"/>
        </w:rPr>
        <w:t>soundness</w:t>
      </w:r>
      <w:proofErr w:type="gramEnd"/>
      <w:r w:rsidRPr="009B3D4B">
        <w:rPr>
          <w:rFonts w:ascii="Trebuchet MS" w:hAnsi="Trebuchet MS" w:cs="Trebuchet MS"/>
          <w:color w:val="595959"/>
          <w:w w:val="0"/>
          <w:sz w:val="20"/>
          <w:szCs w:val="20"/>
          <w:lang w:val="en-US"/>
        </w:rPr>
        <w:t xml:space="preserve"> and structural characteristics of each country.</w:t>
      </w:r>
    </w:p>
    <w:p w14:paraId="3118FDED" w14:textId="77777777" w:rsidR="005E4366" w:rsidRPr="009B3D4B" w:rsidRDefault="005E4366" w:rsidP="005E4366">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Each country received</w:t>
      </w:r>
      <w:r>
        <w:rPr>
          <w:rFonts w:ascii="Trebuchet MS" w:hAnsi="Trebuchet MS" w:cs="Trebuchet MS"/>
          <w:color w:val="595959"/>
          <w:w w:val="0"/>
          <w:sz w:val="20"/>
          <w:szCs w:val="20"/>
          <w:lang w:val="en-US"/>
        </w:rPr>
        <w:t xml:space="preserve"> the highest endowment of grants</w:t>
      </w:r>
      <w:r w:rsidRPr="009B3D4B">
        <w:rPr>
          <w:rFonts w:ascii="Trebuchet MS" w:hAnsi="Trebuchet MS" w:cs="Trebuchet MS"/>
          <w:color w:val="595959"/>
          <w:w w:val="0"/>
          <w:sz w:val="20"/>
          <w:szCs w:val="20"/>
          <w:lang w:val="en-US"/>
        </w:rPr>
        <w:t xml:space="preserve">, determined by predefined objective criteria, </w:t>
      </w:r>
      <w:proofErr w:type="gramStart"/>
      <w:r w:rsidRPr="009B3D4B">
        <w:rPr>
          <w:rFonts w:ascii="Trebuchet MS" w:hAnsi="Trebuchet MS" w:cs="Trebuchet MS"/>
          <w:color w:val="595959"/>
          <w:w w:val="0"/>
          <w:sz w:val="20"/>
          <w:szCs w:val="20"/>
          <w:lang w:val="en-US"/>
        </w:rPr>
        <w:t>taking into account</w:t>
      </w:r>
      <w:proofErr w:type="gramEnd"/>
      <w:r w:rsidRPr="009B3D4B">
        <w:rPr>
          <w:rFonts w:ascii="Trebuchet MS" w:hAnsi="Trebuchet MS" w:cs="Trebuchet MS"/>
          <w:color w:val="595959"/>
          <w:w w:val="0"/>
          <w:sz w:val="20"/>
          <w:szCs w:val="20"/>
          <w:lang w:val="en-US"/>
        </w:rPr>
        <w:t xml:space="preserve"> population, GDP per capita and unemployment. This </w:t>
      </w:r>
      <w:r>
        <w:rPr>
          <w:rFonts w:ascii="Trebuchet MS" w:hAnsi="Trebuchet MS" w:cs="Trebuchet MS"/>
          <w:color w:val="595959"/>
          <w:w w:val="0"/>
          <w:sz w:val="20"/>
          <w:szCs w:val="20"/>
          <w:lang w:val="en-US"/>
        </w:rPr>
        <w:t xml:space="preserve">suggests </w:t>
      </w:r>
      <w:r w:rsidRPr="009B3D4B">
        <w:rPr>
          <w:rFonts w:ascii="Trebuchet MS" w:hAnsi="Trebuchet MS" w:cs="Trebuchet MS"/>
          <w:color w:val="595959"/>
          <w:w w:val="0"/>
          <w:sz w:val="20"/>
          <w:szCs w:val="20"/>
          <w:lang w:val="en-US"/>
        </w:rPr>
        <w:t xml:space="preserve">that </w:t>
      </w:r>
      <w:r>
        <w:rPr>
          <w:rFonts w:ascii="Trebuchet MS" w:hAnsi="Trebuchet MS" w:cs="Trebuchet MS"/>
          <w:color w:val="595959"/>
          <w:w w:val="0"/>
          <w:sz w:val="20"/>
          <w:szCs w:val="20"/>
          <w:lang w:val="en-US"/>
        </w:rPr>
        <w:t xml:space="preserve">a higher </w:t>
      </w:r>
      <w:r w:rsidRPr="009B3D4B">
        <w:rPr>
          <w:rFonts w:ascii="Trebuchet MS" w:hAnsi="Trebuchet MS" w:cs="Trebuchet MS"/>
          <w:color w:val="595959"/>
          <w:w w:val="0"/>
          <w:sz w:val="20"/>
          <w:szCs w:val="20"/>
          <w:lang w:val="en-US"/>
        </w:rPr>
        <w:t xml:space="preserve">allocation of funds </w:t>
      </w:r>
      <w:r>
        <w:rPr>
          <w:rFonts w:ascii="Trebuchet MS" w:hAnsi="Trebuchet MS" w:cs="Trebuchet MS"/>
          <w:color w:val="595959"/>
          <w:w w:val="0"/>
          <w:sz w:val="20"/>
          <w:szCs w:val="20"/>
          <w:lang w:val="en-US"/>
        </w:rPr>
        <w:t xml:space="preserve">has been granted to </w:t>
      </w:r>
      <w:r w:rsidRPr="009B3D4B">
        <w:rPr>
          <w:rFonts w:ascii="Trebuchet MS" w:hAnsi="Trebuchet MS" w:cs="Trebuchet MS"/>
          <w:color w:val="595959"/>
          <w:w w:val="0"/>
          <w:sz w:val="20"/>
          <w:szCs w:val="20"/>
          <w:lang w:val="en-US"/>
        </w:rPr>
        <w:t>th</w:t>
      </w:r>
      <w:r>
        <w:rPr>
          <w:rFonts w:ascii="Trebuchet MS" w:hAnsi="Trebuchet MS" w:cs="Trebuchet MS"/>
          <w:color w:val="595959"/>
          <w:w w:val="0"/>
          <w:sz w:val="20"/>
          <w:szCs w:val="20"/>
          <w:lang w:val="en-US"/>
        </w:rPr>
        <w:t>ose</w:t>
      </w:r>
      <w:r w:rsidRPr="009B3D4B">
        <w:rPr>
          <w:rFonts w:ascii="Trebuchet MS" w:hAnsi="Trebuchet MS" w:cs="Trebuchet MS"/>
          <w:color w:val="595959"/>
          <w:w w:val="0"/>
          <w:sz w:val="20"/>
          <w:szCs w:val="20"/>
          <w:lang w:val="en-US"/>
        </w:rPr>
        <w:t xml:space="preserve"> countries </w:t>
      </w:r>
      <w:r>
        <w:rPr>
          <w:rFonts w:ascii="Trebuchet MS" w:hAnsi="Trebuchet MS" w:cs="Trebuchet MS"/>
          <w:color w:val="595959"/>
          <w:w w:val="0"/>
          <w:sz w:val="20"/>
          <w:szCs w:val="20"/>
          <w:lang w:val="en-US"/>
        </w:rPr>
        <w:t xml:space="preserve">that have suffered most severely from </w:t>
      </w:r>
      <w:r w:rsidRPr="009B3D4B">
        <w:rPr>
          <w:rFonts w:ascii="Trebuchet MS" w:hAnsi="Trebuchet MS" w:cs="Trebuchet MS"/>
          <w:color w:val="595959"/>
          <w:w w:val="0"/>
          <w:sz w:val="20"/>
          <w:szCs w:val="20"/>
          <w:lang w:val="en-US"/>
        </w:rPr>
        <w:t>the pandemic</w:t>
      </w:r>
      <w:r>
        <w:rPr>
          <w:rFonts w:ascii="Trebuchet MS" w:hAnsi="Trebuchet MS" w:cs="Trebuchet MS"/>
          <w:color w:val="595959"/>
          <w:w w:val="0"/>
          <w:sz w:val="20"/>
          <w:szCs w:val="20"/>
          <w:lang w:val="en-US"/>
        </w:rPr>
        <w:t xml:space="preserve"> and</w:t>
      </w:r>
      <w:r w:rsidRPr="009B3D4B">
        <w:rPr>
          <w:rFonts w:ascii="Trebuchet MS" w:hAnsi="Trebuchet MS" w:cs="Trebuchet MS"/>
          <w:color w:val="595959"/>
          <w:w w:val="0"/>
          <w:sz w:val="20"/>
          <w:szCs w:val="20"/>
          <w:lang w:val="en-US"/>
        </w:rPr>
        <w:t xml:space="preserve"> those with low per capita income and high unemployment rate</w:t>
      </w:r>
    </w:p>
    <w:p w14:paraId="26D22A04" w14:textId="77777777" w:rsidR="005E4366" w:rsidRPr="009B3D4B" w:rsidRDefault="005E4366" w:rsidP="005E4366">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Based on these parameters, Italy is the first beneficiary in absolute value, receiving a total </w:t>
      </w:r>
      <w:r>
        <w:rPr>
          <w:rFonts w:ascii="Trebuchet MS" w:hAnsi="Trebuchet MS" w:cs="Trebuchet MS"/>
          <w:color w:val="595959"/>
          <w:w w:val="0"/>
          <w:sz w:val="20"/>
          <w:szCs w:val="20"/>
          <w:lang w:val="en-US"/>
        </w:rPr>
        <w:t xml:space="preserve">amount </w:t>
      </w:r>
      <w:r w:rsidRPr="009B3D4B">
        <w:rPr>
          <w:rFonts w:ascii="Trebuchet MS" w:hAnsi="Trebuchet MS" w:cs="Trebuchet MS"/>
          <w:color w:val="595959"/>
          <w:w w:val="0"/>
          <w:sz w:val="20"/>
          <w:szCs w:val="20"/>
          <w:lang w:val="en-US"/>
        </w:rPr>
        <w:t>of 191.5 billion euros, to be used in the 2021-2026</w:t>
      </w:r>
      <w:r>
        <w:rPr>
          <w:rFonts w:ascii="Trebuchet MS" w:hAnsi="Trebuchet MS" w:cs="Trebuchet MS"/>
          <w:color w:val="595959"/>
          <w:w w:val="0"/>
          <w:sz w:val="20"/>
          <w:szCs w:val="20"/>
          <w:lang w:val="en-US"/>
        </w:rPr>
        <w:t xml:space="preserve"> </w:t>
      </w:r>
      <w:r w:rsidRPr="009B3D4B">
        <w:rPr>
          <w:rFonts w:ascii="Trebuchet MS" w:hAnsi="Trebuchet MS" w:cs="Trebuchet MS"/>
          <w:color w:val="595959"/>
          <w:w w:val="0"/>
          <w:sz w:val="20"/>
          <w:szCs w:val="20"/>
          <w:lang w:val="en-US"/>
        </w:rPr>
        <w:t xml:space="preserve">period. In addition, on April 15, 2021, the Council of Ministers supplemented this endowment with the establishment of a complementary National Fund for additional 30.6 billion euros (Decree Law 59 of 2021), thus reaching a total combined funds of 222.1 billion euros with the aim of achieving the priorities and objectives of the NRRP. </w:t>
      </w:r>
    </w:p>
    <w:p w14:paraId="67A2A8C7" w14:textId="77777777" w:rsidR="005E4366" w:rsidRPr="009B3D4B" w:rsidRDefault="005E4366" w:rsidP="005E4366">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The profound change in the international situation, brought about by the conflict in Ukraine, could lead to an increased focus on food and energy security issues.</w:t>
      </w:r>
      <w:r>
        <w:rPr>
          <w:rFonts w:ascii="Trebuchet MS" w:hAnsi="Trebuchet MS" w:cs="Trebuchet MS"/>
          <w:color w:val="595959"/>
          <w:w w:val="0"/>
          <w:sz w:val="20"/>
          <w:szCs w:val="20"/>
          <w:lang w:val="en-US"/>
        </w:rPr>
        <w:t xml:space="preserve"> In such a perspective</w:t>
      </w:r>
      <w:r w:rsidRPr="009B3D4B">
        <w:rPr>
          <w:rFonts w:ascii="Trebuchet MS" w:hAnsi="Trebuchet MS" w:cs="Trebuchet MS"/>
          <w:color w:val="595959"/>
          <w:w w:val="0"/>
          <w:sz w:val="20"/>
          <w:szCs w:val="20"/>
          <w:lang w:val="en-US"/>
        </w:rPr>
        <w:t xml:space="preserve">, </w:t>
      </w:r>
      <w:r>
        <w:rPr>
          <w:rFonts w:ascii="Trebuchet MS" w:hAnsi="Trebuchet MS" w:cs="Trebuchet MS"/>
          <w:color w:val="595959"/>
          <w:w w:val="0"/>
          <w:sz w:val="20"/>
          <w:szCs w:val="20"/>
          <w:lang w:val="en-US"/>
        </w:rPr>
        <w:t>and with respect to</w:t>
      </w:r>
      <w:r w:rsidRPr="009B3D4B">
        <w:rPr>
          <w:rFonts w:ascii="Trebuchet MS" w:hAnsi="Trebuchet MS" w:cs="Trebuchet MS"/>
          <w:color w:val="595959"/>
          <w:w w:val="0"/>
          <w:sz w:val="20"/>
          <w:szCs w:val="20"/>
          <w:lang w:val="en-US"/>
        </w:rPr>
        <w:t xml:space="preserve"> the agricultural sector, </w:t>
      </w:r>
      <w:r>
        <w:rPr>
          <w:rFonts w:ascii="Trebuchet MS" w:hAnsi="Trebuchet MS" w:cs="Trebuchet MS"/>
          <w:color w:val="595959"/>
          <w:w w:val="0"/>
          <w:sz w:val="20"/>
          <w:szCs w:val="20"/>
          <w:lang w:val="en-US"/>
        </w:rPr>
        <w:t>M</w:t>
      </w:r>
      <w:r w:rsidRPr="009B3D4B">
        <w:rPr>
          <w:rFonts w:ascii="Trebuchet MS" w:hAnsi="Trebuchet MS" w:cs="Trebuchet MS"/>
          <w:color w:val="595959"/>
          <w:w w:val="0"/>
          <w:sz w:val="20"/>
          <w:szCs w:val="20"/>
          <w:lang w:val="en-US"/>
        </w:rPr>
        <w:t xml:space="preserve">ember States will be called upon to orient their planning documents (and </w:t>
      </w:r>
      <w:proofErr w:type="gramStart"/>
      <w:r w:rsidRPr="009B3D4B">
        <w:rPr>
          <w:rFonts w:ascii="Trebuchet MS" w:hAnsi="Trebuchet MS" w:cs="Trebuchet MS"/>
          <w:color w:val="595959"/>
          <w:w w:val="0"/>
          <w:sz w:val="20"/>
          <w:szCs w:val="20"/>
          <w:lang w:val="en-US"/>
        </w:rPr>
        <w:t>in particular their</w:t>
      </w:r>
      <w:proofErr w:type="gramEnd"/>
      <w:r w:rsidRPr="009B3D4B">
        <w:rPr>
          <w:rFonts w:ascii="Trebuchet MS" w:hAnsi="Trebuchet MS" w:cs="Trebuchet MS"/>
          <w:color w:val="595959"/>
          <w:w w:val="0"/>
          <w:sz w:val="20"/>
          <w:szCs w:val="20"/>
          <w:lang w:val="en-US"/>
        </w:rPr>
        <w:t xml:space="preserve"> CAP Strategic Plan) to take advantage of all opportunities to strengthen the resilience of the EU agricultural sector, reduce its dependence on synthetic fertilizers, and increase renewable energy production without compromising food production and transform its production capacity in line with more sustainable production methods. </w:t>
      </w:r>
    </w:p>
    <w:p w14:paraId="5E056507" w14:textId="6631C583" w:rsidR="00624CD7" w:rsidRPr="005E4366" w:rsidRDefault="005E4366" w:rsidP="005E4366">
      <w:pPr>
        <w:suppressAutoHyphens/>
        <w:spacing w:after="80"/>
        <w:jc w:val="both"/>
        <w:rPr>
          <w:rFonts w:ascii="Trebuchet MS" w:eastAsia="Times New Roman" w:hAnsi="Trebuchet MS" w:cs="Arial"/>
          <w:color w:val="595959" w:themeColor="text1" w:themeTint="A6"/>
          <w:sz w:val="20"/>
          <w:szCs w:val="20"/>
          <w:lang w:val="en-US" w:eastAsia="it-IT"/>
        </w:rPr>
      </w:pPr>
      <w:r w:rsidRPr="009B3D4B">
        <w:rPr>
          <w:rFonts w:ascii="Trebuchet MS" w:hAnsi="Trebuchet MS" w:cs="Trebuchet MS"/>
          <w:color w:val="595959"/>
          <w:w w:val="0"/>
          <w:sz w:val="20"/>
          <w:szCs w:val="20"/>
          <w:lang w:val="en-US"/>
        </w:rPr>
        <w:t xml:space="preserve">At the same time, interventions are being activated at the EU level concerning, on the one hand, crisis measures – </w:t>
      </w:r>
      <w:proofErr w:type="gramStart"/>
      <w:r w:rsidRPr="009B3D4B">
        <w:rPr>
          <w:rFonts w:ascii="Trebuchet MS" w:hAnsi="Trebuchet MS" w:cs="Trebuchet MS"/>
          <w:color w:val="595959"/>
          <w:w w:val="0"/>
          <w:sz w:val="20"/>
          <w:szCs w:val="20"/>
          <w:lang w:val="en-US"/>
        </w:rPr>
        <w:t>in particular in</w:t>
      </w:r>
      <w:proofErr w:type="gramEnd"/>
      <w:r w:rsidRPr="009B3D4B">
        <w:rPr>
          <w:rFonts w:ascii="Trebuchet MS" w:hAnsi="Trebuchet MS" w:cs="Trebuchet MS"/>
          <w:color w:val="595959"/>
          <w:w w:val="0"/>
          <w:sz w:val="20"/>
          <w:szCs w:val="20"/>
          <w:lang w:val="en-US"/>
        </w:rPr>
        <w:t xml:space="preserve"> the most affected markets – and, on the other hand, the use of set-aside land to increase the endowment of agricultural land to be put into production.</w:t>
      </w:r>
    </w:p>
    <w:p w14:paraId="100193CA" w14:textId="77777777" w:rsidR="00624CD7" w:rsidRPr="005E4366" w:rsidRDefault="00624CD7" w:rsidP="002D13BD">
      <w:pPr>
        <w:pStyle w:val="Titolo1"/>
        <w:spacing w:after="80"/>
        <w:ind w:left="0"/>
        <w:rPr>
          <w:b w:val="0"/>
          <w:sz w:val="25"/>
          <w:szCs w:val="25"/>
          <w:lang w:val="en-US"/>
        </w:rPr>
      </w:pPr>
    </w:p>
    <w:p w14:paraId="5A36E19B" w14:textId="77777777" w:rsidR="00CE754B" w:rsidRPr="009B3D4B" w:rsidRDefault="00CE754B" w:rsidP="00CE754B">
      <w:pPr>
        <w:widowControl/>
        <w:suppressAutoHyphens/>
        <w:spacing w:after="120"/>
        <w:ind w:right="-34"/>
        <w:jc w:val="both"/>
        <w:rPr>
          <w:rFonts w:ascii="Trebuchet MS" w:hAnsi="Trebuchet MS" w:cs="Trebuchet MS"/>
          <w:b/>
          <w:bCs/>
          <w:color w:val="595959"/>
          <w:w w:val="0"/>
          <w:lang w:val="en-US"/>
        </w:rPr>
      </w:pPr>
      <w:r w:rsidRPr="009B3D4B">
        <w:rPr>
          <w:rFonts w:ascii="Trebuchet MS" w:hAnsi="Trebuchet MS" w:cs="Trebuchet MS"/>
          <w:b/>
          <w:bCs/>
          <w:color w:val="595959"/>
          <w:w w:val="0"/>
          <w:lang w:val="en-US"/>
        </w:rPr>
        <w:t xml:space="preserve">Objectives and structure of the </w:t>
      </w:r>
      <w:r w:rsidRPr="009B3D4B">
        <w:rPr>
          <w:b/>
          <w:bCs/>
          <w:color w:val="595959"/>
          <w:w w:val="0"/>
          <w:lang w:val="en-US"/>
        </w:rPr>
        <w:t>NRRP</w:t>
      </w:r>
    </w:p>
    <w:p w14:paraId="0679DC77" w14:textId="77777777" w:rsidR="00CE754B" w:rsidRPr="009B3D4B" w:rsidRDefault="00CE754B" w:rsidP="00CE754B">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In preparing its </w:t>
      </w:r>
      <w:r>
        <w:rPr>
          <w:rFonts w:ascii="Trebuchet MS" w:hAnsi="Trebuchet MS" w:cs="Trebuchet MS"/>
          <w:color w:val="595959"/>
          <w:w w:val="0"/>
          <w:sz w:val="20"/>
          <w:szCs w:val="20"/>
          <w:lang w:val="en-US"/>
        </w:rPr>
        <w:t xml:space="preserve">own </w:t>
      </w:r>
      <w:r w:rsidRPr="009B3D4B">
        <w:rPr>
          <w:rFonts w:ascii="Trebuchet MS" w:hAnsi="Trebuchet MS" w:cs="Trebuchet MS"/>
          <w:color w:val="595959"/>
          <w:w w:val="0"/>
          <w:sz w:val="20"/>
          <w:szCs w:val="20"/>
          <w:lang w:val="en-US"/>
        </w:rPr>
        <w:t xml:space="preserve">NRRP, each member State allocated the available resources for reforms and investments, </w:t>
      </w:r>
      <w:proofErr w:type="gramStart"/>
      <w:r w:rsidRPr="009B3D4B">
        <w:rPr>
          <w:rFonts w:ascii="Trebuchet MS" w:hAnsi="Trebuchet MS" w:cs="Trebuchet MS"/>
          <w:color w:val="595959"/>
          <w:w w:val="0"/>
          <w:sz w:val="20"/>
          <w:szCs w:val="20"/>
          <w:lang w:val="en-US"/>
        </w:rPr>
        <w:t>taking into account</w:t>
      </w:r>
      <w:proofErr w:type="gramEnd"/>
      <w:r w:rsidRPr="009B3D4B">
        <w:rPr>
          <w:rFonts w:ascii="Trebuchet MS" w:hAnsi="Trebuchet MS" w:cs="Trebuchet MS"/>
          <w:color w:val="595959"/>
          <w:w w:val="0"/>
          <w:sz w:val="20"/>
          <w:szCs w:val="20"/>
          <w:lang w:val="en-US"/>
        </w:rPr>
        <w:t xml:space="preserve"> EU priorities, country-specific recommendations (the Country-specific recomm</w:t>
      </w:r>
      <w:r>
        <w:rPr>
          <w:rFonts w:ascii="Trebuchet MS" w:hAnsi="Trebuchet MS" w:cs="Trebuchet MS"/>
          <w:color w:val="595959"/>
          <w:w w:val="0"/>
          <w:sz w:val="20"/>
          <w:szCs w:val="20"/>
          <w:lang w:val="en-US"/>
        </w:rPr>
        <w:t>e</w:t>
      </w:r>
      <w:r w:rsidRPr="009B3D4B">
        <w:rPr>
          <w:rFonts w:ascii="Trebuchet MS" w:hAnsi="Trebuchet MS" w:cs="Trebuchet MS"/>
          <w:color w:val="595959"/>
          <w:w w:val="0"/>
          <w:sz w:val="20"/>
          <w:szCs w:val="20"/>
          <w:lang w:val="en-US"/>
        </w:rPr>
        <w:t>ndations), and the so-called ring-fencing for twin transitions (i.e., the obligation to allocate at least 37 percent and 20 percent of resources to the green and digital transition, respectively), consistent with the objectives of the European Green Deal strategy (European Commission, 2019).</w:t>
      </w:r>
    </w:p>
    <w:p w14:paraId="0C0B7CF4" w14:textId="77777777" w:rsidR="00CE754B" w:rsidRPr="009B3D4B" w:rsidRDefault="00CE754B" w:rsidP="00CE754B">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The Italian NRRP is developed around six Missions, i.e., structural thematic areas of intervention, subdivided into Components, which represent areas in which to aggregate investment projects and reforms, aimed at achieving the objectives defined in the country's strategy. </w:t>
      </w:r>
    </w:p>
    <w:p w14:paraId="64A0F1FE" w14:textId="0F2213DA" w:rsidR="00A16285" w:rsidRDefault="00CE754B" w:rsidP="00CE754B">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The largest share of resources is allocated to Mission 2 - Green Revolution and Ecological Transition (31 percent), followed by Mission 1 - Digitization, Competitive Innovation, Culture and Tourism (21 percent); Mission 4 - Education and Research receives 16 percent, while Mission 3 - Infrastructure for Sustainable Mobility stands at 13 percent; Mission 5 - Social Inclusion benefits from 10 percent of resources, and finally Mission 6 - Health Care gets 8 percent.</w:t>
      </w:r>
      <w:r w:rsidR="00A16285">
        <w:rPr>
          <w:rFonts w:ascii="Trebuchet MS" w:hAnsi="Trebuchet MS" w:cs="Trebuchet MS"/>
          <w:color w:val="595959"/>
          <w:w w:val="0"/>
          <w:sz w:val="20"/>
          <w:szCs w:val="20"/>
          <w:lang w:val="en-US"/>
        </w:rPr>
        <w:br w:type="page"/>
      </w:r>
    </w:p>
    <w:p w14:paraId="31006967" w14:textId="41497B2E" w:rsidR="00624CD7" w:rsidRPr="00CE754B" w:rsidRDefault="004309DC" w:rsidP="00F63715">
      <w:pPr>
        <w:suppressAutoHyphens/>
        <w:spacing w:after="120"/>
        <w:jc w:val="both"/>
        <w:rPr>
          <w:rFonts w:ascii="Arial Narrow" w:hAnsi="Arial Narrow" w:cs="Arial"/>
          <w:b/>
          <w:iCs/>
          <w:noProof/>
          <w:color w:val="595959" w:themeColor="text1" w:themeTint="A6"/>
          <w:lang w:val="en-US"/>
        </w:rPr>
      </w:pPr>
      <w:r>
        <w:rPr>
          <w:rFonts w:ascii="Arial Narrow" w:hAnsi="Arial Narrow" w:cs="Arial Narrow"/>
          <w:b/>
          <w:bCs/>
          <w:color w:val="595959"/>
          <w:w w:val="0"/>
          <w:lang w:val="en-US"/>
        </w:rPr>
        <w:lastRenderedPageBreak/>
        <w:t>TABLE</w:t>
      </w:r>
      <w:r w:rsidR="00CE754B" w:rsidRPr="009B3D4B">
        <w:rPr>
          <w:rFonts w:ascii="Arial Narrow" w:hAnsi="Arial Narrow" w:cs="Arial Narrow"/>
          <w:b/>
          <w:bCs/>
          <w:color w:val="595959"/>
          <w:w w:val="0"/>
          <w:lang w:val="en-US"/>
        </w:rPr>
        <w:t xml:space="preserve"> 10.  FINANCIAL AMOUNTS OF THE MISSIONS AND COMPONENTS OF THE PNRR</w:t>
      </w:r>
    </w:p>
    <w:tbl>
      <w:tblPr>
        <w:tblW w:w="10107" w:type="dxa"/>
        <w:tblInd w:w="-5" w:type="dxa"/>
        <w:tblLayout w:type="fixed"/>
        <w:tblCellMar>
          <w:left w:w="70" w:type="dxa"/>
          <w:right w:w="70" w:type="dxa"/>
        </w:tblCellMar>
        <w:tblLook w:val="0000" w:firstRow="0" w:lastRow="0" w:firstColumn="0" w:lastColumn="0" w:noHBand="0" w:noVBand="0"/>
      </w:tblPr>
      <w:tblGrid>
        <w:gridCol w:w="1194"/>
        <w:gridCol w:w="2341"/>
        <w:gridCol w:w="653"/>
        <w:gridCol w:w="530"/>
        <w:gridCol w:w="374"/>
        <w:gridCol w:w="4362"/>
        <w:gridCol w:w="653"/>
      </w:tblGrid>
      <w:tr w:rsidR="00CE754B" w14:paraId="10141830" w14:textId="77777777" w:rsidTr="00CE754B">
        <w:trPr>
          <w:trHeight w:val="582"/>
        </w:trPr>
        <w:tc>
          <w:tcPr>
            <w:tcW w:w="1194" w:type="dxa"/>
            <w:tcBorders>
              <w:top w:val="single" w:sz="4" w:space="0" w:color="auto"/>
              <w:left w:val="single" w:sz="4" w:space="0" w:color="auto"/>
              <w:bottom w:val="single" w:sz="4" w:space="0" w:color="auto"/>
              <w:right w:val="single" w:sz="4" w:space="0" w:color="auto"/>
            </w:tcBorders>
            <w:shd w:val="clear" w:color="000000" w:fill="0070C0"/>
          </w:tcPr>
          <w:p w14:paraId="43277A8C" w14:textId="77777777" w:rsidR="00CE754B" w:rsidRPr="009B3D4B" w:rsidRDefault="00CE754B" w:rsidP="00AA41E7">
            <w:pPr>
              <w:widowControl/>
              <w:jc w:val="center"/>
              <w:rPr>
                <w:rFonts w:ascii="Arial Narrow" w:hAnsi="Arial Narrow" w:cs="Arial Narrow"/>
                <w:color w:val="FFFFFF"/>
                <w:w w:val="0"/>
                <w:sz w:val="18"/>
                <w:szCs w:val="18"/>
                <w:lang w:val="en-US"/>
              </w:rPr>
            </w:pPr>
          </w:p>
        </w:tc>
        <w:tc>
          <w:tcPr>
            <w:tcW w:w="2341" w:type="dxa"/>
            <w:tcBorders>
              <w:top w:val="single" w:sz="4" w:space="0" w:color="auto"/>
              <w:left w:val="single" w:sz="4" w:space="0" w:color="auto"/>
              <w:bottom w:val="single" w:sz="4" w:space="0" w:color="auto"/>
              <w:right w:val="single" w:sz="4" w:space="0" w:color="auto"/>
            </w:tcBorders>
            <w:shd w:val="clear" w:color="000000" w:fill="0070C0"/>
            <w:vAlign w:val="center"/>
          </w:tcPr>
          <w:p w14:paraId="5C951384" w14:textId="77777777" w:rsidR="00CE754B" w:rsidRDefault="00CE754B" w:rsidP="00AA41E7">
            <w:pPr>
              <w:widowControl/>
              <w:jc w:val="center"/>
              <w:rPr>
                <w:rFonts w:ascii="Arial Narrow" w:hAnsi="Arial Narrow" w:cs="Arial Narrow"/>
                <w:b/>
                <w:bCs/>
                <w:color w:val="FFFFFF"/>
                <w:w w:val="0"/>
                <w:sz w:val="18"/>
                <w:szCs w:val="18"/>
              </w:rPr>
            </w:pPr>
            <w:r>
              <w:rPr>
                <w:rFonts w:ascii="Arial Narrow" w:hAnsi="Arial Narrow" w:cs="Arial Narrow"/>
                <w:b/>
                <w:bCs/>
                <w:color w:val="FFFFFF"/>
                <w:w w:val="0"/>
                <w:sz w:val="18"/>
                <w:szCs w:val="18"/>
              </w:rPr>
              <w:t>Mission</w:t>
            </w:r>
          </w:p>
        </w:tc>
        <w:tc>
          <w:tcPr>
            <w:tcW w:w="653" w:type="dxa"/>
            <w:tcBorders>
              <w:top w:val="single" w:sz="4" w:space="0" w:color="auto"/>
              <w:left w:val="nil"/>
              <w:bottom w:val="single" w:sz="4" w:space="0" w:color="auto"/>
              <w:right w:val="single" w:sz="4" w:space="0" w:color="auto"/>
            </w:tcBorders>
            <w:shd w:val="clear" w:color="000000" w:fill="0070C0"/>
            <w:vAlign w:val="center"/>
          </w:tcPr>
          <w:p w14:paraId="5E1A93CE" w14:textId="77777777" w:rsidR="00CE754B" w:rsidRDefault="00CE754B" w:rsidP="00AA41E7">
            <w:pPr>
              <w:widowControl/>
              <w:jc w:val="center"/>
              <w:rPr>
                <w:rFonts w:ascii="Arial Narrow" w:hAnsi="Arial Narrow" w:cs="Arial Narrow"/>
                <w:b/>
                <w:bCs/>
                <w:color w:val="FFFFFF"/>
                <w:w w:val="0"/>
                <w:sz w:val="18"/>
                <w:szCs w:val="18"/>
              </w:rPr>
            </w:pPr>
            <w:r>
              <w:rPr>
                <w:rFonts w:ascii="Arial Narrow" w:hAnsi="Arial Narrow" w:cs="Arial Narrow"/>
                <w:b/>
                <w:bCs/>
                <w:color w:val="FFFFFF"/>
                <w:w w:val="0"/>
                <w:sz w:val="18"/>
                <w:szCs w:val="18"/>
              </w:rPr>
              <w:t xml:space="preserve">bn € </w:t>
            </w:r>
          </w:p>
        </w:tc>
        <w:tc>
          <w:tcPr>
            <w:tcW w:w="530" w:type="dxa"/>
            <w:tcBorders>
              <w:top w:val="single" w:sz="4" w:space="0" w:color="auto"/>
              <w:left w:val="nil"/>
              <w:bottom w:val="single" w:sz="4" w:space="0" w:color="auto"/>
              <w:right w:val="single" w:sz="4" w:space="0" w:color="auto"/>
            </w:tcBorders>
            <w:shd w:val="clear" w:color="000000" w:fill="0070C0"/>
            <w:vAlign w:val="center"/>
          </w:tcPr>
          <w:p w14:paraId="3CA53268" w14:textId="77777777" w:rsidR="00CE754B" w:rsidRDefault="00CE754B" w:rsidP="00AA41E7">
            <w:pPr>
              <w:widowControl/>
              <w:jc w:val="center"/>
              <w:rPr>
                <w:rFonts w:ascii="Arial Narrow" w:hAnsi="Arial Narrow" w:cs="Arial Narrow"/>
                <w:b/>
                <w:bCs/>
                <w:color w:val="FFFFFF"/>
                <w:w w:val="0"/>
                <w:sz w:val="18"/>
                <w:szCs w:val="18"/>
              </w:rPr>
            </w:pPr>
            <w:r>
              <w:rPr>
                <w:rFonts w:ascii="Arial Narrow" w:hAnsi="Arial Narrow" w:cs="Arial Narrow"/>
                <w:b/>
                <w:bCs/>
                <w:color w:val="FFFFFF"/>
                <w:w w:val="0"/>
                <w:sz w:val="18"/>
                <w:szCs w:val="18"/>
              </w:rPr>
              <w:t>%</w:t>
            </w:r>
          </w:p>
        </w:tc>
        <w:tc>
          <w:tcPr>
            <w:tcW w:w="374" w:type="dxa"/>
            <w:tcBorders>
              <w:top w:val="single" w:sz="4" w:space="0" w:color="auto"/>
              <w:left w:val="nil"/>
              <w:bottom w:val="single" w:sz="4" w:space="0" w:color="auto"/>
              <w:right w:val="nil"/>
            </w:tcBorders>
            <w:shd w:val="clear" w:color="000000" w:fill="0070C0"/>
            <w:vAlign w:val="center"/>
          </w:tcPr>
          <w:p w14:paraId="288BA131" w14:textId="77777777" w:rsidR="00CE754B" w:rsidRDefault="00CE754B" w:rsidP="00AA41E7">
            <w:pPr>
              <w:widowControl/>
              <w:jc w:val="center"/>
              <w:rPr>
                <w:rFonts w:ascii="Arial Narrow" w:hAnsi="Arial Narrow" w:cs="Arial Narrow"/>
                <w:b/>
                <w:bCs/>
                <w:color w:val="FFFFFF"/>
                <w:w w:val="0"/>
                <w:sz w:val="18"/>
                <w:szCs w:val="18"/>
              </w:rPr>
            </w:pPr>
            <w:r>
              <w:rPr>
                <w:rFonts w:ascii="Arial Narrow" w:hAnsi="Arial Narrow" w:cs="Arial Narrow"/>
                <w:b/>
                <w:bCs/>
                <w:color w:val="FFFFFF"/>
                <w:w w:val="0"/>
                <w:sz w:val="18"/>
                <w:szCs w:val="18"/>
              </w:rPr>
              <w:t> </w:t>
            </w:r>
          </w:p>
        </w:tc>
        <w:tc>
          <w:tcPr>
            <w:tcW w:w="4362" w:type="dxa"/>
            <w:tcBorders>
              <w:top w:val="single" w:sz="4" w:space="0" w:color="auto"/>
              <w:left w:val="nil"/>
              <w:bottom w:val="single" w:sz="4" w:space="0" w:color="auto"/>
              <w:right w:val="single" w:sz="4" w:space="0" w:color="auto"/>
            </w:tcBorders>
            <w:shd w:val="clear" w:color="000000" w:fill="0070C0"/>
            <w:vAlign w:val="center"/>
          </w:tcPr>
          <w:p w14:paraId="0FB38D60" w14:textId="77777777" w:rsidR="00CE754B" w:rsidRDefault="00CE754B" w:rsidP="00AA41E7">
            <w:pPr>
              <w:widowControl/>
              <w:jc w:val="center"/>
              <w:rPr>
                <w:rFonts w:ascii="Arial Narrow" w:hAnsi="Arial Narrow" w:cs="Arial Narrow"/>
                <w:b/>
                <w:bCs/>
                <w:color w:val="FFFFFF"/>
                <w:w w:val="0"/>
                <w:sz w:val="18"/>
                <w:szCs w:val="18"/>
              </w:rPr>
            </w:pPr>
            <w:r>
              <w:rPr>
                <w:rFonts w:ascii="Arial Narrow" w:hAnsi="Arial Narrow" w:cs="Arial Narrow"/>
                <w:b/>
                <w:bCs/>
                <w:color w:val="FFFFFF"/>
                <w:w w:val="0"/>
                <w:sz w:val="18"/>
                <w:szCs w:val="18"/>
              </w:rPr>
              <w:t>Component</w:t>
            </w:r>
          </w:p>
        </w:tc>
        <w:tc>
          <w:tcPr>
            <w:tcW w:w="653" w:type="dxa"/>
            <w:tcBorders>
              <w:top w:val="single" w:sz="4" w:space="0" w:color="auto"/>
              <w:left w:val="nil"/>
              <w:bottom w:val="single" w:sz="4" w:space="0" w:color="auto"/>
              <w:right w:val="single" w:sz="4" w:space="0" w:color="auto"/>
            </w:tcBorders>
            <w:shd w:val="clear" w:color="000000" w:fill="0070C0"/>
            <w:vAlign w:val="center"/>
          </w:tcPr>
          <w:p w14:paraId="764354AB" w14:textId="77777777" w:rsidR="00CE754B" w:rsidRDefault="00CE754B" w:rsidP="00AA41E7">
            <w:pPr>
              <w:widowControl/>
              <w:jc w:val="center"/>
              <w:rPr>
                <w:rFonts w:ascii="Arial Narrow" w:hAnsi="Arial Narrow" w:cs="Arial Narrow"/>
                <w:b/>
                <w:bCs/>
                <w:color w:val="FFFFFF"/>
                <w:w w:val="0"/>
                <w:sz w:val="18"/>
                <w:szCs w:val="18"/>
              </w:rPr>
            </w:pPr>
            <w:r>
              <w:rPr>
                <w:rFonts w:ascii="Arial Narrow" w:hAnsi="Arial Narrow" w:cs="Arial Narrow"/>
                <w:b/>
                <w:bCs/>
                <w:color w:val="FFFFFF"/>
                <w:w w:val="0"/>
                <w:sz w:val="18"/>
                <w:szCs w:val="18"/>
              </w:rPr>
              <w:t>bn €</w:t>
            </w:r>
          </w:p>
        </w:tc>
      </w:tr>
      <w:tr w:rsidR="00CE754B" w14:paraId="4F06735C" w14:textId="77777777" w:rsidTr="00CE754B">
        <w:trPr>
          <w:trHeight w:val="480"/>
        </w:trPr>
        <w:tc>
          <w:tcPr>
            <w:tcW w:w="1194" w:type="dxa"/>
            <w:vMerge w:val="restart"/>
            <w:tcBorders>
              <w:top w:val="nil"/>
              <w:left w:val="single" w:sz="4" w:space="0" w:color="auto"/>
              <w:bottom w:val="nil"/>
              <w:right w:val="single" w:sz="4" w:space="0" w:color="auto"/>
            </w:tcBorders>
            <w:shd w:val="clear" w:color="000000" w:fill="B4C6E7"/>
          </w:tcPr>
          <w:p w14:paraId="6DF0AAD9" w14:textId="77777777" w:rsidR="00CE754B" w:rsidRDefault="00CE754B" w:rsidP="00AA41E7">
            <w:pPr>
              <w:widowControl/>
              <w:jc w:val="both"/>
              <w:rPr>
                <w:w w:val="0"/>
              </w:rPr>
            </w:pPr>
            <w:r w:rsidRPr="006B264C">
              <w:rPr>
                <w:noProof/>
                <w:w w:val="0"/>
                <w:lang w:eastAsia="it-IT"/>
              </w:rPr>
              <w:drawing>
                <wp:inline distT="0" distB="0" distL="0" distR="0" wp14:anchorId="628BD573" wp14:editId="29888707">
                  <wp:extent cx="566420" cy="5048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420" cy="504825"/>
                          </a:xfrm>
                          <a:prstGeom prst="rect">
                            <a:avLst/>
                          </a:prstGeom>
                          <a:noFill/>
                          <a:ln>
                            <a:noFill/>
                          </a:ln>
                        </pic:spPr>
                      </pic:pic>
                    </a:graphicData>
                  </a:graphic>
                </wp:inline>
              </w:drawing>
            </w:r>
          </w:p>
          <w:p w14:paraId="44D736A0" w14:textId="77777777" w:rsidR="00CE754B" w:rsidRDefault="00CE754B" w:rsidP="00AA41E7">
            <w:pPr>
              <w:widowControl/>
              <w:rPr>
                <w:w w:val="0"/>
              </w:rPr>
            </w:pPr>
            <w:r w:rsidRPr="006B264C">
              <w:rPr>
                <w:noProof/>
                <w:w w:val="0"/>
                <w:lang w:eastAsia="it-IT"/>
              </w:rPr>
              <w:drawing>
                <wp:inline distT="0" distB="0" distL="0" distR="0" wp14:anchorId="75B0E0BF" wp14:editId="1DAAEAFC">
                  <wp:extent cx="573405" cy="49149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 cy="491490"/>
                          </a:xfrm>
                          <a:prstGeom prst="rect">
                            <a:avLst/>
                          </a:prstGeom>
                          <a:noFill/>
                          <a:ln>
                            <a:noFill/>
                          </a:ln>
                        </pic:spPr>
                      </pic:pic>
                    </a:graphicData>
                  </a:graphic>
                </wp:inline>
              </w:drawing>
            </w:r>
          </w:p>
          <w:p w14:paraId="0F577244" w14:textId="77777777" w:rsidR="00CE754B" w:rsidRDefault="00CE754B" w:rsidP="00AA41E7">
            <w:pPr>
              <w:widowControl/>
              <w:jc w:val="both"/>
              <w:rPr>
                <w:rFonts w:ascii="Arial Narrow" w:hAnsi="Arial Narrow" w:cs="Arial Narrow"/>
                <w:color w:val="000000"/>
                <w:w w:val="0"/>
                <w:sz w:val="18"/>
                <w:szCs w:val="18"/>
              </w:rPr>
            </w:pPr>
          </w:p>
        </w:tc>
        <w:tc>
          <w:tcPr>
            <w:tcW w:w="2341" w:type="dxa"/>
            <w:vMerge w:val="restart"/>
            <w:tcBorders>
              <w:top w:val="nil"/>
              <w:left w:val="single" w:sz="4" w:space="0" w:color="auto"/>
              <w:bottom w:val="single" w:sz="4" w:space="0" w:color="auto"/>
              <w:right w:val="single" w:sz="4" w:space="0" w:color="auto"/>
            </w:tcBorders>
            <w:shd w:val="clear" w:color="000000" w:fill="B4C6E7"/>
            <w:vAlign w:val="center"/>
          </w:tcPr>
          <w:p w14:paraId="28C761E3" w14:textId="77777777" w:rsidR="00CE754B" w:rsidRPr="009B3D4B" w:rsidRDefault="00CE754B" w:rsidP="00AA41E7">
            <w:pPr>
              <w:widowControl/>
              <w:jc w:val="center"/>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DIGITALIZATION, INNOVATION, COMPETITIVENESS, CULTURE AND TOURISM</w:t>
            </w:r>
          </w:p>
        </w:tc>
        <w:tc>
          <w:tcPr>
            <w:tcW w:w="653" w:type="dxa"/>
            <w:vMerge w:val="restart"/>
            <w:tcBorders>
              <w:top w:val="nil"/>
              <w:left w:val="single" w:sz="4" w:space="0" w:color="auto"/>
              <w:bottom w:val="single" w:sz="4" w:space="0" w:color="auto"/>
              <w:right w:val="single" w:sz="4" w:space="0" w:color="auto"/>
            </w:tcBorders>
            <w:shd w:val="clear" w:color="000000" w:fill="B4C6E7"/>
            <w:vAlign w:val="center"/>
          </w:tcPr>
          <w:p w14:paraId="04030A60"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40,33</w:t>
            </w:r>
          </w:p>
        </w:tc>
        <w:tc>
          <w:tcPr>
            <w:tcW w:w="530" w:type="dxa"/>
            <w:vMerge w:val="restart"/>
            <w:tcBorders>
              <w:top w:val="nil"/>
              <w:left w:val="single" w:sz="4" w:space="0" w:color="auto"/>
              <w:bottom w:val="single" w:sz="4" w:space="0" w:color="auto"/>
              <w:right w:val="single" w:sz="4" w:space="0" w:color="auto"/>
            </w:tcBorders>
            <w:shd w:val="clear" w:color="000000" w:fill="B4C6E7"/>
            <w:vAlign w:val="center"/>
          </w:tcPr>
          <w:p w14:paraId="03B1AE3D"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21%</w:t>
            </w:r>
          </w:p>
        </w:tc>
        <w:tc>
          <w:tcPr>
            <w:tcW w:w="374" w:type="dxa"/>
            <w:tcBorders>
              <w:top w:val="nil"/>
              <w:left w:val="nil"/>
              <w:bottom w:val="single" w:sz="4" w:space="0" w:color="auto"/>
              <w:right w:val="single" w:sz="4" w:space="0" w:color="auto"/>
            </w:tcBorders>
            <w:shd w:val="clear" w:color="000000" w:fill="B4C6E7"/>
            <w:vAlign w:val="center"/>
          </w:tcPr>
          <w:p w14:paraId="527617D3"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C1</w:t>
            </w:r>
          </w:p>
        </w:tc>
        <w:tc>
          <w:tcPr>
            <w:tcW w:w="4362" w:type="dxa"/>
            <w:tcBorders>
              <w:top w:val="nil"/>
              <w:left w:val="nil"/>
              <w:bottom w:val="single" w:sz="4" w:space="0" w:color="auto"/>
              <w:right w:val="single" w:sz="4" w:space="0" w:color="auto"/>
            </w:tcBorders>
            <w:shd w:val="clear" w:color="000000" w:fill="B4C6E7"/>
            <w:vAlign w:val="center"/>
          </w:tcPr>
          <w:p w14:paraId="177CE64D" w14:textId="77777777" w:rsidR="00CE754B" w:rsidRPr="009B3D4B" w:rsidRDefault="00CE754B" w:rsidP="00AA41E7">
            <w:pPr>
              <w:widowControl/>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DIGITIZATION, INNOVATION AND SECURITY IN THE PA</w:t>
            </w:r>
          </w:p>
        </w:tc>
        <w:tc>
          <w:tcPr>
            <w:tcW w:w="653" w:type="dxa"/>
            <w:tcBorders>
              <w:top w:val="nil"/>
              <w:left w:val="nil"/>
              <w:bottom w:val="single" w:sz="4" w:space="0" w:color="auto"/>
              <w:right w:val="single" w:sz="4" w:space="0" w:color="auto"/>
            </w:tcBorders>
            <w:shd w:val="clear" w:color="000000" w:fill="B4C6E7"/>
            <w:vAlign w:val="center"/>
          </w:tcPr>
          <w:p w14:paraId="2D9BD9FC"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9,75</w:t>
            </w:r>
          </w:p>
        </w:tc>
      </w:tr>
      <w:tr w:rsidR="00CE754B" w14:paraId="77D43153" w14:textId="77777777" w:rsidTr="00CE754B">
        <w:trPr>
          <w:trHeight w:val="582"/>
        </w:trPr>
        <w:tc>
          <w:tcPr>
            <w:tcW w:w="1194" w:type="dxa"/>
            <w:vMerge/>
            <w:tcBorders>
              <w:top w:val="nil"/>
              <w:left w:val="single" w:sz="4" w:space="0" w:color="auto"/>
              <w:bottom w:val="nil"/>
              <w:right w:val="single" w:sz="4" w:space="0" w:color="auto"/>
            </w:tcBorders>
          </w:tcPr>
          <w:p w14:paraId="45846FF5" w14:textId="77777777" w:rsidR="00CE754B" w:rsidRDefault="00CE754B" w:rsidP="00AA41E7">
            <w:pPr>
              <w:widowControl/>
              <w:rPr>
                <w:rFonts w:ascii="Arial Narrow" w:hAnsi="Arial Narrow" w:cs="Arial Narrow"/>
                <w:color w:val="000000"/>
                <w:w w:val="0"/>
                <w:sz w:val="18"/>
                <w:szCs w:val="18"/>
              </w:rPr>
            </w:pPr>
          </w:p>
        </w:tc>
        <w:tc>
          <w:tcPr>
            <w:tcW w:w="2341" w:type="dxa"/>
            <w:vMerge/>
            <w:tcBorders>
              <w:top w:val="nil"/>
              <w:left w:val="single" w:sz="4" w:space="0" w:color="auto"/>
              <w:bottom w:val="single" w:sz="4" w:space="0" w:color="auto"/>
              <w:right w:val="single" w:sz="4" w:space="0" w:color="auto"/>
            </w:tcBorders>
            <w:vAlign w:val="center"/>
          </w:tcPr>
          <w:p w14:paraId="04C7D430" w14:textId="77777777" w:rsidR="00CE754B" w:rsidRDefault="00CE754B" w:rsidP="00AA41E7">
            <w:pPr>
              <w:widowControl/>
              <w:rPr>
                <w:rFonts w:ascii="Arial Narrow" w:hAnsi="Arial Narrow" w:cs="Arial Narrow"/>
                <w:b/>
                <w:bCs/>
                <w:color w:val="000000"/>
                <w:w w:val="0"/>
                <w:sz w:val="18"/>
                <w:szCs w:val="18"/>
              </w:rPr>
            </w:pPr>
          </w:p>
        </w:tc>
        <w:tc>
          <w:tcPr>
            <w:tcW w:w="653" w:type="dxa"/>
            <w:vMerge/>
            <w:tcBorders>
              <w:top w:val="nil"/>
              <w:left w:val="single" w:sz="4" w:space="0" w:color="auto"/>
              <w:bottom w:val="single" w:sz="4" w:space="0" w:color="auto"/>
              <w:right w:val="single" w:sz="4" w:space="0" w:color="auto"/>
            </w:tcBorders>
            <w:vAlign w:val="center"/>
          </w:tcPr>
          <w:p w14:paraId="0123E22D" w14:textId="77777777" w:rsidR="00CE754B" w:rsidRDefault="00CE754B" w:rsidP="00AA41E7">
            <w:pPr>
              <w:widowControl/>
              <w:rPr>
                <w:rFonts w:ascii="Arial Narrow" w:hAnsi="Arial Narrow" w:cs="Arial Narrow"/>
                <w:b/>
                <w:bCs/>
                <w:color w:val="000000"/>
                <w:w w:val="0"/>
                <w:sz w:val="18"/>
                <w:szCs w:val="18"/>
              </w:rPr>
            </w:pPr>
          </w:p>
        </w:tc>
        <w:tc>
          <w:tcPr>
            <w:tcW w:w="530" w:type="dxa"/>
            <w:vMerge/>
            <w:tcBorders>
              <w:top w:val="nil"/>
              <w:left w:val="single" w:sz="4" w:space="0" w:color="auto"/>
              <w:bottom w:val="single" w:sz="4" w:space="0" w:color="auto"/>
              <w:right w:val="single" w:sz="4" w:space="0" w:color="auto"/>
            </w:tcBorders>
            <w:vAlign w:val="center"/>
          </w:tcPr>
          <w:p w14:paraId="58A87651" w14:textId="77777777" w:rsidR="00CE754B" w:rsidRDefault="00CE754B" w:rsidP="00AA41E7">
            <w:pPr>
              <w:widowControl/>
              <w:rPr>
                <w:rFonts w:ascii="Arial Narrow" w:hAnsi="Arial Narrow" w:cs="Arial Narrow"/>
                <w:b/>
                <w:bCs/>
                <w:color w:val="000000"/>
                <w:w w:val="0"/>
                <w:sz w:val="18"/>
                <w:szCs w:val="18"/>
              </w:rPr>
            </w:pPr>
          </w:p>
        </w:tc>
        <w:tc>
          <w:tcPr>
            <w:tcW w:w="374" w:type="dxa"/>
            <w:tcBorders>
              <w:top w:val="nil"/>
              <w:left w:val="nil"/>
              <w:bottom w:val="single" w:sz="4" w:space="0" w:color="auto"/>
              <w:right w:val="single" w:sz="4" w:space="0" w:color="auto"/>
            </w:tcBorders>
            <w:shd w:val="clear" w:color="000000" w:fill="B4C6E7"/>
            <w:vAlign w:val="center"/>
          </w:tcPr>
          <w:p w14:paraId="51CFF471"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C2</w:t>
            </w:r>
          </w:p>
        </w:tc>
        <w:tc>
          <w:tcPr>
            <w:tcW w:w="4362" w:type="dxa"/>
            <w:tcBorders>
              <w:top w:val="nil"/>
              <w:left w:val="nil"/>
              <w:bottom w:val="single" w:sz="4" w:space="0" w:color="auto"/>
              <w:right w:val="single" w:sz="4" w:space="0" w:color="auto"/>
            </w:tcBorders>
            <w:shd w:val="clear" w:color="000000" w:fill="B4C6E7"/>
            <w:vAlign w:val="center"/>
          </w:tcPr>
          <w:p w14:paraId="31E17163" w14:textId="77777777" w:rsidR="00CE754B" w:rsidRPr="009B3D4B" w:rsidRDefault="00CE754B" w:rsidP="00AA41E7">
            <w:pPr>
              <w:widowControl/>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DIGITALIZATION, INNOVATION AND COMPETITIVENESS IN THE PRODUCTION SYSTEM</w:t>
            </w:r>
          </w:p>
        </w:tc>
        <w:tc>
          <w:tcPr>
            <w:tcW w:w="653" w:type="dxa"/>
            <w:tcBorders>
              <w:top w:val="nil"/>
              <w:left w:val="nil"/>
              <w:bottom w:val="single" w:sz="4" w:space="0" w:color="auto"/>
              <w:right w:val="single" w:sz="4" w:space="0" w:color="auto"/>
            </w:tcBorders>
            <w:shd w:val="clear" w:color="000000" w:fill="B4C6E7"/>
            <w:vAlign w:val="center"/>
          </w:tcPr>
          <w:p w14:paraId="30C7B0BE"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23,90</w:t>
            </w:r>
          </w:p>
        </w:tc>
      </w:tr>
      <w:tr w:rsidR="00CE754B" w14:paraId="232A8CED" w14:textId="77777777" w:rsidTr="00CE754B">
        <w:trPr>
          <w:trHeight w:val="425"/>
        </w:trPr>
        <w:tc>
          <w:tcPr>
            <w:tcW w:w="1194" w:type="dxa"/>
            <w:vMerge/>
            <w:tcBorders>
              <w:top w:val="nil"/>
              <w:left w:val="single" w:sz="4" w:space="0" w:color="auto"/>
              <w:bottom w:val="single" w:sz="4" w:space="0" w:color="auto"/>
              <w:right w:val="single" w:sz="4" w:space="0" w:color="auto"/>
            </w:tcBorders>
          </w:tcPr>
          <w:p w14:paraId="22754839" w14:textId="77777777" w:rsidR="00CE754B" w:rsidRDefault="00CE754B" w:rsidP="00AA41E7">
            <w:pPr>
              <w:widowControl/>
              <w:rPr>
                <w:rFonts w:ascii="Arial Narrow" w:hAnsi="Arial Narrow" w:cs="Arial Narrow"/>
                <w:color w:val="000000"/>
                <w:w w:val="0"/>
                <w:sz w:val="18"/>
                <w:szCs w:val="18"/>
              </w:rPr>
            </w:pPr>
          </w:p>
        </w:tc>
        <w:tc>
          <w:tcPr>
            <w:tcW w:w="2341" w:type="dxa"/>
            <w:vMerge/>
            <w:tcBorders>
              <w:top w:val="nil"/>
              <w:left w:val="single" w:sz="4" w:space="0" w:color="auto"/>
              <w:bottom w:val="single" w:sz="4" w:space="0" w:color="auto"/>
              <w:right w:val="single" w:sz="4" w:space="0" w:color="auto"/>
            </w:tcBorders>
            <w:vAlign w:val="center"/>
          </w:tcPr>
          <w:p w14:paraId="08606AFB" w14:textId="77777777" w:rsidR="00CE754B" w:rsidRDefault="00CE754B" w:rsidP="00AA41E7">
            <w:pPr>
              <w:widowControl/>
              <w:rPr>
                <w:rFonts w:ascii="Arial Narrow" w:hAnsi="Arial Narrow" w:cs="Arial Narrow"/>
                <w:b/>
                <w:bCs/>
                <w:color w:val="000000"/>
                <w:w w:val="0"/>
                <w:sz w:val="18"/>
                <w:szCs w:val="18"/>
              </w:rPr>
            </w:pPr>
          </w:p>
        </w:tc>
        <w:tc>
          <w:tcPr>
            <w:tcW w:w="653" w:type="dxa"/>
            <w:vMerge/>
            <w:tcBorders>
              <w:top w:val="nil"/>
              <w:left w:val="single" w:sz="4" w:space="0" w:color="auto"/>
              <w:bottom w:val="single" w:sz="4" w:space="0" w:color="auto"/>
              <w:right w:val="single" w:sz="4" w:space="0" w:color="auto"/>
            </w:tcBorders>
            <w:vAlign w:val="center"/>
          </w:tcPr>
          <w:p w14:paraId="75F4E277" w14:textId="77777777" w:rsidR="00CE754B" w:rsidRDefault="00CE754B" w:rsidP="00AA41E7">
            <w:pPr>
              <w:widowControl/>
              <w:rPr>
                <w:rFonts w:ascii="Arial Narrow" w:hAnsi="Arial Narrow" w:cs="Arial Narrow"/>
                <w:b/>
                <w:bCs/>
                <w:color w:val="000000"/>
                <w:w w:val="0"/>
                <w:sz w:val="18"/>
                <w:szCs w:val="18"/>
              </w:rPr>
            </w:pPr>
          </w:p>
        </w:tc>
        <w:tc>
          <w:tcPr>
            <w:tcW w:w="530" w:type="dxa"/>
            <w:vMerge/>
            <w:tcBorders>
              <w:top w:val="nil"/>
              <w:left w:val="single" w:sz="4" w:space="0" w:color="auto"/>
              <w:bottom w:val="single" w:sz="4" w:space="0" w:color="auto"/>
              <w:right w:val="single" w:sz="4" w:space="0" w:color="auto"/>
            </w:tcBorders>
            <w:vAlign w:val="center"/>
          </w:tcPr>
          <w:p w14:paraId="4EA0F3C7" w14:textId="77777777" w:rsidR="00CE754B" w:rsidRDefault="00CE754B" w:rsidP="00AA41E7">
            <w:pPr>
              <w:widowControl/>
              <w:rPr>
                <w:rFonts w:ascii="Arial Narrow" w:hAnsi="Arial Narrow" w:cs="Arial Narrow"/>
                <w:b/>
                <w:bCs/>
                <w:color w:val="000000"/>
                <w:w w:val="0"/>
                <w:sz w:val="18"/>
                <w:szCs w:val="18"/>
              </w:rPr>
            </w:pPr>
          </w:p>
        </w:tc>
        <w:tc>
          <w:tcPr>
            <w:tcW w:w="374" w:type="dxa"/>
            <w:tcBorders>
              <w:top w:val="nil"/>
              <w:left w:val="nil"/>
              <w:bottom w:val="single" w:sz="4" w:space="0" w:color="auto"/>
              <w:right w:val="single" w:sz="4" w:space="0" w:color="auto"/>
            </w:tcBorders>
            <w:shd w:val="clear" w:color="000000" w:fill="B4C6E7"/>
            <w:vAlign w:val="center"/>
          </w:tcPr>
          <w:p w14:paraId="0FB4FF93"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C3</w:t>
            </w:r>
          </w:p>
        </w:tc>
        <w:tc>
          <w:tcPr>
            <w:tcW w:w="4362" w:type="dxa"/>
            <w:tcBorders>
              <w:top w:val="nil"/>
              <w:left w:val="nil"/>
              <w:bottom w:val="single" w:sz="4" w:space="0" w:color="auto"/>
              <w:right w:val="single" w:sz="4" w:space="0" w:color="auto"/>
            </w:tcBorders>
            <w:shd w:val="clear" w:color="000000" w:fill="B4C6E7"/>
            <w:vAlign w:val="center"/>
          </w:tcPr>
          <w:p w14:paraId="2DBD5B8F" w14:textId="77777777" w:rsidR="00CE754B" w:rsidRDefault="00CE754B" w:rsidP="00AA41E7">
            <w:pPr>
              <w:widowControl/>
              <w:rPr>
                <w:rFonts w:ascii="Arial Narrow" w:hAnsi="Arial Narrow" w:cs="Arial Narrow"/>
                <w:b/>
                <w:bCs/>
                <w:color w:val="000000"/>
                <w:w w:val="0"/>
                <w:sz w:val="18"/>
                <w:szCs w:val="18"/>
              </w:rPr>
            </w:pPr>
            <w:r>
              <w:rPr>
                <w:rFonts w:ascii="Arial Narrow" w:hAnsi="Arial Narrow" w:cs="Arial Narrow"/>
                <w:b/>
                <w:bCs/>
                <w:color w:val="000000"/>
                <w:w w:val="0"/>
                <w:sz w:val="18"/>
                <w:szCs w:val="18"/>
              </w:rPr>
              <w:t>TOURISM AND CULTURE 4.0</w:t>
            </w:r>
          </w:p>
        </w:tc>
        <w:tc>
          <w:tcPr>
            <w:tcW w:w="653" w:type="dxa"/>
            <w:tcBorders>
              <w:top w:val="nil"/>
              <w:left w:val="nil"/>
              <w:bottom w:val="single" w:sz="4" w:space="0" w:color="auto"/>
              <w:right w:val="single" w:sz="4" w:space="0" w:color="auto"/>
            </w:tcBorders>
            <w:shd w:val="clear" w:color="000000" w:fill="B4C6E7"/>
            <w:vAlign w:val="center"/>
          </w:tcPr>
          <w:p w14:paraId="546E366B"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6,68</w:t>
            </w:r>
          </w:p>
        </w:tc>
      </w:tr>
      <w:tr w:rsidR="00CE754B" w14:paraId="3465C0B5" w14:textId="77777777" w:rsidTr="00CE754B">
        <w:trPr>
          <w:trHeight w:val="582"/>
        </w:trPr>
        <w:tc>
          <w:tcPr>
            <w:tcW w:w="1194" w:type="dxa"/>
            <w:vMerge w:val="restart"/>
            <w:tcBorders>
              <w:top w:val="nil"/>
              <w:left w:val="single" w:sz="4" w:space="0" w:color="auto"/>
              <w:bottom w:val="nil"/>
              <w:right w:val="single" w:sz="4" w:space="0" w:color="auto"/>
            </w:tcBorders>
            <w:shd w:val="clear" w:color="000000" w:fill="92D050"/>
          </w:tcPr>
          <w:p w14:paraId="326D22B6" w14:textId="77777777" w:rsidR="00CE754B" w:rsidRDefault="00CE754B" w:rsidP="00AA41E7">
            <w:pPr>
              <w:widowControl/>
              <w:jc w:val="center"/>
              <w:rPr>
                <w:w w:val="0"/>
              </w:rPr>
            </w:pPr>
            <w:r w:rsidRPr="006B264C">
              <w:rPr>
                <w:noProof/>
                <w:w w:val="0"/>
                <w:lang w:eastAsia="it-IT"/>
              </w:rPr>
              <w:drawing>
                <wp:inline distT="0" distB="0" distL="0" distR="0" wp14:anchorId="41059918" wp14:editId="0ECEF581">
                  <wp:extent cx="552450" cy="50482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pic:spPr>
                      </pic:pic>
                    </a:graphicData>
                  </a:graphic>
                </wp:inline>
              </w:drawing>
            </w:r>
          </w:p>
          <w:p w14:paraId="1FD965F4" w14:textId="77777777" w:rsidR="00CE754B" w:rsidRDefault="00CE754B" w:rsidP="00AA41E7">
            <w:pPr>
              <w:widowControl/>
              <w:rPr>
                <w:w w:val="0"/>
              </w:rPr>
            </w:pPr>
            <w:r w:rsidRPr="006B264C">
              <w:rPr>
                <w:noProof/>
                <w:w w:val="0"/>
                <w:lang w:eastAsia="it-IT"/>
              </w:rPr>
              <w:drawing>
                <wp:inline distT="0" distB="0" distL="0" distR="0" wp14:anchorId="34AD09CA" wp14:editId="6D5D5F80">
                  <wp:extent cx="593725" cy="51181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 cy="511810"/>
                          </a:xfrm>
                          <a:prstGeom prst="rect">
                            <a:avLst/>
                          </a:prstGeom>
                          <a:noFill/>
                          <a:ln>
                            <a:noFill/>
                          </a:ln>
                        </pic:spPr>
                      </pic:pic>
                    </a:graphicData>
                  </a:graphic>
                </wp:inline>
              </w:drawing>
            </w:r>
          </w:p>
          <w:p w14:paraId="72290034" w14:textId="77777777" w:rsidR="00CE754B" w:rsidRDefault="00CE754B" w:rsidP="00AA41E7">
            <w:pPr>
              <w:widowControl/>
              <w:jc w:val="center"/>
              <w:rPr>
                <w:rFonts w:ascii="Arial Narrow" w:hAnsi="Arial Narrow" w:cs="Arial Narrow"/>
                <w:color w:val="000000"/>
                <w:w w:val="0"/>
                <w:sz w:val="18"/>
                <w:szCs w:val="18"/>
              </w:rPr>
            </w:pPr>
          </w:p>
        </w:tc>
        <w:tc>
          <w:tcPr>
            <w:tcW w:w="2341" w:type="dxa"/>
            <w:vMerge w:val="restart"/>
            <w:tcBorders>
              <w:top w:val="nil"/>
              <w:left w:val="single" w:sz="4" w:space="0" w:color="auto"/>
              <w:bottom w:val="single" w:sz="4" w:space="0" w:color="auto"/>
              <w:right w:val="single" w:sz="4" w:space="0" w:color="auto"/>
            </w:tcBorders>
            <w:shd w:val="clear" w:color="000000" w:fill="92D050"/>
            <w:vAlign w:val="center"/>
          </w:tcPr>
          <w:p w14:paraId="29F9BE6F" w14:textId="77777777" w:rsidR="00CE754B" w:rsidRPr="009B3D4B" w:rsidRDefault="00CE754B" w:rsidP="00AA41E7">
            <w:pPr>
              <w:widowControl/>
              <w:jc w:val="center"/>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GREEN REVOLUTION AND ECOLOGICAL TRANSITION</w:t>
            </w:r>
          </w:p>
        </w:tc>
        <w:tc>
          <w:tcPr>
            <w:tcW w:w="653" w:type="dxa"/>
            <w:vMerge w:val="restart"/>
            <w:tcBorders>
              <w:top w:val="nil"/>
              <w:left w:val="single" w:sz="4" w:space="0" w:color="auto"/>
              <w:bottom w:val="single" w:sz="4" w:space="0" w:color="auto"/>
              <w:right w:val="single" w:sz="4" w:space="0" w:color="auto"/>
            </w:tcBorders>
            <w:shd w:val="clear" w:color="000000" w:fill="92D050"/>
            <w:vAlign w:val="center"/>
          </w:tcPr>
          <w:p w14:paraId="6D0B5F65"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59,47</w:t>
            </w:r>
          </w:p>
        </w:tc>
        <w:tc>
          <w:tcPr>
            <w:tcW w:w="530" w:type="dxa"/>
            <w:vMerge w:val="restart"/>
            <w:tcBorders>
              <w:top w:val="nil"/>
              <w:left w:val="single" w:sz="4" w:space="0" w:color="auto"/>
              <w:bottom w:val="single" w:sz="4" w:space="0" w:color="auto"/>
              <w:right w:val="single" w:sz="4" w:space="0" w:color="auto"/>
            </w:tcBorders>
            <w:shd w:val="clear" w:color="000000" w:fill="92D050"/>
            <w:vAlign w:val="center"/>
          </w:tcPr>
          <w:p w14:paraId="685792EF"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31%</w:t>
            </w:r>
          </w:p>
        </w:tc>
        <w:tc>
          <w:tcPr>
            <w:tcW w:w="374" w:type="dxa"/>
            <w:tcBorders>
              <w:top w:val="nil"/>
              <w:left w:val="nil"/>
              <w:bottom w:val="single" w:sz="4" w:space="0" w:color="auto"/>
              <w:right w:val="single" w:sz="4" w:space="0" w:color="auto"/>
            </w:tcBorders>
            <w:shd w:val="clear" w:color="000000" w:fill="92D050"/>
            <w:vAlign w:val="center"/>
          </w:tcPr>
          <w:p w14:paraId="02ACD4BD"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C1</w:t>
            </w:r>
          </w:p>
        </w:tc>
        <w:tc>
          <w:tcPr>
            <w:tcW w:w="4362" w:type="dxa"/>
            <w:tcBorders>
              <w:top w:val="nil"/>
              <w:left w:val="nil"/>
              <w:bottom w:val="single" w:sz="4" w:space="0" w:color="auto"/>
              <w:right w:val="single" w:sz="4" w:space="0" w:color="auto"/>
            </w:tcBorders>
            <w:shd w:val="clear" w:color="000000" w:fill="92D050"/>
            <w:vAlign w:val="center"/>
          </w:tcPr>
          <w:p w14:paraId="3B69F814" w14:textId="77777777" w:rsidR="00CE754B" w:rsidRPr="009B3D4B" w:rsidRDefault="00CE754B" w:rsidP="00AA41E7">
            <w:pPr>
              <w:widowControl/>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CIRCULAR ECONOMY AND SUSTAINABLE AGRICULTURE</w:t>
            </w:r>
          </w:p>
        </w:tc>
        <w:tc>
          <w:tcPr>
            <w:tcW w:w="653" w:type="dxa"/>
            <w:tcBorders>
              <w:top w:val="nil"/>
              <w:left w:val="nil"/>
              <w:bottom w:val="single" w:sz="4" w:space="0" w:color="auto"/>
              <w:right w:val="single" w:sz="4" w:space="0" w:color="auto"/>
            </w:tcBorders>
            <w:shd w:val="clear" w:color="000000" w:fill="92D050"/>
            <w:vAlign w:val="center"/>
          </w:tcPr>
          <w:p w14:paraId="6B5EF18E"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5,27</w:t>
            </w:r>
          </w:p>
        </w:tc>
      </w:tr>
      <w:tr w:rsidR="00CE754B" w14:paraId="0E49F9F1" w14:textId="77777777" w:rsidTr="00CE754B">
        <w:trPr>
          <w:trHeight w:val="582"/>
        </w:trPr>
        <w:tc>
          <w:tcPr>
            <w:tcW w:w="1194" w:type="dxa"/>
            <w:vMerge/>
            <w:tcBorders>
              <w:top w:val="nil"/>
              <w:left w:val="single" w:sz="4" w:space="0" w:color="auto"/>
              <w:bottom w:val="nil"/>
              <w:right w:val="single" w:sz="4" w:space="0" w:color="auto"/>
            </w:tcBorders>
          </w:tcPr>
          <w:p w14:paraId="3E9EBDCA" w14:textId="77777777" w:rsidR="00CE754B" w:rsidRDefault="00CE754B" w:rsidP="00AA41E7">
            <w:pPr>
              <w:widowControl/>
              <w:rPr>
                <w:rFonts w:ascii="Arial Narrow" w:hAnsi="Arial Narrow" w:cs="Arial Narrow"/>
                <w:color w:val="000000"/>
                <w:w w:val="0"/>
                <w:sz w:val="18"/>
                <w:szCs w:val="18"/>
              </w:rPr>
            </w:pPr>
          </w:p>
        </w:tc>
        <w:tc>
          <w:tcPr>
            <w:tcW w:w="2341" w:type="dxa"/>
            <w:vMerge/>
            <w:tcBorders>
              <w:top w:val="nil"/>
              <w:left w:val="single" w:sz="4" w:space="0" w:color="auto"/>
              <w:bottom w:val="single" w:sz="4" w:space="0" w:color="auto"/>
              <w:right w:val="single" w:sz="4" w:space="0" w:color="auto"/>
            </w:tcBorders>
            <w:vAlign w:val="center"/>
          </w:tcPr>
          <w:p w14:paraId="6AE3C6A5" w14:textId="77777777" w:rsidR="00CE754B" w:rsidRDefault="00CE754B" w:rsidP="00AA41E7">
            <w:pPr>
              <w:widowControl/>
              <w:rPr>
                <w:rFonts w:ascii="Arial Narrow" w:hAnsi="Arial Narrow" w:cs="Arial Narrow"/>
                <w:b/>
                <w:bCs/>
                <w:color w:val="000000"/>
                <w:w w:val="0"/>
                <w:sz w:val="18"/>
                <w:szCs w:val="18"/>
              </w:rPr>
            </w:pPr>
          </w:p>
        </w:tc>
        <w:tc>
          <w:tcPr>
            <w:tcW w:w="653" w:type="dxa"/>
            <w:vMerge/>
            <w:tcBorders>
              <w:top w:val="nil"/>
              <w:left w:val="single" w:sz="4" w:space="0" w:color="auto"/>
              <w:bottom w:val="single" w:sz="4" w:space="0" w:color="auto"/>
              <w:right w:val="single" w:sz="4" w:space="0" w:color="auto"/>
            </w:tcBorders>
            <w:vAlign w:val="center"/>
          </w:tcPr>
          <w:p w14:paraId="3F48A718" w14:textId="77777777" w:rsidR="00CE754B" w:rsidRDefault="00CE754B" w:rsidP="00AA41E7">
            <w:pPr>
              <w:widowControl/>
              <w:rPr>
                <w:rFonts w:ascii="Arial Narrow" w:hAnsi="Arial Narrow" w:cs="Arial Narrow"/>
                <w:b/>
                <w:bCs/>
                <w:color w:val="000000"/>
                <w:w w:val="0"/>
                <w:sz w:val="18"/>
                <w:szCs w:val="18"/>
              </w:rPr>
            </w:pPr>
          </w:p>
        </w:tc>
        <w:tc>
          <w:tcPr>
            <w:tcW w:w="530" w:type="dxa"/>
            <w:vMerge/>
            <w:tcBorders>
              <w:top w:val="nil"/>
              <w:left w:val="single" w:sz="4" w:space="0" w:color="auto"/>
              <w:bottom w:val="single" w:sz="4" w:space="0" w:color="auto"/>
              <w:right w:val="single" w:sz="4" w:space="0" w:color="auto"/>
            </w:tcBorders>
            <w:vAlign w:val="center"/>
          </w:tcPr>
          <w:p w14:paraId="613F26FF" w14:textId="77777777" w:rsidR="00CE754B" w:rsidRDefault="00CE754B" w:rsidP="00AA41E7">
            <w:pPr>
              <w:widowControl/>
              <w:rPr>
                <w:rFonts w:ascii="Arial Narrow" w:hAnsi="Arial Narrow" w:cs="Arial Narrow"/>
                <w:b/>
                <w:bCs/>
                <w:color w:val="000000"/>
                <w:w w:val="0"/>
                <w:sz w:val="18"/>
                <w:szCs w:val="18"/>
              </w:rPr>
            </w:pPr>
          </w:p>
        </w:tc>
        <w:tc>
          <w:tcPr>
            <w:tcW w:w="374" w:type="dxa"/>
            <w:tcBorders>
              <w:top w:val="nil"/>
              <w:left w:val="nil"/>
              <w:bottom w:val="single" w:sz="4" w:space="0" w:color="auto"/>
              <w:right w:val="single" w:sz="4" w:space="0" w:color="auto"/>
            </w:tcBorders>
            <w:shd w:val="clear" w:color="000000" w:fill="92D050"/>
            <w:vAlign w:val="center"/>
          </w:tcPr>
          <w:p w14:paraId="4EC7F853"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C2</w:t>
            </w:r>
          </w:p>
        </w:tc>
        <w:tc>
          <w:tcPr>
            <w:tcW w:w="4362" w:type="dxa"/>
            <w:tcBorders>
              <w:top w:val="nil"/>
              <w:left w:val="nil"/>
              <w:bottom w:val="single" w:sz="4" w:space="0" w:color="auto"/>
              <w:right w:val="single" w:sz="4" w:space="0" w:color="auto"/>
            </w:tcBorders>
            <w:shd w:val="clear" w:color="000000" w:fill="92D050"/>
            <w:vAlign w:val="center"/>
          </w:tcPr>
          <w:p w14:paraId="688E735F" w14:textId="77777777" w:rsidR="00CE754B" w:rsidRPr="009B3D4B" w:rsidRDefault="00CE754B" w:rsidP="00AA41E7">
            <w:pPr>
              <w:widowControl/>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RENEWABLE ENERGY, HYDROGEN, GRID AND SUSTAINABLE MOBILITY</w:t>
            </w:r>
          </w:p>
        </w:tc>
        <w:tc>
          <w:tcPr>
            <w:tcW w:w="653" w:type="dxa"/>
            <w:tcBorders>
              <w:top w:val="nil"/>
              <w:left w:val="nil"/>
              <w:bottom w:val="single" w:sz="4" w:space="0" w:color="auto"/>
              <w:right w:val="single" w:sz="4" w:space="0" w:color="auto"/>
            </w:tcBorders>
            <w:shd w:val="clear" w:color="000000" w:fill="92D050"/>
            <w:vAlign w:val="center"/>
          </w:tcPr>
          <w:p w14:paraId="3BED00F1"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23,78</w:t>
            </w:r>
          </w:p>
        </w:tc>
      </w:tr>
      <w:tr w:rsidR="00CE754B" w14:paraId="1EF8F989" w14:textId="77777777" w:rsidTr="00CE754B">
        <w:trPr>
          <w:trHeight w:val="582"/>
        </w:trPr>
        <w:tc>
          <w:tcPr>
            <w:tcW w:w="1194" w:type="dxa"/>
            <w:vMerge/>
            <w:tcBorders>
              <w:top w:val="nil"/>
              <w:left w:val="single" w:sz="4" w:space="0" w:color="auto"/>
              <w:bottom w:val="nil"/>
              <w:right w:val="single" w:sz="4" w:space="0" w:color="auto"/>
            </w:tcBorders>
          </w:tcPr>
          <w:p w14:paraId="4706449A" w14:textId="77777777" w:rsidR="00CE754B" w:rsidRDefault="00CE754B" w:rsidP="00AA41E7">
            <w:pPr>
              <w:widowControl/>
              <w:rPr>
                <w:rFonts w:ascii="Arial Narrow" w:hAnsi="Arial Narrow" w:cs="Arial Narrow"/>
                <w:color w:val="000000"/>
                <w:w w:val="0"/>
                <w:sz w:val="18"/>
                <w:szCs w:val="18"/>
              </w:rPr>
            </w:pPr>
          </w:p>
        </w:tc>
        <w:tc>
          <w:tcPr>
            <w:tcW w:w="2341" w:type="dxa"/>
            <w:vMerge/>
            <w:tcBorders>
              <w:top w:val="nil"/>
              <w:left w:val="single" w:sz="4" w:space="0" w:color="auto"/>
              <w:bottom w:val="single" w:sz="4" w:space="0" w:color="auto"/>
              <w:right w:val="single" w:sz="4" w:space="0" w:color="auto"/>
            </w:tcBorders>
            <w:vAlign w:val="center"/>
          </w:tcPr>
          <w:p w14:paraId="5682AEAC" w14:textId="77777777" w:rsidR="00CE754B" w:rsidRDefault="00CE754B" w:rsidP="00AA41E7">
            <w:pPr>
              <w:widowControl/>
              <w:rPr>
                <w:rFonts w:ascii="Arial Narrow" w:hAnsi="Arial Narrow" w:cs="Arial Narrow"/>
                <w:b/>
                <w:bCs/>
                <w:color w:val="000000"/>
                <w:w w:val="0"/>
                <w:sz w:val="18"/>
                <w:szCs w:val="18"/>
              </w:rPr>
            </w:pPr>
          </w:p>
        </w:tc>
        <w:tc>
          <w:tcPr>
            <w:tcW w:w="653" w:type="dxa"/>
            <w:vMerge/>
            <w:tcBorders>
              <w:top w:val="nil"/>
              <w:left w:val="single" w:sz="4" w:space="0" w:color="auto"/>
              <w:bottom w:val="single" w:sz="4" w:space="0" w:color="auto"/>
              <w:right w:val="single" w:sz="4" w:space="0" w:color="auto"/>
            </w:tcBorders>
            <w:vAlign w:val="center"/>
          </w:tcPr>
          <w:p w14:paraId="6E73D772" w14:textId="77777777" w:rsidR="00CE754B" w:rsidRDefault="00CE754B" w:rsidP="00AA41E7">
            <w:pPr>
              <w:widowControl/>
              <w:rPr>
                <w:rFonts w:ascii="Arial Narrow" w:hAnsi="Arial Narrow" w:cs="Arial Narrow"/>
                <w:b/>
                <w:bCs/>
                <w:color w:val="000000"/>
                <w:w w:val="0"/>
                <w:sz w:val="18"/>
                <w:szCs w:val="18"/>
              </w:rPr>
            </w:pPr>
          </w:p>
        </w:tc>
        <w:tc>
          <w:tcPr>
            <w:tcW w:w="530" w:type="dxa"/>
            <w:vMerge/>
            <w:tcBorders>
              <w:top w:val="nil"/>
              <w:left w:val="single" w:sz="4" w:space="0" w:color="auto"/>
              <w:bottom w:val="single" w:sz="4" w:space="0" w:color="auto"/>
              <w:right w:val="single" w:sz="4" w:space="0" w:color="auto"/>
            </w:tcBorders>
            <w:vAlign w:val="center"/>
          </w:tcPr>
          <w:p w14:paraId="6D1D1DE2" w14:textId="77777777" w:rsidR="00CE754B" w:rsidRDefault="00CE754B" w:rsidP="00AA41E7">
            <w:pPr>
              <w:widowControl/>
              <w:rPr>
                <w:rFonts w:ascii="Arial Narrow" w:hAnsi="Arial Narrow" w:cs="Arial Narrow"/>
                <w:b/>
                <w:bCs/>
                <w:color w:val="000000"/>
                <w:w w:val="0"/>
                <w:sz w:val="18"/>
                <w:szCs w:val="18"/>
              </w:rPr>
            </w:pPr>
          </w:p>
        </w:tc>
        <w:tc>
          <w:tcPr>
            <w:tcW w:w="374" w:type="dxa"/>
            <w:tcBorders>
              <w:top w:val="nil"/>
              <w:left w:val="nil"/>
              <w:bottom w:val="single" w:sz="4" w:space="0" w:color="auto"/>
              <w:right w:val="single" w:sz="4" w:space="0" w:color="auto"/>
            </w:tcBorders>
            <w:shd w:val="clear" w:color="000000" w:fill="92D050"/>
            <w:vAlign w:val="center"/>
          </w:tcPr>
          <w:p w14:paraId="11104F7B"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C3</w:t>
            </w:r>
          </w:p>
        </w:tc>
        <w:tc>
          <w:tcPr>
            <w:tcW w:w="4362" w:type="dxa"/>
            <w:tcBorders>
              <w:top w:val="nil"/>
              <w:left w:val="nil"/>
              <w:bottom w:val="single" w:sz="4" w:space="0" w:color="auto"/>
              <w:right w:val="single" w:sz="4" w:space="0" w:color="auto"/>
            </w:tcBorders>
            <w:shd w:val="clear" w:color="000000" w:fill="92D050"/>
            <w:vAlign w:val="center"/>
          </w:tcPr>
          <w:p w14:paraId="39C5D636" w14:textId="77777777" w:rsidR="00CE754B" w:rsidRPr="009B3D4B" w:rsidRDefault="00CE754B" w:rsidP="00AA41E7">
            <w:pPr>
              <w:widowControl/>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ENERGY EFFICIENCY AND BUILDING UPGRADING</w:t>
            </w:r>
          </w:p>
        </w:tc>
        <w:tc>
          <w:tcPr>
            <w:tcW w:w="653" w:type="dxa"/>
            <w:tcBorders>
              <w:top w:val="nil"/>
              <w:left w:val="nil"/>
              <w:bottom w:val="single" w:sz="4" w:space="0" w:color="auto"/>
              <w:right w:val="single" w:sz="4" w:space="0" w:color="auto"/>
            </w:tcBorders>
            <w:shd w:val="clear" w:color="000000" w:fill="92D050"/>
            <w:vAlign w:val="center"/>
          </w:tcPr>
          <w:p w14:paraId="75B795C1"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15,36</w:t>
            </w:r>
          </w:p>
        </w:tc>
      </w:tr>
      <w:tr w:rsidR="00CE754B" w14:paraId="2759EE68" w14:textId="77777777" w:rsidTr="00CE754B">
        <w:trPr>
          <w:trHeight w:val="582"/>
        </w:trPr>
        <w:tc>
          <w:tcPr>
            <w:tcW w:w="1194" w:type="dxa"/>
            <w:vMerge/>
            <w:tcBorders>
              <w:top w:val="nil"/>
              <w:left w:val="single" w:sz="4" w:space="0" w:color="auto"/>
              <w:bottom w:val="single" w:sz="4" w:space="0" w:color="auto"/>
              <w:right w:val="single" w:sz="4" w:space="0" w:color="auto"/>
            </w:tcBorders>
          </w:tcPr>
          <w:p w14:paraId="5089D050" w14:textId="77777777" w:rsidR="00CE754B" w:rsidRDefault="00CE754B" w:rsidP="00AA41E7">
            <w:pPr>
              <w:widowControl/>
              <w:rPr>
                <w:rFonts w:ascii="Arial Narrow" w:hAnsi="Arial Narrow" w:cs="Arial Narrow"/>
                <w:color w:val="000000"/>
                <w:w w:val="0"/>
                <w:sz w:val="18"/>
                <w:szCs w:val="18"/>
              </w:rPr>
            </w:pPr>
          </w:p>
        </w:tc>
        <w:tc>
          <w:tcPr>
            <w:tcW w:w="2341" w:type="dxa"/>
            <w:vMerge/>
            <w:tcBorders>
              <w:top w:val="nil"/>
              <w:left w:val="single" w:sz="4" w:space="0" w:color="auto"/>
              <w:bottom w:val="single" w:sz="4" w:space="0" w:color="auto"/>
              <w:right w:val="single" w:sz="4" w:space="0" w:color="auto"/>
            </w:tcBorders>
            <w:vAlign w:val="center"/>
          </w:tcPr>
          <w:p w14:paraId="52097B35" w14:textId="77777777" w:rsidR="00CE754B" w:rsidRDefault="00CE754B" w:rsidP="00AA41E7">
            <w:pPr>
              <w:widowControl/>
              <w:rPr>
                <w:rFonts w:ascii="Arial Narrow" w:hAnsi="Arial Narrow" w:cs="Arial Narrow"/>
                <w:b/>
                <w:bCs/>
                <w:color w:val="000000"/>
                <w:w w:val="0"/>
                <w:sz w:val="18"/>
                <w:szCs w:val="18"/>
              </w:rPr>
            </w:pPr>
          </w:p>
        </w:tc>
        <w:tc>
          <w:tcPr>
            <w:tcW w:w="653" w:type="dxa"/>
            <w:vMerge/>
            <w:tcBorders>
              <w:top w:val="nil"/>
              <w:left w:val="single" w:sz="4" w:space="0" w:color="auto"/>
              <w:bottom w:val="single" w:sz="4" w:space="0" w:color="auto"/>
              <w:right w:val="single" w:sz="4" w:space="0" w:color="auto"/>
            </w:tcBorders>
            <w:vAlign w:val="center"/>
          </w:tcPr>
          <w:p w14:paraId="50C87A8B" w14:textId="77777777" w:rsidR="00CE754B" w:rsidRDefault="00CE754B" w:rsidP="00AA41E7">
            <w:pPr>
              <w:widowControl/>
              <w:rPr>
                <w:rFonts w:ascii="Arial Narrow" w:hAnsi="Arial Narrow" w:cs="Arial Narrow"/>
                <w:b/>
                <w:bCs/>
                <w:color w:val="000000"/>
                <w:w w:val="0"/>
                <w:sz w:val="18"/>
                <w:szCs w:val="18"/>
              </w:rPr>
            </w:pPr>
          </w:p>
        </w:tc>
        <w:tc>
          <w:tcPr>
            <w:tcW w:w="530" w:type="dxa"/>
            <w:vMerge/>
            <w:tcBorders>
              <w:top w:val="nil"/>
              <w:left w:val="single" w:sz="4" w:space="0" w:color="auto"/>
              <w:bottom w:val="single" w:sz="4" w:space="0" w:color="auto"/>
              <w:right w:val="single" w:sz="4" w:space="0" w:color="auto"/>
            </w:tcBorders>
            <w:vAlign w:val="center"/>
          </w:tcPr>
          <w:p w14:paraId="3611FB9E" w14:textId="77777777" w:rsidR="00CE754B" w:rsidRDefault="00CE754B" w:rsidP="00AA41E7">
            <w:pPr>
              <w:widowControl/>
              <w:rPr>
                <w:rFonts w:ascii="Arial Narrow" w:hAnsi="Arial Narrow" w:cs="Arial Narrow"/>
                <w:b/>
                <w:bCs/>
                <w:color w:val="000000"/>
                <w:w w:val="0"/>
                <w:sz w:val="18"/>
                <w:szCs w:val="18"/>
              </w:rPr>
            </w:pPr>
          </w:p>
        </w:tc>
        <w:tc>
          <w:tcPr>
            <w:tcW w:w="374" w:type="dxa"/>
            <w:tcBorders>
              <w:top w:val="nil"/>
              <w:left w:val="nil"/>
              <w:bottom w:val="single" w:sz="4" w:space="0" w:color="auto"/>
              <w:right w:val="single" w:sz="4" w:space="0" w:color="auto"/>
            </w:tcBorders>
            <w:shd w:val="clear" w:color="000000" w:fill="92D050"/>
            <w:vAlign w:val="center"/>
          </w:tcPr>
          <w:p w14:paraId="6AEE9D0F"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C4</w:t>
            </w:r>
          </w:p>
        </w:tc>
        <w:tc>
          <w:tcPr>
            <w:tcW w:w="4362" w:type="dxa"/>
            <w:tcBorders>
              <w:top w:val="nil"/>
              <w:left w:val="nil"/>
              <w:bottom w:val="single" w:sz="4" w:space="0" w:color="auto"/>
              <w:right w:val="single" w:sz="4" w:space="0" w:color="auto"/>
            </w:tcBorders>
            <w:shd w:val="clear" w:color="000000" w:fill="92D050"/>
            <w:vAlign w:val="center"/>
          </w:tcPr>
          <w:p w14:paraId="5F0C3F49" w14:textId="77777777" w:rsidR="00CE754B" w:rsidRPr="009B3D4B" w:rsidRDefault="00CE754B" w:rsidP="00AA41E7">
            <w:pPr>
              <w:widowControl/>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PROTECTION OF LAND AND WATER RESOURCE</w:t>
            </w:r>
          </w:p>
        </w:tc>
        <w:tc>
          <w:tcPr>
            <w:tcW w:w="653" w:type="dxa"/>
            <w:tcBorders>
              <w:top w:val="nil"/>
              <w:left w:val="nil"/>
              <w:bottom w:val="single" w:sz="4" w:space="0" w:color="auto"/>
              <w:right w:val="single" w:sz="4" w:space="0" w:color="auto"/>
            </w:tcBorders>
            <w:shd w:val="clear" w:color="000000" w:fill="92D050"/>
            <w:vAlign w:val="center"/>
          </w:tcPr>
          <w:p w14:paraId="73E4B0A7"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15,06</w:t>
            </w:r>
          </w:p>
        </w:tc>
      </w:tr>
      <w:tr w:rsidR="00CE754B" w14:paraId="5D54888F" w14:textId="77777777" w:rsidTr="00CE754B">
        <w:trPr>
          <w:trHeight w:val="582"/>
        </w:trPr>
        <w:tc>
          <w:tcPr>
            <w:tcW w:w="1194" w:type="dxa"/>
            <w:vMerge w:val="restart"/>
            <w:tcBorders>
              <w:top w:val="nil"/>
              <w:left w:val="single" w:sz="4" w:space="0" w:color="auto"/>
              <w:bottom w:val="nil"/>
              <w:right w:val="single" w:sz="4" w:space="0" w:color="auto"/>
            </w:tcBorders>
            <w:shd w:val="clear" w:color="000000" w:fill="FF5050"/>
          </w:tcPr>
          <w:p w14:paraId="401BC973" w14:textId="77777777" w:rsidR="00CE754B" w:rsidRDefault="00CE754B" w:rsidP="00AA41E7">
            <w:pPr>
              <w:widowControl/>
              <w:jc w:val="center"/>
              <w:rPr>
                <w:w w:val="0"/>
              </w:rPr>
            </w:pPr>
            <w:r w:rsidRPr="006B264C">
              <w:rPr>
                <w:noProof/>
                <w:w w:val="0"/>
                <w:lang w:eastAsia="it-IT"/>
              </w:rPr>
              <w:drawing>
                <wp:inline distT="0" distB="0" distL="0" distR="0" wp14:anchorId="32259887" wp14:editId="67594397">
                  <wp:extent cx="607060" cy="51181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060" cy="511810"/>
                          </a:xfrm>
                          <a:prstGeom prst="rect">
                            <a:avLst/>
                          </a:prstGeom>
                          <a:noFill/>
                          <a:ln>
                            <a:noFill/>
                          </a:ln>
                        </pic:spPr>
                      </pic:pic>
                    </a:graphicData>
                  </a:graphic>
                </wp:inline>
              </w:drawing>
            </w:r>
          </w:p>
          <w:p w14:paraId="050C0710" w14:textId="77777777" w:rsidR="00CE754B" w:rsidRDefault="00CE754B" w:rsidP="00AA41E7">
            <w:pPr>
              <w:widowControl/>
              <w:rPr>
                <w:w w:val="0"/>
              </w:rPr>
            </w:pPr>
            <w:r w:rsidRPr="006B264C">
              <w:rPr>
                <w:noProof/>
                <w:w w:val="0"/>
                <w:lang w:eastAsia="it-IT"/>
              </w:rPr>
              <w:drawing>
                <wp:inline distT="0" distB="0" distL="0" distR="0" wp14:anchorId="6682DBCF" wp14:editId="453779E0">
                  <wp:extent cx="593725" cy="53213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 cy="532130"/>
                          </a:xfrm>
                          <a:prstGeom prst="rect">
                            <a:avLst/>
                          </a:prstGeom>
                          <a:noFill/>
                          <a:ln>
                            <a:noFill/>
                          </a:ln>
                        </pic:spPr>
                      </pic:pic>
                    </a:graphicData>
                  </a:graphic>
                </wp:inline>
              </w:drawing>
            </w:r>
          </w:p>
          <w:p w14:paraId="3977B2D3" w14:textId="77777777" w:rsidR="00CE754B" w:rsidRDefault="00CE754B" w:rsidP="00AA41E7">
            <w:pPr>
              <w:widowControl/>
              <w:jc w:val="center"/>
              <w:rPr>
                <w:rFonts w:ascii="Arial Narrow" w:hAnsi="Arial Narrow" w:cs="Arial Narrow"/>
                <w:color w:val="000000"/>
                <w:w w:val="0"/>
                <w:sz w:val="18"/>
                <w:szCs w:val="18"/>
              </w:rPr>
            </w:pPr>
          </w:p>
        </w:tc>
        <w:tc>
          <w:tcPr>
            <w:tcW w:w="2341" w:type="dxa"/>
            <w:vMerge w:val="restart"/>
            <w:tcBorders>
              <w:top w:val="nil"/>
              <w:left w:val="single" w:sz="4" w:space="0" w:color="auto"/>
              <w:bottom w:val="single" w:sz="4" w:space="0" w:color="auto"/>
              <w:right w:val="single" w:sz="4" w:space="0" w:color="auto"/>
            </w:tcBorders>
            <w:shd w:val="clear" w:color="000000" w:fill="FF5050"/>
            <w:vAlign w:val="center"/>
          </w:tcPr>
          <w:p w14:paraId="40142377"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INFRASTRUCTURE FOR SUSTAINABLE MOBILITY</w:t>
            </w:r>
          </w:p>
        </w:tc>
        <w:tc>
          <w:tcPr>
            <w:tcW w:w="653" w:type="dxa"/>
            <w:vMerge w:val="restart"/>
            <w:tcBorders>
              <w:top w:val="nil"/>
              <w:left w:val="single" w:sz="4" w:space="0" w:color="auto"/>
              <w:bottom w:val="single" w:sz="4" w:space="0" w:color="auto"/>
              <w:right w:val="single" w:sz="4" w:space="0" w:color="auto"/>
            </w:tcBorders>
            <w:shd w:val="clear" w:color="000000" w:fill="FF5050"/>
            <w:vAlign w:val="center"/>
          </w:tcPr>
          <w:p w14:paraId="5FA16BC3"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25,40</w:t>
            </w:r>
          </w:p>
        </w:tc>
        <w:tc>
          <w:tcPr>
            <w:tcW w:w="530" w:type="dxa"/>
            <w:vMerge w:val="restart"/>
            <w:tcBorders>
              <w:top w:val="nil"/>
              <w:left w:val="single" w:sz="4" w:space="0" w:color="auto"/>
              <w:bottom w:val="single" w:sz="4" w:space="0" w:color="auto"/>
              <w:right w:val="single" w:sz="4" w:space="0" w:color="auto"/>
            </w:tcBorders>
            <w:shd w:val="clear" w:color="000000" w:fill="FF5050"/>
            <w:vAlign w:val="center"/>
          </w:tcPr>
          <w:p w14:paraId="4EB00862"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13%</w:t>
            </w:r>
          </w:p>
        </w:tc>
        <w:tc>
          <w:tcPr>
            <w:tcW w:w="374" w:type="dxa"/>
            <w:tcBorders>
              <w:top w:val="nil"/>
              <w:left w:val="nil"/>
              <w:bottom w:val="single" w:sz="4" w:space="0" w:color="auto"/>
              <w:right w:val="single" w:sz="4" w:space="0" w:color="auto"/>
            </w:tcBorders>
            <w:shd w:val="clear" w:color="000000" w:fill="FF5050"/>
            <w:vAlign w:val="center"/>
          </w:tcPr>
          <w:p w14:paraId="523E6AB2"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C1</w:t>
            </w:r>
          </w:p>
        </w:tc>
        <w:tc>
          <w:tcPr>
            <w:tcW w:w="4362" w:type="dxa"/>
            <w:tcBorders>
              <w:top w:val="nil"/>
              <w:left w:val="nil"/>
              <w:bottom w:val="single" w:sz="4" w:space="0" w:color="auto"/>
              <w:right w:val="single" w:sz="4" w:space="0" w:color="auto"/>
            </w:tcBorders>
            <w:shd w:val="clear" w:color="000000" w:fill="FF5050"/>
            <w:vAlign w:val="center"/>
          </w:tcPr>
          <w:p w14:paraId="3F90195D" w14:textId="77777777" w:rsidR="00CE754B" w:rsidRPr="009B3D4B" w:rsidRDefault="00CE754B" w:rsidP="00AA41E7">
            <w:pPr>
              <w:widowControl/>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INVESTMENT IN THE RAILWAY NETWORK</w:t>
            </w:r>
          </w:p>
        </w:tc>
        <w:tc>
          <w:tcPr>
            <w:tcW w:w="653" w:type="dxa"/>
            <w:tcBorders>
              <w:top w:val="nil"/>
              <w:left w:val="nil"/>
              <w:bottom w:val="single" w:sz="4" w:space="0" w:color="auto"/>
              <w:right w:val="single" w:sz="4" w:space="0" w:color="auto"/>
            </w:tcBorders>
            <w:shd w:val="clear" w:color="000000" w:fill="FF5050"/>
            <w:vAlign w:val="center"/>
          </w:tcPr>
          <w:p w14:paraId="1629D171"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24,77</w:t>
            </w:r>
          </w:p>
        </w:tc>
      </w:tr>
      <w:tr w:rsidR="00CE754B" w14:paraId="5E827534" w14:textId="77777777" w:rsidTr="00CE754B">
        <w:trPr>
          <w:trHeight w:val="582"/>
        </w:trPr>
        <w:tc>
          <w:tcPr>
            <w:tcW w:w="1194" w:type="dxa"/>
            <w:vMerge/>
            <w:tcBorders>
              <w:top w:val="nil"/>
              <w:left w:val="single" w:sz="4" w:space="0" w:color="auto"/>
              <w:bottom w:val="single" w:sz="4" w:space="0" w:color="auto"/>
              <w:right w:val="single" w:sz="4" w:space="0" w:color="auto"/>
            </w:tcBorders>
          </w:tcPr>
          <w:p w14:paraId="0F07ABBF" w14:textId="77777777" w:rsidR="00CE754B" w:rsidRDefault="00CE754B" w:rsidP="00AA41E7">
            <w:pPr>
              <w:widowControl/>
              <w:rPr>
                <w:rFonts w:ascii="Arial Narrow" w:hAnsi="Arial Narrow" w:cs="Arial Narrow"/>
                <w:color w:val="000000"/>
                <w:w w:val="0"/>
                <w:sz w:val="18"/>
                <w:szCs w:val="18"/>
              </w:rPr>
            </w:pPr>
          </w:p>
        </w:tc>
        <w:tc>
          <w:tcPr>
            <w:tcW w:w="2341" w:type="dxa"/>
            <w:vMerge/>
            <w:tcBorders>
              <w:top w:val="nil"/>
              <w:left w:val="single" w:sz="4" w:space="0" w:color="auto"/>
              <w:bottom w:val="single" w:sz="4" w:space="0" w:color="auto"/>
              <w:right w:val="single" w:sz="4" w:space="0" w:color="auto"/>
            </w:tcBorders>
            <w:vAlign w:val="center"/>
          </w:tcPr>
          <w:p w14:paraId="3454710A" w14:textId="77777777" w:rsidR="00CE754B" w:rsidRDefault="00CE754B" w:rsidP="00AA41E7">
            <w:pPr>
              <w:widowControl/>
              <w:rPr>
                <w:rFonts w:ascii="Arial Narrow" w:hAnsi="Arial Narrow" w:cs="Arial Narrow"/>
                <w:b/>
                <w:bCs/>
                <w:color w:val="000000"/>
                <w:w w:val="0"/>
                <w:sz w:val="18"/>
                <w:szCs w:val="18"/>
              </w:rPr>
            </w:pPr>
          </w:p>
        </w:tc>
        <w:tc>
          <w:tcPr>
            <w:tcW w:w="653" w:type="dxa"/>
            <w:vMerge/>
            <w:tcBorders>
              <w:top w:val="nil"/>
              <w:left w:val="single" w:sz="4" w:space="0" w:color="auto"/>
              <w:bottom w:val="single" w:sz="4" w:space="0" w:color="auto"/>
              <w:right w:val="single" w:sz="4" w:space="0" w:color="auto"/>
            </w:tcBorders>
            <w:vAlign w:val="center"/>
          </w:tcPr>
          <w:p w14:paraId="26815E62" w14:textId="77777777" w:rsidR="00CE754B" w:rsidRDefault="00CE754B" w:rsidP="00AA41E7">
            <w:pPr>
              <w:widowControl/>
              <w:rPr>
                <w:rFonts w:ascii="Arial Narrow" w:hAnsi="Arial Narrow" w:cs="Arial Narrow"/>
                <w:b/>
                <w:bCs/>
                <w:color w:val="000000"/>
                <w:w w:val="0"/>
                <w:sz w:val="18"/>
                <w:szCs w:val="18"/>
              </w:rPr>
            </w:pPr>
          </w:p>
        </w:tc>
        <w:tc>
          <w:tcPr>
            <w:tcW w:w="530" w:type="dxa"/>
            <w:vMerge/>
            <w:tcBorders>
              <w:top w:val="nil"/>
              <w:left w:val="single" w:sz="4" w:space="0" w:color="auto"/>
              <w:bottom w:val="single" w:sz="4" w:space="0" w:color="auto"/>
              <w:right w:val="single" w:sz="4" w:space="0" w:color="auto"/>
            </w:tcBorders>
            <w:vAlign w:val="center"/>
          </w:tcPr>
          <w:p w14:paraId="4C0E8F98" w14:textId="77777777" w:rsidR="00CE754B" w:rsidRDefault="00CE754B" w:rsidP="00AA41E7">
            <w:pPr>
              <w:widowControl/>
              <w:rPr>
                <w:rFonts w:ascii="Arial Narrow" w:hAnsi="Arial Narrow" w:cs="Arial Narrow"/>
                <w:b/>
                <w:bCs/>
                <w:color w:val="000000"/>
                <w:w w:val="0"/>
                <w:sz w:val="18"/>
                <w:szCs w:val="18"/>
              </w:rPr>
            </w:pPr>
          </w:p>
        </w:tc>
        <w:tc>
          <w:tcPr>
            <w:tcW w:w="374" w:type="dxa"/>
            <w:tcBorders>
              <w:top w:val="nil"/>
              <w:left w:val="nil"/>
              <w:bottom w:val="single" w:sz="4" w:space="0" w:color="auto"/>
              <w:right w:val="single" w:sz="4" w:space="0" w:color="auto"/>
            </w:tcBorders>
            <w:shd w:val="clear" w:color="000000" w:fill="FF5050"/>
            <w:vAlign w:val="center"/>
          </w:tcPr>
          <w:p w14:paraId="65A7AAAF"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C2</w:t>
            </w:r>
          </w:p>
        </w:tc>
        <w:tc>
          <w:tcPr>
            <w:tcW w:w="4362" w:type="dxa"/>
            <w:tcBorders>
              <w:top w:val="nil"/>
              <w:left w:val="nil"/>
              <w:bottom w:val="single" w:sz="4" w:space="0" w:color="auto"/>
              <w:right w:val="single" w:sz="4" w:space="0" w:color="auto"/>
            </w:tcBorders>
            <w:shd w:val="clear" w:color="000000" w:fill="FF5050"/>
            <w:vAlign w:val="center"/>
          </w:tcPr>
          <w:p w14:paraId="6C4BEE10" w14:textId="77777777" w:rsidR="00CE754B" w:rsidRDefault="00CE754B" w:rsidP="00AA41E7">
            <w:pPr>
              <w:widowControl/>
              <w:rPr>
                <w:rFonts w:ascii="Arial Narrow" w:hAnsi="Arial Narrow" w:cs="Arial Narrow"/>
                <w:b/>
                <w:bCs/>
                <w:color w:val="000000"/>
                <w:w w:val="0"/>
                <w:sz w:val="18"/>
                <w:szCs w:val="18"/>
              </w:rPr>
            </w:pPr>
            <w:r>
              <w:rPr>
                <w:rFonts w:ascii="Arial Narrow" w:hAnsi="Arial Narrow" w:cs="Arial Narrow"/>
                <w:b/>
                <w:bCs/>
                <w:color w:val="000000"/>
                <w:w w:val="0"/>
                <w:sz w:val="18"/>
                <w:szCs w:val="18"/>
              </w:rPr>
              <w:t>INTERMODALITY AND INTEGRATED LOGISTICS</w:t>
            </w:r>
          </w:p>
        </w:tc>
        <w:tc>
          <w:tcPr>
            <w:tcW w:w="653" w:type="dxa"/>
            <w:tcBorders>
              <w:top w:val="nil"/>
              <w:left w:val="nil"/>
              <w:bottom w:val="single" w:sz="4" w:space="0" w:color="auto"/>
              <w:right w:val="single" w:sz="4" w:space="0" w:color="auto"/>
            </w:tcBorders>
            <w:shd w:val="clear" w:color="000000" w:fill="FF5050"/>
            <w:vAlign w:val="center"/>
          </w:tcPr>
          <w:p w14:paraId="37F8CAA2"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0,63</w:t>
            </w:r>
          </w:p>
        </w:tc>
      </w:tr>
      <w:tr w:rsidR="00CE754B" w14:paraId="12365355" w14:textId="77777777" w:rsidTr="00CE754B">
        <w:trPr>
          <w:trHeight w:val="582"/>
        </w:trPr>
        <w:tc>
          <w:tcPr>
            <w:tcW w:w="1194" w:type="dxa"/>
            <w:vMerge w:val="restart"/>
            <w:tcBorders>
              <w:top w:val="nil"/>
              <w:left w:val="single" w:sz="4" w:space="0" w:color="auto"/>
              <w:bottom w:val="nil"/>
              <w:right w:val="single" w:sz="4" w:space="0" w:color="auto"/>
            </w:tcBorders>
            <w:shd w:val="clear" w:color="000000" w:fill="F4B084"/>
          </w:tcPr>
          <w:p w14:paraId="4DD72940" w14:textId="77777777" w:rsidR="00CE754B" w:rsidRDefault="00CE754B" w:rsidP="00AA41E7">
            <w:pPr>
              <w:widowControl/>
              <w:rPr>
                <w:w w:val="0"/>
              </w:rPr>
            </w:pPr>
            <w:r w:rsidRPr="006B264C">
              <w:rPr>
                <w:noProof/>
                <w:w w:val="0"/>
                <w:lang w:eastAsia="it-IT"/>
              </w:rPr>
              <w:drawing>
                <wp:inline distT="0" distB="0" distL="0" distR="0" wp14:anchorId="7C4B72DE" wp14:editId="7582AF72">
                  <wp:extent cx="621030" cy="52514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1030" cy="525145"/>
                          </a:xfrm>
                          <a:prstGeom prst="rect">
                            <a:avLst/>
                          </a:prstGeom>
                          <a:noFill/>
                          <a:ln>
                            <a:noFill/>
                          </a:ln>
                        </pic:spPr>
                      </pic:pic>
                    </a:graphicData>
                  </a:graphic>
                </wp:inline>
              </w:drawing>
            </w:r>
          </w:p>
          <w:p w14:paraId="52566287" w14:textId="77777777" w:rsidR="00CE754B" w:rsidRDefault="00CE754B" w:rsidP="00AA41E7">
            <w:pPr>
              <w:widowControl/>
              <w:rPr>
                <w:w w:val="0"/>
              </w:rPr>
            </w:pPr>
            <w:r w:rsidRPr="006B264C">
              <w:rPr>
                <w:noProof/>
                <w:w w:val="0"/>
                <w:lang w:eastAsia="it-IT"/>
              </w:rPr>
              <w:drawing>
                <wp:inline distT="0" distB="0" distL="0" distR="0" wp14:anchorId="3191B1E9" wp14:editId="3D62F71C">
                  <wp:extent cx="593725" cy="54610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 cy="546100"/>
                          </a:xfrm>
                          <a:prstGeom prst="rect">
                            <a:avLst/>
                          </a:prstGeom>
                          <a:noFill/>
                          <a:ln>
                            <a:noFill/>
                          </a:ln>
                        </pic:spPr>
                      </pic:pic>
                    </a:graphicData>
                  </a:graphic>
                </wp:inline>
              </w:drawing>
            </w:r>
          </w:p>
          <w:p w14:paraId="570EAC8F" w14:textId="77777777" w:rsidR="00CE754B" w:rsidRDefault="00CE754B" w:rsidP="00AA41E7">
            <w:pPr>
              <w:widowControl/>
              <w:rPr>
                <w:rFonts w:ascii="Arial Narrow" w:hAnsi="Arial Narrow" w:cs="Arial Narrow"/>
                <w:color w:val="000000"/>
                <w:w w:val="0"/>
                <w:sz w:val="18"/>
                <w:szCs w:val="18"/>
              </w:rPr>
            </w:pPr>
          </w:p>
        </w:tc>
        <w:tc>
          <w:tcPr>
            <w:tcW w:w="2341" w:type="dxa"/>
            <w:vMerge w:val="restart"/>
            <w:tcBorders>
              <w:top w:val="nil"/>
              <w:left w:val="single" w:sz="4" w:space="0" w:color="auto"/>
              <w:bottom w:val="single" w:sz="4" w:space="0" w:color="auto"/>
              <w:right w:val="single" w:sz="4" w:space="0" w:color="auto"/>
            </w:tcBorders>
            <w:shd w:val="clear" w:color="000000" w:fill="F4B084"/>
            <w:vAlign w:val="center"/>
          </w:tcPr>
          <w:p w14:paraId="68FEC9C8"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EDUCATION AND RESEARCH</w:t>
            </w:r>
          </w:p>
        </w:tc>
        <w:tc>
          <w:tcPr>
            <w:tcW w:w="653" w:type="dxa"/>
            <w:vMerge w:val="restart"/>
            <w:tcBorders>
              <w:top w:val="nil"/>
              <w:left w:val="single" w:sz="4" w:space="0" w:color="auto"/>
              <w:bottom w:val="single" w:sz="4" w:space="0" w:color="auto"/>
              <w:right w:val="single" w:sz="4" w:space="0" w:color="auto"/>
            </w:tcBorders>
            <w:shd w:val="clear" w:color="000000" w:fill="F4B084"/>
            <w:vAlign w:val="center"/>
          </w:tcPr>
          <w:p w14:paraId="118FE3B6"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30,87</w:t>
            </w:r>
          </w:p>
        </w:tc>
        <w:tc>
          <w:tcPr>
            <w:tcW w:w="530" w:type="dxa"/>
            <w:vMerge w:val="restart"/>
            <w:tcBorders>
              <w:top w:val="nil"/>
              <w:left w:val="single" w:sz="4" w:space="0" w:color="auto"/>
              <w:bottom w:val="single" w:sz="4" w:space="0" w:color="auto"/>
              <w:right w:val="single" w:sz="4" w:space="0" w:color="auto"/>
            </w:tcBorders>
            <w:shd w:val="clear" w:color="000000" w:fill="F4B084"/>
            <w:vAlign w:val="center"/>
          </w:tcPr>
          <w:p w14:paraId="581F7FBA"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16%</w:t>
            </w:r>
          </w:p>
        </w:tc>
        <w:tc>
          <w:tcPr>
            <w:tcW w:w="374" w:type="dxa"/>
            <w:tcBorders>
              <w:top w:val="nil"/>
              <w:left w:val="nil"/>
              <w:bottom w:val="single" w:sz="4" w:space="0" w:color="auto"/>
              <w:right w:val="single" w:sz="4" w:space="0" w:color="auto"/>
            </w:tcBorders>
            <w:shd w:val="clear" w:color="000000" w:fill="F4B084"/>
            <w:vAlign w:val="center"/>
          </w:tcPr>
          <w:p w14:paraId="4B73EEC4"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C1</w:t>
            </w:r>
          </w:p>
        </w:tc>
        <w:tc>
          <w:tcPr>
            <w:tcW w:w="4362" w:type="dxa"/>
            <w:tcBorders>
              <w:top w:val="nil"/>
              <w:left w:val="nil"/>
              <w:bottom w:val="single" w:sz="4" w:space="0" w:color="auto"/>
              <w:right w:val="single" w:sz="4" w:space="0" w:color="auto"/>
            </w:tcBorders>
            <w:shd w:val="clear" w:color="000000" w:fill="F4B084"/>
            <w:vAlign w:val="center"/>
          </w:tcPr>
          <w:p w14:paraId="399BBA22" w14:textId="77777777" w:rsidR="00CE754B" w:rsidRPr="009B3D4B" w:rsidRDefault="00CE754B" w:rsidP="00AA41E7">
            <w:pPr>
              <w:widowControl/>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STRENGTHENING THE SUPPLY OF EDUCATION SERVICES: FROM KINDERGARTENS TO UNIVERSITIES</w:t>
            </w:r>
          </w:p>
        </w:tc>
        <w:tc>
          <w:tcPr>
            <w:tcW w:w="653" w:type="dxa"/>
            <w:tcBorders>
              <w:top w:val="nil"/>
              <w:left w:val="nil"/>
              <w:bottom w:val="single" w:sz="4" w:space="0" w:color="auto"/>
              <w:right w:val="single" w:sz="4" w:space="0" w:color="auto"/>
            </w:tcBorders>
            <w:shd w:val="clear" w:color="000000" w:fill="F4B084"/>
            <w:vAlign w:val="center"/>
          </w:tcPr>
          <w:p w14:paraId="26407788"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19,43</w:t>
            </w:r>
          </w:p>
        </w:tc>
      </w:tr>
      <w:tr w:rsidR="00CE754B" w14:paraId="39DCFC42" w14:textId="77777777" w:rsidTr="00CE754B">
        <w:trPr>
          <w:trHeight w:val="1201"/>
        </w:trPr>
        <w:tc>
          <w:tcPr>
            <w:tcW w:w="1194" w:type="dxa"/>
            <w:vMerge/>
            <w:tcBorders>
              <w:top w:val="nil"/>
              <w:left w:val="single" w:sz="4" w:space="0" w:color="auto"/>
              <w:bottom w:val="single" w:sz="4" w:space="0" w:color="auto"/>
              <w:right w:val="single" w:sz="4" w:space="0" w:color="auto"/>
            </w:tcBorders>
          </w:tcPr>
          <w:p w14:paraId="49279CD3" w14:textId="77777777" w:rsidR="00CE754B" w:rsidRDefault="00CE754B" w:rsidP="00AA41E7">
            <w:pPr>
              <w:widowControl/>
              <w:rPr>
                <w:rFonts w:ascii="Arial Narrow" w:hAnsi="Arial Narrow" w:cs="Arial Narrow"/>
                <w:color w:val="000000"/>
                <w:w w:val="0"/>
                <w:sz w:val="18"/>
                <w:szCs w:val="18"/>
              </w:rPr>
            </w:pPr>
          </w:p>
        </w:tc>
        <w:tc>
          <w:tcPr>
            <w:tcW w:w="2341" w:type="dxa"/>
            <w:vMerge/>
            <w:tcBorders>
              <w:top w:val="nil"/>
              <w:left w:val="single" w:sz="4" w:space="0" w:color="auto"/>
              <w:bottom w:val="single" w:sz="4" w:space="0" w:color="auto"/>
              <w:right w:val="single" w:sz="4" w:space="0" w:color="auto"/>
            </w:tcBorders>
            <w:vAlign w:val="center"/>
          </w:tcPr>
          <w:p w14:paraId="0FB8264B" w14:textId="77777777" w:rsidR="00CE754B" w:rsidRDefault="00CE754B" w:rsidP="00AA41E7">
            <w:pPr>
              <w:widowControl/>
              <w:rPr>
                <w:rFonts w:ascii="Arial Narrow" w:hAnsi="Arial Narrow" w:cs="Arial Narrow"/>
                <w:b/>
                <w:bCs/>
                <w:color w:val="000000"/>
                <w:w w:val="0"/>
                <w:sz w:val="18"/>
                <w:szCs w:val="18"/>
              </w:rPr>
            </w:pPr>
          </w:p>
        </w:tc>
        <w:tc>
          <w:tcPr>
            <w:tcW w:w="653" w:type="dxa"/>
            <w:vMerge/>
            <w:tcBorders>
              <w:top w:val="nil"/>
              <w:left w:val="single" w:sz="4" w:space="0" w:color="auto"/>
              <w:bottom w:val="single" w:sz="4" w:space="0" w:color="auto"/>
              <w:right w:val="single" w:sz="4" w:space="0" w:color="auto"/>
            </w:tcBorders>
            <w:vAlign w:val="center"/>
          </w:tcPr>
          <w:p w14:paraId="26A1C458" w14:textId="77777777" w:rsidR="00CE754B" w:rsidRDefault="00CE754B" w:rsidP="00AA41E7">
            <w:pPr>
              <w:widowControl/>
              <w:rPr>
                <w:rFonts w:ascii="Arial Narrow" w:hAnsi="Arial Narrow" w:cs="Arial Narrow"/>
                <w:b/>
                <w:bCs/>
                <w:color w:val="000000"/>
                <w:w w:val="0"/>
                <w:sz w:val="18"/>
                <w:szCs w:val="18"/>
              </w:rPr>
            </w:pPr>
          </w:p>
        </w:tc>
        <w:tc>
          <w:tcPr>
            <w:tcW w:w="530" w:type="dxa"/>
            <w:vMerge/>
            <w:tcBorders>
              <w:top w:val="nil"/>
              <w:left w:val="single" w:sz="4" w:space="0" w:color="auto"/>
              <w:bottom w:val="single" w:sz="4" w:space="0" w:color="auto"/>
              <w:right w:val="single" w:sz="4" w:space="0" w:color="auto"/>
            </w:tcBorders>
            <w:vAlign w:val="center"/>
          </w:tcPr>
          <w:p w14:paraId="26F6272E" w14:textId="77777777" w:rsidR="00CE754B" w:rsidRDefault="00CE754B" w:rsidP="00AA41E7">
            <w:pPr>
              <w:widowControl/>
              <w:rPr>
                <w:rFonts w:ascii="Arial Narrow" w:hAnsi="Arial Narrow" w:cs="Arial Narrow"/>
                <w:b/>
                <w:bCs/>
                <w:color w:val="000000"/>
                <w:w w:val="0"/>
                <w:sz w:val="18"/>
                <w:szCs w:val="18"/>
              </w:rPr>
            </w:pPr>
          </w:p>
        </w:tc>
        <w:tc>
          <w:tcPr>
            <w:tcW w:w="374" w:type="dxa"/>
            <w:tcBorders>
              <w:top w:val="nil"/>
              <w:left w:val="nil"/>
              <w:bottom w:val="single" w:sz="4" w:space="0" w:color="auto"/>
              <w:right w:val="single" w:sz="4" w:space="0" w:color="auto"/>
            </w:tcBorders>
            <w:shd w:val="clear" w:color="000000" w:fill="F4B084"/>
            <w:vAlign w:val="center"/>
          </w:tcPr>
          <w:p w14:paraId="4C49E6ED"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C2</w:t>
            </w:r>
          </w:p>
        </w:tc>
        <w:tc>
          <w:tcPr>
            <w:tcW w:w="4362" w:type="dxa"/>
            <w:tcBorders>
              <w:top w:val="nil"/>
              <w:left w:val="nil"/>
              <w:bottom w:val="single" w:sz="4" w:space="0" w:color="auto"/>
              <w:right w:val="single" w:sz="4" w:space="0" w:color="auto"/>
            </w:tcBorders>
            <w:shd w:val="clear" w:color="000000" w:fill="F4B084"/>
            <w:vAlign w:val="center"/>
          </w:tcPr>
          <w:p w14:paraId="4A2CFC6C" w14:textId="77777777" w:rsidR="00CE754B" w:rsidRDefault="00CE754B" w:rsidP="00AA41E7">
            <w:pPr>
              <w:widowControl/>
              <w:rPr>
                <w:rFonts w:ascii="Arial Narrow" w:hAnsi="Arial Narrow" w:cs="Arial Narrow"/>
                <w:b/>
                <w:bCs/>
                <w:color w:val="000000"/>
                <w:w w:val="0"/>
                <w:sz w:val="18"/>
                <w:szCs w:val="18"/>
              </w:rPr>
            </w:pPr>
            <w:r>
              <w:rPr>
                <w:rFonts w:ascii="Arial Narrow" w:hAnsi="Arial Narrow" w:cs="Arial Narrow"/>
                <w:b/>
                <w:bCs/>
                <w:color w:val="000000"/>
                <w:w w:val="0"/>
                <w:sz w:val="18"/>
                <w:szCs w:val="18"/>
              </w:rPr>
              <w:t>FROM RESEARCH TO ENTERPRISE</w:t>
            </w:r>
          </w:p>
        </w:tc>
        <w:tc>
          <w:tcPr>
            <w:tcW w:w="653" w:type="dxa"/>
            <w:tcBorders>
              <w:top w:val="nil"/>
              <w:left w:val="nil"/>
              <w:bottom w:val="single" w:sz="4" w:space="0" w:color="auto"/>
              <w:right w:val="single" w:sz="4" w:space="0" w:color="auto"/>
            </w:tcBorders>
            <w:shd w:val="clear" w:color="000000" w:fill="F4B084"/>
            <w:vAlign w:val="center"/>
          </w:tcPr>
          <w:p w14:paraId="3ADC8B69"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11,44</w:t>
            </w:r>
          </w:p>
        </w:tc>
      </w:tr>
      <w:tr w:rsidR="00CE754B" w14:paraId="4FC0CAD5" w14:textId="77777777" w:rsidTr="00CE754B">
        <w:trPr>
          <w:trHeight w:val="582"/>
        </w:trPr>
        <w:tc>
          <w:tcPr>
            <w:tcW w:w="1194" w:type="dxa"/>
            <w:vMerge w:val="restart"/>
            <w:tcBorders>
              <w:top w:val="nil"/>
              <w:left w:val="single" w:sz="4" w:space="0" w:color="auto"/>
              <w:bottom w:val="nil"/>
              <w:right w:val="single" w:sz="4" w:space="0" w:color="auto"/>
            </w:tcBorders>
            <w:shd w:val="clear" w:color="000000" w:fill="CC99FF"/>
          </w:tcPr>
          <w:p w14:paraId="6DC643E5" w14:textId="77777777" w:rsidR="00CE754B" w:rsidRDefault="00CE754B" w:rsidP="00AA41E7">
            <w:pPr>
              <w:widowControl/>
              <w:jc w:val="center"/>
              <w:rPr>
                <w:w w:val="0"/>
              </w:rPr>
            </w:pPr>
            <w:r w:rsidRPr="006B264C">
              <w:rPr>
                <w:noProof/>
                <w:w w:val="0"/>
                <w:lang w:eastAsia="it-IT"/>
              </w:rPr>
              <w:drawing>
                <wp:inline distT="0" distB="0" distL="0" distR="0" wp14:anchorId="18AEC13F" wp14:editId="033839B9">
                  <wp:extent cx="614045" cy="51181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4045" cy="511810"/>
                          </a:xfrm>
                          <a:prstGeom prst="rect">
                            <a:avLst/>
                          </a:prstGeom>
                          <a:noFill/>
                          <a:ln>
                            <a:noFill/>
                          </a:ln>
                        </pic:spPr>
                      </pic:pic>
                    </a:graphicData>
                  </a:graphic>
                </wp:inline>
              </w:drawing>
            </w:r>
          </w:p>
          <w:p w14:paraId="6A2792D0" w14:textId="77777777" w:rsidR="00CE754B" w:rsidRDefault="00CE754B" w:rsidP="00AA41E7">
            <w:pPr>
              <w:widowControl/>
              <w:rPr>
                <w:w w:val="0"/>
              </w:rPr>
            </w:pPr>
            <w:r w:rsidRPr="006B264C">
              <w:rPr>
                <w:noProof/>
                <w:w w:val="0"/>
                <w:lang w:eastAsia="it-IT"/>
              </w:rPr>
              <w:drawing>
                <wp:inline distT="0" distB="0" distL="0" distR="0" wp14:anchorId="1F0B2BA7" wp14:editId="0A96570D">
                  <wp:extent cx="621030" cy="53213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1030" cy="532130"/>
                          </a:xfrm>
                          <a:prstGeom prst="rect">
                            <a:avLst/>
                          </a:prstGeom>
                          <a:noFill/>
                          <a:ln>
                            <a:noFill/>
                          </a:ln>
                        </pic:spPr>
                      </pic:pic>
                    </a:graphicData>
                  </a:graphic>
                </wp:inline>
              </w:drawing>
            </w:r>
          </w:p>
          <w:p w14:paraId="0B3821B0" w14:textId="77777777" w:rsidR="00CE754B" w:rsidRDefault="00CE754B" w:rsidP="00AA41E7">
            <w:pPr>
              <w:widowControl/>
              <w:jc w:val="center"/>
              <w:rPr>
                <w:rFonts w:ascii="Arial Narrow" w:hAnsi="Arial Narrow" w:cs="Arial Narrow"/>
                <w:color w:val="000000"/>
                <w:w w:val="0"/>
                <w:sz w:val="18"/>
                <w:szCs w:val="18"/>
              </w:rPr>
            </w:pPr>
          </w:p>
        </w:tc>
        <w:tc>
          <w:tcPr>
            <w:tcW w:w="2341" w:type="dxa"/>
            <w:vMerge w:val="restart"/>
            <w:tcBorders>
              <w:top w:val="nil"/>
              <w:left w:val="single" w:sz="4" w:space="0" w:color="auto"/>
              <w:bottom w:val="single" w:sz="4" w:space="0" w:color="auto"/>
              <w:right w:val="single" w:sz="4" w:space="0" w:color="auto"/>
            </w:tcBorders>
            <w:shd w:val="clear" w:color="000000" w:fill="CC99FF"/>
            <w:vAlign w:val="center"/>
          </w:tcPr>
          <w:p w14:paraId="0371148A"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INCLUSION AND COHESION</w:t>
            </w:r>
          </w:p>
        </w:tc>
        <w:tc>
          <w:tcPr>
            <w:tcW w:w="653" w:type="dxa"/>
            <w:vMerge w:val="restart"/>
            <w:tcBorders>
              <w:top w:val="nil"/>
              <w:left w:val="single" w:sz="4" w:space="0" w:color="auto"/>
              <w:bottom w:val="single" w:sz="4" w:space="0" w:color="auto"/>
              <w:right w:val="single" w:sz="4" w:space="0" w:color="auto"/>
            </w:tcBorders>
            <w:shd w:val="clear" w:color="000000" w:fill="CC99FF"/>
            <w:vAlign w:val="center"/>
          </w:tcPr>
          <w:p w14:paraId="242D9D12"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19,81</w:t>
            </w:r>
          </w:p>
        </w:tc>
        <w:tc>
          <w:tcPr>
            <w:tcW w:w="530" w:type="dxa"/>
            <w:vMerge w:val="restart"/>
            <w:tcBorders>
              <w:top w:val="nil"/>
              <w:left w:val="single" w:sz="4" w:space="0" w:color="auto"/>
              <w:bottom w:val="single" w:sz="4" w:space="0" w:color="auto"/>
              <w:right w:val="single" w:sz="4" w:space="0" w:color="auto"/>
            </w:tcBorders>
            <w:shd w:val="clear" w:color="000000" w:fill="CC99FF"/>
            <w:vAlign w:val="center"/>
          </w:tcPr>
          <w:p w14:paraId="04EF7217"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10%</w:t>
            </w:r>
          </w:p>
        </w:tc>
        <w:tc>
          <w:tcPr>
            <w:tcW w:w="374" w:type="dxa"/>
            <w:tcBorders>
              <w:top w:val="nil"/>
              <w:left w:val="nil"/>
              <w:bottom w:val="single" w:sz="4" w:space="0" w:color="auto"/>
              <w:right w:val="single" w:sz="4" w:space="0" w:color="auto"/>
            </w:tcBorders>
            <w:shd w:val="clear" w:color="000000" w:fill="CC99FF"/>
            <w:vAlign w:val="center"/>
          </w:tcPr>
          <w:p w14:paraId="70F898D2"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C1</w:t>
            </w:r>
          </w:p>
        </w:tc>
        <w:tc>
          <w:tcPr>
            <w:tcW w:w="4362" w:type="dxa"/>
            <w:tcBorders>
              <w:top w:val="nil"/>
              <w:left w:val="nil"/>
              <w:bottom w:val="single" w:sz="4" w:space="0" w:color="auto"/>
              <w:right w:val="single" w:sz="4" w:space="0" w:color="auto"/>
            </w:tcBorders>
            <w:shd w:val="clear" w:color="000000" w:fill="CC99FF"/>
            <w:vAlign w:val="center"/>
          </w:tcPr>
          <w:p w14:paraId="0C0BA089" w14:textId="77777777" w:rsidR="00CE754B" w:rsidRDefault="00CE754B" w:rsidP="00AA41E7">
            <w:pPr>
              <w:widowControl/>
              <w:rPr>
                <w:rFonts w:ascii="Arial Narrow" w:hAnsi="Arial Narrow" w:cs="Arial Narrow"/>
                <w:b/>
                <w:bCs/>
                <w:color w:val="000000"/>
                <w:w w:val="0"/>
                <w:sz w:val="18"/>
                <w:szCs w:val="18"/>
              </w:rPr>
            </w:pPr>
            <w:r>
              <w:rPr>
                <w:rFonts w:ascii="Arial Narrow" w:hAnsi="Arial Narrow" w:cs="Arial Narrow"/>
                <w:b/>
                <w:bCs/>
                <w:color w:val="000000"/>
                <w:w w:val="0"/>
                <w:sz w:val="18"/>
                <w:szCs w:val="18"/>
              </w:rPr>
              <w:t>EMPLOYMENT POLICIES</w:t>
            </w:r>
          </w:p>
        </w:tc>
        <w:tc>
          <w:tcPr>
            <w:tcW w:w="653" w:type="dxa"/>
            <w:tcBorders>
              <w:top w:val="nil"/>
              <w:left w:val="nil"/>
              <w:bottom w:val="single" w:sz="4" w:space="0" w:color="auto"/>
              <w:right w:val="single" w:sz="4" w:space="0" w:color="auto"/>
            </w:tcBorders>
            <w:shd w:val="clear" w:color="000000" w:fill="CC99FF"/>
            <w:vAlign w:val="center"/>
          </w:tcPr>
          <w:p w14:paraId="351A5F24"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6,66</w:t>
            </w:r>
          </w:p>
        </w:tc>
      </w:tr>
      <w:tr w:rsidR="00CE754B" w14:paraId="6CC4D328" w14:textId="77777777" w:rsidTr="00CE754B">
        <w:trPr>
          <w:trHeight w:val="582"/>
        </w:trPr>
        <w:tc>
          <w:tcPr>
            <w:tcW w:w="1194" w:type="dxa"/>
            <w:vMerge/>
            <w:tcBorders>
              <w:top w:val="nil"/>
              <w:left w:val="single" w:sz="4" w:space="0" w:color="auto"/>
              <w:bottom w:val="nil"/>
              <w:right w:val="single" w:sz="4" w:space="0" w:color="auto"/>
            </w:tcBorders>
          </w:tcPr>
          <w:p w14:paraId="323236A8" w14:textId="77777777" w:rsidR="00CE754B" w:rsidRDefault="00CE754B" w:rsidP="00AA41E7">
            <w:pPr>
              <w:widowControl/>
              <w:rPr>
                <w:rFonts w:ascii="Arial Narrow" w:hAnsi="Arial Narrow" w:cs="Arial Narrow"/>
                <w:color w:val="000000"/>
                <w:w w:val="0"/>
                <w:sz w:val="18"/>
                <w:szCs w:val="18"/>
              </w:rPr>
            </w:pPr>
          </w:p>
        </w:tc>
        <w:tc>
          <w:tcPr>
            <w:tcW w:w="2341" w:type="dxa"/>
            <w:vMerge/>
            <w:tcBorders>
              <w:top w:val="nil"/>
              <w:left w:val="single" w:sz="4" w:space="0" w:color="auto"/>
              <w:bottom w:val="single" w:sz="4" w:space="0" w:color="auto"/>
              <w:right w:val="single" w:sz="4" w:space="0" w:color="auto"/>
            </w:tcBorders>
            <w:vAlign w:val="center"/>
          </w:tcPr>
          <w:p w14:paraId="4B678660" w14:textId="77777777" w:rsidR="00CE754B" w:rsidRDefault="00CE754B" w:rsidP="00AA41E7">
            <w:pPr>
              <w:widowControl/>
              <w:rPr>
                <w:rFonts w:ascii="Arial Narrow" w:hAnsi="Arial Narrow" w:cs="Arial Narrow"/>
                <w:b/>
                <w:bCs/>
                <w:color w:val="000000"/>
                <w:w w:val="0"/>
                <w:sz w:val="18"/>
                <w:szCs w:val="18"/>
              </w:rPr>
            </w:pPr>
          </w:p>
        </w:tc>
        <w:tc>
          <w:tcPr>
            <w:tcW w:w="653" w:type="dxa"/>
            <w:vMerge/>
            <w:tcBorders>
              <w:top w:val="nil"/>
              <w:left w:val="single" w:sz="4" w:space="0" w:color="auto"/>
              <w:bottom w:val="single" w:sz="4" w:space="0" w:color="auto"/>
              <w:right w:val="single" w:sz="4" w:space="0" w:color="auto"/>
            </w:tcBorders>
            <w:vAlign w:val="center"/>
          </w:tcPr>
          <w:p w14:paraId="5D9AE551" w14:textId="77777777" w:rsidR="00CE754B" w:rsidRDefault="00CE754B" w:rsidP="00AA41E7">
            <w:pPr>
              <w:widowControl/>
              <w:rPr>
                <w:rFonts w:ascii="Arial Narrow" w:hAnsi="Arial Narrow" w:cs="Arial Narrow"/>
                <w:b/>
                <w:bCs/>
                <w:color w:val="000000"/>
                <w:w w:val="0"/>
                <w:sz w:val="18"/>
                <w:szCs w:val="18"/>
              </w:rPr>
            </w:pPr>
          </w:p>
        </w:tc>
        <w:tc>
          <w:tcPr>
            <w:tcW w:w="530" w:type="dxa"/>
            <w:vMerge/>
            <w:tcBorders>
              <w:top w:val="nil"/>
              <w:left w:val="single" w:sz="4" w:space="0" w:color="auto"/>
              <w:bottom w:val="single" w:sz="4" w:space="0" w:color="auto"/>
              <w:right w:val="single" w:sz="4" w:space="0" w:color="auto"/>
            </w:tcBorders>
            <w:vAlign w:val="center"/>
          </w:tcPr>
          <w:p w14:paraId="1A5C4977" w14:textId="77777777" w:rsidR="00CE754B" w:rsidRDefault="00CE754B" w:rsidP="00AA41E7">
            <w:pPr>
              <w:widowControl/>
              <w:rPr>
                <w:rFonts w:ascii="Arial Narrow" w:hAnsi="Arial Narrow" w:cs="Arial Narrow"/>
                <w:b/>
                <w:bCs/>
                <w:color w:val="000000"/>
                <w:w w:val="0"/>
                <w:sz w:val="18"/>
                <w:szCs w:val="18"/>
              </w:rPr>
            </w:pPr>
          </w:p>
        </w:tc>
        <w:tc>
          <w:tcPr>
            <w:tcW w:w="374" w:type="dxa"/>
            <w:tcBorders>
              <w:top w:val="nil"/>
              <w:left w:val="nil"/>
              <w:bottom w:val="single" w:sz="4" w:space="0" w:color="auto"/>
              <w:right w:val="single" w:sz="4" w:space="0" w:color="auto"/>
            </w:tcBorders>
            <w:shd w:val="clear" w:color="000000" w:fill="CC99FF"/>
            <w:vAlign w:val="center"/>
          </w:tcPr>
          <w:p w14:paraId="617B296E"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C2</w:t>
            </w:r>
          </w:p>
        </w:tc>
        <w:tc>
          <w:tcPr>
            <w:tcW w:w="4362" w:type="dxa"/>
            <w:tcBorders>
              <w:top w:val="nil"/>
              <w:left w:val="nil"/>
              <w:bottom w:val="single" w:sz="4" w:space="0" w:color="auto"/>
              <w:right w:val="single" w:sz="4" w:space="0" w:color="auto"/>
            </w:tcBorders>
            <w:shd w:val="clear" w:color="000000" w:fill="CC99FF"/>
            <w:vAlign w:val="center"/>
          </w:tcPr>
          <w:p w14:paraId="4CF13A93" w14:textId="77777777" w:rsidR="00CE754B" w:rsidRPr="009B3D4B" w:rsidRDefault="00CE754B" w:rsidP="00AA41E7">
            <w:pPr>
              <w:widowControl/>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SOCIAL INFRASTRUCTURE, FAMILIES, COMMUNITIES AND THE THIRD SECTOR</w:t>
            </w:r>
          </w:p>
        </w:tc>
        <w:tc>
          <w:tcPr>
            <w:tcW w:w="653" w:type="dxa"/>
            <w:tcBorders>
              <w:top w:val="nil"/>
              <w:left w:val="nil"/>
              <w:bottom w:val="single" w:sz="4" w:space="0" w:color="auto"/>
              <w:right w:val="single" w:sz="4" w:space="0" w:color="auto"/>
            </w:tcBorders>
            <w:shd w:val="clear" w:color="000000" w:fill="CC99FF"/>
            <w:vAlign w:val="center"/>
          </w:tcPr>
          <w:p w14:paraId="5D60FC88"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11,17</w:t>
            </w:r>
          </w:p>
        </w:tc>
      </w:tr>
      <w:tr w:rsidR="00CE754B" w14:paraId="63E9C4FF" w14:textId="77777777" w:rsidTr="00CE754B">
        <w:trPr>
          <w:trHeight w:val="582"/>
        </w:trPr>
        <w:tc>
          <w:tcPr>
            <w:tcW w:w="1194" w:type="dxa"/>
            <w:vMerge/>
            <w:tcBorders>
              <w:top w:val="nil"/>
              <w:left w:val="single" w:sz="4" w:space="0" w:color="auto"/>
              <w:bottom w:val="single" w:sz="4" w:space="0" w:color="auto"/>
              <w:right w:val="single" w:sz="4" w:space="0" w:color="auto"/>
            </w:tcBorders>
          </w:tcPr>
          <w:p w14:paraId="55E598FF" w14:textId="77777777" w:rsidR="00CE754B" w:rsidRDefault="00CE754B" w:rsidP="00AA41E7">
            <w:pPr>
              <w:widowControl/>
              <w:rPr>
                <w:rFonts w:ascii="Arial Narrow" w:hAnsi="Arial Narrow" w:cs="Arial Narrow"/>
                <w:color w:val="000000"/>
                <w:w w:val="0"/>
                <w:sz w:val="18"/>
                <w:szCs w:val="18"/>
              </w:rPr>
            </w:pPr>
          </w:p>
        </w:tc>
        <w:tc>
          <w:tcPr>
            <w:tcW w:w="2341" w:type="dxa"/>
            <w:vMerge/>
            <w:tcBorders>
              <w:top w:val="nil"/>
              <w:left w:val="single" w:sz="4" w:space="0" w:color="auto"/>
              <w:bottom w:val="single" w:sz="4" w:space="0" w:color="auto"/>
              <w:right w:val="single" w:sz="4" w:space="0" w:color="auto"/>
            </w:tcBorders>
            <w:vAlign w:val="center"/>
          </w:tcPr>
          <w:p w14:paraId="642B4507" w14:textId="77777777" w:rsidR="00CE754B" w:rsidRDefault="00CE754B" w:rsidP="00AA41E7">
            <w:pPr>
              <w:widowControl/>
              <w:rPr>
                <w:rFonts w:ascii="Arial Narrow" w:hAnsi="Arial Narrow" w:cs="Arial Narrow"/>
                <w:b/>
                <w:bCs/>
                <w:color w:val="000000"/>
                <w:w w:val="0"/>
                <w:sz w:val="18"/>
                <w:szCs w:val="18"/>
              </w:rPr>
            </w:pPr>
          </w:p>
        </w:tc>
        <w:tc>
          <w:tcPr>
            <w:tcW w:w="653" w:type="dxa"/>
            <w:vMerge/>
            <w:tcBorders>
              <w:top w:val="nil"/>
              <w:left w:val="single" w:sz="4" w:space="0" w:color="auto"/>
              <w:bottom w:val="single" w:sz="4" w:space="0" w:color="auto"/>
              <w:right w:val="single" w:sz="4" w:space="0" w:color="auto"/>
            </w:tcBorders>
            <w:vAlign w:val="center"/>
          </w:tcPr>
          <w:p w14:paraId="6B0407F0" w14:textId="77777777" w:rsidR="00CE754B" w:rsidRDefault="00CE754B" w:rsidP="00AA41E7">
            <w:pPr>
              <w:widowControl/>
              <w:rPr>
                <w:rFonts w:ascii="Arial Narrow" w:hAnsi="Arial Narrow" w:cs="Arial Narrow"/>
                <w:b/>
                <w:bCs/>
                <w:color w:val="000000"/>
                <w:w w:val="0"/>
                <w:sz w:val="18"/>
                <w:szCs w:val="18"/>
              </w:rPr>
            </w:pPr>
          </w:p>
        </w:tc>
        <w:tc>
          <w:tcPr>
            <w:tcW w:w="530" w:type="dxa"/>
            <w:vMerge/>
            <w:tcBorders>
              <w:top w:val="nil"/>
              <w:left w:val="single" w:sz="4" w:space="0" w:color="auto"/>
              <w:bottom w:val="single" w:sz="4" w:space="0" w:color="auto"/>
              <w:right w:val="single" w:sz="4" w:space="0" w:color="auto"/>
            </w:tcBorders>
            <w:vAlign w:val="center"/>
          </w:tcPr>
          <w:p w14:paraId="14B17FB2" w14:textId="77777777" w:rsidR="00CE754B" w:rsidRDefault="00CE754B" w:rsidP="00AA41E7">
            <w:pPr>
              <w:widowControl/>
              <w:rPr>
                <w:rFonts w:ascii="Arial Narrow" w:hAnsi="Arial Narrow" w:cs="Arial Narrow"/>
                <w:b/>
                <w:bCs/>
                <w:color w:val="000000"/>
                <w:w w:val="0"/>
                <w:sz w:val="18"/>
                <w:szCs w:val="18"/>
              </w:rPr>
            </w:pPr>
          </w:p>
        </w:tc>
        <w:tc>
          <w:tcPr>
            <w:tcW w:w="374" w:type="dxa"/>
            <w:tcBorders>
              <w:top w:val="nil"/>
              <w:left w:val="nil"/>
              <w:bottom w:val="single" w:sz="4" w:space="0" w:color="auto"/>
              <w:right w:val="single" w:sz="4" w:space="0" w:color="auto"/>
            </w:tcBorders>
            <w:shd w:val="clear" w:color="000000" w:fill="CC99FF"/>
            <w:vAlign w:val="center"/>
          </w:tcPr>
          <w:p w14:paraId="787C8CBA"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C3</w:t>
            </w:r>
          </w:p>
        </w:tc>
        <w:tc>
          <w:tcPr>
            <w:tcW w:w="4362" w:type="dxa"/>
            <w:tcBorders>
              <w:top w:val="nil"/>
              <w:left w:val="nil"/>
              <w:bottom w:val="single" w:sz="4" w:space="0" w:color="auto"/>
              <w:right w:val="single" w:sz="4" w:space="0" w:color="auto"/>
            </w:tcBorders>
            <w:shd w:val="clear" w:color="000000" w:fill="CC99FF"/>
            <w:vAlign w:val="center"/>
          </w:tcPr>
          <w:p w14:paraId="5D2FBD32" w14:textId="77777777" w:rsidR="00CE754B" w:rsidRPr="009B3D4B" w:rsidRDefault="00CE754B" w:rsidP="00AA41E7">
            <w:pPr>
              <w:widowControl/>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SPECIAL INTERVENTIONS FOR TERRITORIAL COHESION</w:t>
            </w:r>
          </w:p>
        </w:tc>
        <w:tc>
          <w:tcPr>
            <w:tcW w:w="653" w:type="dxa"/>
            <w:tcBorders>
              <w:top w:val="nil"/>
              <w:left w:val="nil"/>
              <w:bottom w:val="single" w:sz="4" w:space="0" w:color="auto"/>
              <w:right w:val="single" w:sz="4" w:space="0" w:color="auto"/>
            </w:tcBorders>
            <w:shd w:val="clear" w:color="000000" w:fill="CC99FF"/>
            <w:vAlign w:val="center"/>
          </w:tcPr>
          <w:p w14:paraId="0B7A0A4C"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1,98</w:t>
            </w:r>
          </w:p>
        </w:tc>
      </w:tr>
      <w:tr w:rsidR="00CE754B" w14:paraId="186AC8BB" w14:textId="77777777" w:rsidTr="00CE754B">
        <w:trPr>
          <w:trHeight w:val="582"/>
        </w:trPr>
        <w:tc>
          <w:tcPr>
            <w:tcW w:w="1194" w:type="dxa"/>
            <w:vMerge w:val="restart"/>
            <w:tcBorders>
              <w:top w:val="nil"/>
              <w:left w:val="single" w:sz="4" w:space="0" w:color="auto"/>
              <w:bottom w:val="nil"/>
              <w:right w:val="single" w:sz="4" w:space="0" w:color="auto"/>
            </w:tcBorders>
            <w:shd w:val="clear" w:color="000000" w:fill="FFC000"/>
          </w:tcPr>
          <w:p w14:paraId="1A375E1B" w14:textId="77777777" w:rsidR="00CE754B" w:rsidRDefault="00CE754B" w:rsidP="00AA41E7">
            <w:pPr>
              <w:widowControl/>
              <w:jc w:val="center"/>
              <w:rPr>
                <w:w w:val="0"/>
              </w:rPr>
            </w:pPr>
            <w:r w:rsidRPr="006B264C">
              <w:rPr>
                <w:noProof/>
                <w:w w:val="0"/>
                <w:lang w:eastAsia="it-IT"/>
              </w:rPr>
              <w:drawing>
                <wp:inline distT="0" distB="0" distL="0" distR="0" wp14:anchorId="44964CBD" wp14:editId="550ABF48">
                  <wp:extent cx="614045" cy="518795"/>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4045" cy="518795"/>
                          </a:xfrm>
                          <a:prstGeom prst="rect">
                            <a:avLst/>
                          </a:prstGeom>
                          <a:noFill/>
                          <a:ln>
                            <a:noFill/>
                          </a:ln>
                        </pic:spPr>
                      </pic:pic>
                    </a:graphicData>
                  </a:graphic>
                </wp:inline>
              </w:drawing>
            </w:r>
          </w:p>
          <w:p w14:paraId="5921E1C3" w14:textId="77777777" w:rsidR="00CE754B" w:rsidRDefault="00CE754B" w:rsidP="00AA41E7">
            <w:pPr>
              <w:widowControl/>
              <w:rPr>
                <w:w w:val="0"/>
              </w:rPr>
            </w:pPr>
            <w:r w:rsidRPr="006B264C">
              <w:rPr>
                <w:noProof/>
                <w:w w:val="0"/>
                <w:lang w:eastAsia="it-IT"/>
              </w:rPr>
              <w:drawing>
                <wp:inline distT="0" distB="0" distL="0" distR="0" wp14:anchorId="18591815" wp14:editId="2CFD98D3">
                  <wp:extent cx="621030" cy="53911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1030" cy="539115"/>
                          </a:xfrm>
                          <a:prstGeom prst="rect">
                            <a:avLst/>
                          </a:prstGeom>
                          <a:noFill/>
                          <a:ln>
                            <a:noFill/>
                          </a:ln>
                        </pic:spPr>
                      </pic:pic>
                    </a:graphicData>
                  </a:graphic>
                </wp:inline>
              </w:drawing>
            </w:r>
          </w:p>
          <w:p w14:paraId="03DED946" w14:textId="77777777" w:rsidR="00CE754B" w:rsidRDefault="00CE754B" w:rsidP="00AA41E7">
            <w:pPr>
              <w:widowControl/>
              <w:jc w:val="center"/>
              <w:rPr>
                <w:rFonts w:ascii="Arial Narrow" w:hAnsi="Arial Narrow" w:cs="Arial Narrow"/>
                <w:color w:val="000000"/>
                <w:w w:val="0"/>
                <w:sz w:val="18"/>
                <w:szCs w:val="18"/>
              </w:rPr>
            </w:pPr>
          </w:p>
        </w:tc>
        <w:tc>
          <w:tcPr>
            <w:tcW w:w="2341" w:type="dxa"/>
            <w:vMerge w:val="restart"/>
            <w:tcBorders>
              <w:top w:val="nil"/>
              <w:left w:val="single" w:sz="4" w:space="0" w:color="auto"/>
              <w:bottom w:val="single" w:sz="4" w:space="0" w:color="auto"/>
              <w:right w:val="single" w:sz="4" w:space="0" w:color="auto"/>
            </w:tcBorders>
            <w:shd w:val="clear" w:color="000000" w:fill="FFC000"/>
            <w:vAlign w:val="center"/>
          </w:tcPr>
          <w:p w14:paraId="17420755"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HEALTH</w:t>
            </w:r>
          </w:p>
        </w:tc>
        <w:tc>
          <w:tcPr>
            <w:tcW w:w="653" w:type="dxa"/>
            <w:vMerge w:val="restart"/>
            <w:tcBorders>
              <w:top w:val="nil"/>
              <w:left w:val="single" w:sz="4" w:space="0" w:color="auto"/>
              <w:bottom w:val="single" w:sz="4" w:space="0" w:color="auto"/>
              <w:right w:val="single" w:sz="4" w:space="0" w:color="auto"/>
            </w:tcBorders>
            <w:shd w:val="clear" w:color="000000" w:fill="FFC000"/>
            <w:vAlign w:val="center"/>
          </w:tcPr>
          <w:p w14:paraId="5B20047F"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15,62</w:t>
            </w:r>
          </w:p>
        </w:tc>
        <w:tc>
          <w:tcPr>
            <w:tcW w:w="530" w:type="dxa"/>
            <w:vMerge w:val="restart"/>
            <w:tcBorders>
              <w:top w:val="nil"/>
              <w:left w:val="single" w:sz="4" w:space="0" w:color="auto"/>
              <w:bottom w:val="single" w:sz="4" w:space="0" w:color="auto"/>
              <w:right w:val="single" w:sz="4" w:space="0" w:color="auto"/>
            </w:tcBorders>
            <w:shd w:val="clear" w:color="000000" w:fill="FFC000"/>
            <w:vAlign w:val="center"/>
          </w:tcPr>
          <w:p w14:paraId="765953F3"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8%</w:t>
            </w:r>
          </w:p>
        </w:tc>
        <w:tc>
          <w:tcPr>
            <w:tcW w:w="374" w:type="dxa"/>
            <w:tcBorders>
              <w:top w:val="nil"/>
              <w:left w:val="nil"/>
              <w:bottom w:val="single" w:sz="4" w:space="0" w:color="auto"/>
              <w:right w:val="single" w:sz="4" w:space="0" w:color="auto"/>
            </w:tcBorders>
            <w:shd w:val="clear" w:color="000000" w:fill="FFC000"/>
            <w:vAlign w:val="center"/>
          </w:tcPr>
          <w:p w14:paraId="5BF68CFC"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C1</w:t>
            </w:r>
          </w:p>
        </w:tc>
        <w:tc>
          <w:tcPr>
            <w:tcW w:w="4362" w:type="dxa"/>
            <w:tcBorders>
              <w:top w:val="nil"/>
              <w:left w:val="nil"/>
              <w:bottom w:val="single" w:sz="4" w:space="0" w:color="auto"/>
              <w:right w:val="single" w:sz="4" w:space="0" w:color="auto"/>
            </w:tcBorders>
            <w:shd w:val="clear" w:color="000000" w:fill="FFC000"/>
            <w:vAlign w:val="center"/>
          </w:tcPr>
          <w:p w14:paraId="1C8B7531" w14:textId="77777777" w:rsidR="00CE754B" w:rsidRPr="009B3D4B" w:rsidRDefault="00CE754B" w:rsidP="00AA41E7">
            <w:pPr>
              <w:widowControl/>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NEIGHBORHOOD NETWORKS, FACILITIES AND TELEMEDICINE FOR COMMUNITY HEALTH CARE</w:t>
            </w:r>
          </w:p>
        </w:tc>
        <w:tc>
          <w:tcPr>
            <w:tcW w:w="653" w:type="dxa"/>
            <w:tcBorders>
              <w:top w:val="nil"/>
              <w:left w:val="nil"/>
              <w:bottom w:val="single" w:sz="4" w:space="0" w:color="auto"/>
              <w:right w:val="single" w:sz="4" w:space="0" w:color="auto"/>
            </w:tcBorders>
            <w:shd w:val="clear" w:color="000000" w:fill="FFC000"/>
            <w:vAlign w:val="center"/>
          </w:tcPr>
          <w:p w14:paraId="2D1BA3E1"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7,00</w:t>
            </w:r>
          </w:p>
        </w:tc>
      </w:tr>
      <w:tr w:rsidR="00CE754B" w14:paraId="3A9D9540" w14:textId="77777777" w:rsidTr="00CE754B">
        <w:trPr>
          <w:trHeight w:val="582"/>
        </w:trPr>
        <w:tc>
          <w:tcPr>
            <w:tcW w:w="1194" w:type="dxa"/>
            <w:vMerge/>
            <w:tcBorders>
              <w:top w:val="nil"/>
              <w:left w:val="single" w:sz="4" w:space="0" w:color="auto"/>
              <w:bottom w:val="single" w:sz="4" w:space="0" w:color="auto"/>
              <w:right w:val="single" w:sz="4" w:space="0" w:color="auto"/>
            </w:tcBorders>
          </w:tcPr>
          <w:p w14:paraId="53A3672E" w14:textId="77777777" w:rsidR="00CE754B" w:rsidRDefault="00CE754B" w:rsidP="00AA41E7">
            <w:pPr>
              <w:widowControl/>
              <w:rPr>
                <w:rFonts w:ascii="Arial Narrow" w:hAnsi="Arial Narrow" w:cs="Arial Narrow"/>
                <w:color w:val="000000"/>
                <w:w w:val="0"/>
                <w:sz w:val="18"/>
                <w:szCs w:val="18"/>
              </w:rPr>
            </w:pPr>
          </w:p>
        </w:tc>
        <w:tc>
          <w:tcPr>
            <w:tcW w:w="2341" w:type="dxa"/>
            <w:vMerge/>
            <w:tcBorders>
              <w:top w:val="nil"/>
              <w:left w:val="single" w:sz="4" w:space="0" w:color="auto"/>
              <w:bottom w:val="single" w:sz="4" w:space="0" w:color="auto"/>
              <w:right w:val="single" w:sz="4" w:space="0" w:color="auto"/>
            </w:tcBorders>
            <w:vAlign w:val="center"/>
          </w:tcPr>
          <w:p w14:paraId="3EBA20DC" w14:textId="77777777" w:rsidR="00CE754B" w:rsidRDefault="00CE754B" w:rsidP="00AA41E7">
            <w:pPr>
              <w:widowControl/>
              <w:rPr>
                <w:rFonts w:ascii="Arial Narrow" w:hAnsi="Arial Narrow" w:cs="Arial Narrow"/>
                <w:b/>
                <w:bCs/>
                <w:color w:val="000000"/>
                <w:w w:val="0"/>
                <w:sz w:val="18"/>
                <w:szCs w:val="18"/>
              </w:rPr>
            </w:pPr>
          </w:p>
        </w:tc>
        <w:tc>
          <w:tcPr>
            <w:tcW w:w="653" w:type="dxa"/>
            <w:vMerge/>
            <w:tcBorders>
              <w:top w:val="nil"/>
              <w:left w:val="single" w:sz="4" w:space="0" w:color="auto"/>
              <w:bottom w:val="single" w:sz="4" w:space="0" w:color="auto"/>
              <w:right w:val="single" w:sz="4" w:space="0" w:color="auto"/>
            </w:tcBorders>
            <w:vAlign w:val="center"/>
          </w:tcPr>
          <w:p w14:paraId="058B66E6" w14:textId="77777777" w:rsidR="00CE754B" w:rsidRDefault="00CE754B" w:rsidP="00AA41E7">
            <w:pPr>
              <w:widowControl/>
              <w:rPr>
                <w:rFonts w:ascii="Arial Narrow" w:hAnsi="Arial Narrow" w:cs="Arial Narrow"/>
                <w:b/>
                <w:bCs/>
                <w:color w:val="000000"/>
                <w:w w:val="0"/>
                <w:sz w:val="18"/>
                <w:szCs w:val="18"/>
              </w:rPr>
            </w:pPr>
          </w:p>
        </w:tc>
        <w:tc>
          <w:tcPr>
            <w:tcW w:w="530" w:type="dxa"/>
            <w:vMerge/>
            <w:tcBorders>
              <w:top w:val="nil"/>
              <w:left w:val="single" w:sz="4" w:space="0" w:color="auto"/>
              <w:bottom w:val="single" w:sz="4" w:space="0" w:color="auto"/>
              <w:right w:val="single" w:sz="4" w:space="0" w:color="auto"/>
            </w:tcBorders>
            <w:vAlign w:val="center"/>
          </w:tcPr>
          <w:p w14:paraId="4FF74A43" w14:textId="77777777" w:rsidR="00CE754B" w:rsidRDefault="00CE754B" w:rsidP="00AA41E7">
            <w:pPr>
              <w:widowControl/>
              <w:rPr>
                <w:rFonts w:ascii="Arial Narrow" w:hAnsi="Arial Narrow" w:cs="Arial Narrow"/>
                <w:b/>
                <w:bCs/>
                <w:color w:val="000000"/>
                <w:w w:val="0"/>
                <w:sz w:val="18"/>
                <w:szCs w:val="18"/>
              </w:rPr>
            </w:pPr>
          </w:p>
        </w:tc>
        <w:tc>
          <w:tcPr>
            <w:tcW w:w="374" w:type="dxa"/>
            <w:tcBorders>
              <w:top w:val="nil"/>
              <w:left w:val="nil"/>
              <w:bottom w:val="single" w:sz="4" w:space="0" w:color="auto"/>
              <w:right w:val="single" w:sz="4" w:space="0" w:color="auto"/>
            </w:tcBorders>
            <w:shd w:val="clear" w:color="000000" w:fill="FFC000"/>
            <w:vAlign w:val="center"/>
          </w:tcPr>
          <w:p w14:paraId="5CE8DBD5"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C2</w:t>
            </w:r>
          </w:p>
        </w:tc>
        <w:tc>
          <w:tcPr>
            <w:tcW w:w="4362" w:type="dxa"/>
            <w:tcBorders>
              <w:top w:val="nil"/>
              <w:left w:val="nil"/>
              <w:bottom w:val="single" w:sz="4" w:space="0" w:color="auto"/>
              <w:right w:val="single" w:sz="4" w:space="0" w:color="auto"/>
            </w:tcBorders>
            <w:shd w:val="clear" w:color="000000" w:fill="FFC000"/>
            <w:vAlign w:val="center"/>
          </w:tcPr>
          <w:p w14:paraId="6C465F01" w14:textId="77777777" w:rsidR="00CE754B" w:rsidRPr="009B3D4B" w:rsidRDefault="00CE754B" w:rsidP="00AA41E7">
            <w:pPr>
              <w:widowControl/>
              <w:rPr>
                <w:rFonts w:ascii="Arial Narrow" w:hAnsi="Arial Narrow" w:cs="Arial Narrow"/>
                <w:b/>
                <w:bCs/>
                <w:color w:val="000000"/>
                <w:w w:val="0"/>
                <w:sz w:val="18"/>
                <w:szCs w:val="18"/>
                <w:lang w:val="en-US"/>
              </w:rPr>
            </w:pPr>
            <w:r w:rsidRPr="009B3D4B">
              <w:rPr>
                <w:rFonts w:ascii="Arial Narrow" w:hAnsi="Arial Narrow" w:cs="Arial Narrow"/>
                <w:b/>
                <w:bCs/>
                <w:color w:val="000000"/>
                <w:w w:val="0"/>
                <w:sz w:val="18"/>
                <w:szCs w:val="18"/>
                <w:lang w:val="en-US"/>
              </w:rPr>
              <w:t>INNOVATION, RESEARCH AND DIGITIZATION OF THE NATIONAL HEALTH SERVICE</w:t>
            </w:r>
          </w:p>
        </w:tc>
        <w:tc>
          <w:tcPr>
            <w:tcW w:w="653" w:type="dxa"/>
            <w:tcBorders>
              <w:top w:val="nil"/>
              <w:left w:val="nil"/>
              <w:bottom w:val="single" w:sz="4" w:space="0" w:color="auto"/>
              <w:right w:val="single" w:sz="4" w:space="0" w:color="auto"/>
            </w:tcBorders>
            <w:shd w:val="clear" w:color="000000" w:fill="FFC000"/>
            <w:vAlign w:val="center"/>
          </w:tcPr>
          <w:p w14:paraId="62B7A764" w14:textId="77777777" w:rsidR="00CE754B" w:rsidRDefault="00CE754B" w:rsidP="00AA41E7">
            <w:pPr>
              <w:widowControl/>
              <w:jc w:val="center"/>
              <w:rPr>
                <w:rFonts w:ascii="Arial Narrow" w:hAnsi="Arial Narrow" w:cs="Arial Narrow"/>
                <w:b/>
                <w:bCs/>
                <w:color w:val="000000"/>
                <w:w w:val="0"/>
                <w:sz w:val="18"/>
                <w:szCs w:val="18"/>
              </w:rPr>
            </w:pPr>
            <w:r>
              <w:rPr>
                <w:rFonts w:ascii="Arial Narrow" w:hAnsi="Arial Narrow" w:cs="Arial Narrow"/>
                <w:b/>
                <w:bCs/>
                <w:color w:val="000000"/>
                <w:w w:val="0"/>
                <w:sz w:val="18"/>
                <w:szCs w:val="18"/>
              </w:rPr>
              <w:t>8,62</w:t>
            </w:r>
          </w:p>
        </w:tc>
      </w:tr>
      <w:tr w:rsidR="00CE754B" w14:paraId="51952A7D" w14:textId="77777777" w:rsidTr="00CE754B">
        <w:trPr>
          <w:trHeight w:val="582"/>
        </w:trPr>
        <w:tc>
          <w:tcPr>
            <w:tcW w:w="1194" w:type="dxa"/>
            <w:tcBorders>
              <w:top w:val="nil"/>
              <w:left w:val="single" w:sz="4" w:space="0" w:color="auto"/>
              <w:bottom w:val="single" w:sz="4" w:space="0" w:color="auto"/>
              <w:right w:val="single" w:sz="4" w:space="0" w:color="auto"/>
            </w:tcBorders>
            <w:shd w:val="clear" w:color="000000" w:fill="0070C0"/>
          </w:tcPr>
          <w:p w14:paraId="4A737DA2" w14:textId="77777777" w:rsidR="00CE754B" w:rsidRDefault="00CE754B" w:rsidP="00AA41E7">
            <w:pPr>
              <w:widowControl/>
              <w:rPr>
                <w:rFonts w:ascii="Arial Narrow" w:hAnsi="Arial Narrow" w:cs="Arial Narrow"/>
                <w:color w:val="FFFFFF"/>
                <w:w w:val="0"/>
                <w:sz w:val="18"/>
                <w:szCs w:val="18"/>
              </w:rPr>
            </w:pPr>
          </w:p>
        </w:tc>
        <w:tc>
          <w:tcPr>
            <w:tcW w:w="2341" w:type="dxa"/>
            <w:tcBorders>
              <w:top w:val="nil"/>
              <w:left w:val="single" w:sz="4" w:space="0" w:color="auto"/>
              <w:bottom w:val="single" w:sz="4" w:space="0" w:color="auto"/>
              <w:right w:val="single" w:sz="4" w:space="0" w:color="auto"/>
            </w:tcBorders>
            <w:shd w:val="clear" w:color="000000" w:fill="0070C0"/>
            <w:vAlign w:val="center"/>
          </w:tcPr>
          <w:p w14:paraId="4BA79155" w14:textId="77777777" w:rsidR="00CE754B" w:rsidRDefault="00CE754B" w:rsidP="00AA41E7">
            <w:pPr>
              <w:widowControl/>
              <w:rPr>
                <w:rFonts w:ascii="Arial Narrow" w:hAnsi="Arial Narrow" w:cs="Arial Narrow"/>
                <w:b/>
                <w:bCs/>
                <w:color w:val="FFFFFF"/>
                <w:w w:val="0"/>
                <w:sz w:val="18"/>
                <w:szCs w:val="18"/>
              </w:rPr>
            </w:pPr>
            <w:r>
              <w:rPr>
                <w:rFonts w:ascii="Arial Narrow" w:hAnsi="Arial Narrow" w:cs="Arial Narrow"/>
                <w:b/>
                <w:bCs/>
                <w:color w:val="FFFFFF"/>
                <w:w w:val="0"/>
                <w:sz w:val="18"/>
                <w:szCs w:val="18"/>
              </w:rPr>
              <w:t>Total</w:t>
            </w:r>
          </w:p>
        </w:tc>
        <w:tc>
          <w:tcPr>
            <w:tcW w:w="653" w:type="dxa"/>
            <w:tcBorders>
              <w:top w:val="nil"/>
              <w:left w:val="nil"/>
              <w:bottom w:val="single" w:sz="4" w:space="0" w:color="auto"/>
              <w:right w:val="single" w:sz="4" w:space="0" w:color="auto"/>
            </w:tcBorders>
            <w:shd w:val="clear" w:color="000000" w:fill="0070C0"/>
            <w:vAlign w:val="center"/>
          </w:tcPr>
          <w:p w14:paraId="767F4FC7" w14:textId="77777777" w:rsidR="00CE754B" w:rsidRDefault="00CE754B" w:rsidP="00AA41E7">
            <w:pPr>
              <w:widowControl/>
              <w:jc w:val="center"/>
              <w:rPr>
                <w:rFonts w:ascii="Arial Narrow" w:hAnsi="Arial Narrow" w:cs="Arial Narrow"/>
                <w:b/>
                <w:bCs/>
                <w:color w:val="FFFFFF"/>
                <w:w w:val="0"/>
                <w:sz w:val="18"/>
                <w:szCs w:val="18"/>
              </w:rPr>
            </w:pPr>
            <w:r>
              <w:rPr>
                <w:rFonts w:ascii="Arial Narrow" w:hAnsi="Arial Narrow" w:cs="Arial Narrow"/>
                <w:b/>
                <w:bCs/>
                <w:color w:val="FFFFFF"/>
                <w:w w:val="0"/>
                <w:sz w:val="18"/>
                <w:szCs w:val="18"/>
              </w:rPr>
              <w:t>191,5</w:t>
            </w:r>
          </w:p>
        </w:tc>
        <w:tc>
          <w:tcPr>
            <w:tcW w:w="530" w:type="dxa"/>
            <w:tcBorders>
              <w:top w:val="nil"/>
              <w:left w:val="nil"/>
              <w:bottom w:val="single" w:sz="4" w:space="0" w:color="auto"/>
              <w:right w:val="single" w:sz="4" w:space="0" w:color="auto"/>
            </w:tcBorders>
            <w:shd w:val="clear" w:color="000000" w:fill="0070C0"/>
            <w:vAlign w:val="center"/>
          </w:tcPr>
          <w:p w14:paraId="0D2486B3" w14:textId="77777777" w:rsidR="00CE754B" w:rsidRDefault="00CE754B" w:rsidP="00AA41E7">
            <w:pPr>
              <w:widowControl/>
              <w:rPr>
                <w:rFonts w:ascii="Arial Narrow" w:hAnsi="Arial Narrow" w:cs="Arial Narrow"/>
                <w:b/>
                <w:bCs/>
                <w:color w:val="FFFFFF"/>
                <w:w w:val="0"/>
                <w:sz w:val="18"/>
                <w:szCs w:val="18"/>
              </w:rPr>
            </w:pPr>
            <w:r>
              <w:rPr>
                <w:rFonts w:ascii="Arial Narrow" w:hAnsi="Arial Narrow" w:cs="Arial Narrow"/>
                <w:b/>
                <w:bCs/>
                <w:color w:val="FFFFFF"/>
                <w:w w:val="0"/>
                <w:sz w:val="18"/>
                <w:szCs w:val="18"/>
              </w:rPr>
              <w:t> </w:t>
            </w:r>
          </w:p>
        </w:tc>
        <w:tc>
          <w:tcPr>
            <w:tcW w:w="374" w:type="dxa"/>
            <w:tcBorders>
              <w:top w:val="nil"/>
              <w:left w:val="nil"/>
              <w:bottom w:val="single" w:sz="4" w:space="0" w:color="auto"/>
              <w:right w:val="nil"/>
            </w:tcBorders>
            <w:shd w:val="clear" w:color="000000" w:fill="0070C0"/>
            <w:vAlign w:val="center"/>
          </w:tcPr>
          <w:p w14:paraId="4D5028D0" w14:textId="77777777" w:rsidR="00CE754B" w:rsidRDefault="00CE754B" w:rsidP="00AA41E7">
            <w:pPr>
              <w:widowControl/>
              <w:rPr>
                <w:rFonts w:ascii="Arial Narrow" w:hAnsi="Arial Narrow" w:cs="Arial Narrow"/>
                <w:b/>
                <w:bCs/>
                <w:color w:val="FFFFFF"/>
                <w:w w:val="0"/>
                <w:sz w:val="18"/>
                <w:szCs w:val="18"/>
              </w:rPr>
            </w:pPr>
            <w:r>
              <w:rPr>
                <w:rFonts w:ascii="Arial Narrow" w:hAnsi="Arial Narrow" w:cs="Arial Narrow"/>
                <w:b/>
                <w:bCs/>
                <w:color w:val="FFFFFF"/>
                <w:w w:val="0"/>
                <w:sz w:val="18"/>
                <w:szCs w:val="18"/>
              </w:rPr>
              <w:t> </w:t>
            </w:r>
          </w:p>
        </w:tc>
        <w:tc>
          <w:tcPr>
            <w:tcW w:w="4362" w:type="dxa"/>
            <w:tcBorders>
              <w:top w:val="nil"/>
              <w:left w:val="nil"/>
              <w:bottom w:val="single" w:sz="4" w:space="0" w:color="auto"/>
              <w:right w:val="single" w:sz="4" w:space="0" w:color="auto"/>
            </w:tcBorders>
            <w:shd w:val="clear" w:color="000000" w:fill="0070C0"/>
            <w:vAlign w:val="center"/>
          </w:tcPr>
          <w:p w14:paraId="173A9EB6" w14:textId="77777777" w:rsidR="00CE754B" w:rsidRDefault="00CE754B" w:rsidP="00AA41E7">
            <w:pPr>
              <w:widowControl/>
              <w:jc w:val="center"/>
              <w:rPr>
                <w:rFonts w:ascii="Arial Narrow" w:hAnsi="Arial Narrow" w:cs="Arial Narrow"/>
                <w:b/>
                <w:bCs/>
                <w:color w:val="FFFFFF"/>
                <w:w w:val="0"/>
                <w:sz w:val="18"/>
                <w:szCs w:val="18"/>
              </w:rPr>
            </w:pPr>
            <w:r>
              <w:rPr>
                <w:rFonts w:ascii="Arial Narrow" w:hAnsi="Arial Narrow" w:cs="Arial Narrow"/>
                <w:b/>
                <w:bCs/>
                <w:color w:val="FFFFFF"/>
                <w:w w:val="0"/>
                <w:sz w:val="18"/>
                <w:szCs w:val="18"/>
              </w:rPr>
              <w:t>16</w:t>
            </w:r>
          </w:p>
        </w:tc>
        <w:tc>
          <w:tcPr>
            <w:tcW w:w="653" w:type="dxa"/>
            <w:tcBorders>
              <w:top w:val="nil"/>
              <w:left w:val="nil"/>
              <w:bottom w:val="single" w:sz="4" w:space="0" w:color="auto"/>
              <w:right w:val="single" w:sz="4" w:space="0" w:color="auto"/>
            </w:tcBorders>
            <w:shd w:val="clear" w:color="000000" w:fill="0070C0"/>
            <w:vAlign w:val="center"/>
          </w:tcPr>
          <w:p w14:paraId="3EE77C37" w14:textId="77777777" w:rsidR="00CE754B" w:rsidRDefault="00CE754B" w:rsidP="00AA41E7">
            <w:pPr>
              <w:widowControl/>
              <w:jc w:val="center"/>
              <w:rPr>
                <w:rFonts w:ascii="Arial Narrow" w:hAnsi="Arial Narrow" w:cs="Arial Narrow"/>
                <w:b/>
                <w:bCs/>
                <w:color w:val="FFFFFF"/>
                <w:w w:val="0"/>
                <w:sz w:val="18"/>
                <w:szCs w:val="18"/>
              </w:rPr>
            </w:pPr>
            <w:r>
              <w:rPr>
                <w:rFonts w:ascii="Arial Narrow" w:hAnsi="Arial Narrow" w:cs="Arial Narrow"/>
                <w:b/>
                <w:bCs/>
                <w:color w:val="FFFFFF"/>
                <w:w w:val="0"/>
                <w:sz w:val="18"/>
                <w:szCs w:val="18"/>
              </w:rPr>
              <w:t>191,5</w:t>
            </w:r>
          </w:p>
        </w:tc>
      </w:tr>
    </w:tbl>
    <w:p w14:paraId="5425805F" w14:textId="6E98440B" w:rsidR="00624CD7" w:rsidRPr="00E662DE" w:rsidRDefault="00CE754B" w:rsidP="00624CD7">
      <w:pPr>
        <w:suppressAutoHyphens/>
        <w:spacing w:before="120" w:line="288" w:lineRule="auto"/>
        <w:jc w:val="both"/>
        <w:rPr>
          <w:rFonts w:ascii="Arial" w:hAnsi="Arial" w:cs="Arial"/>
          <w:sz w:val="15"/>
          <w:szCs w:val="15"/>
        </w:rPr>
      </w:pPr>
      <w:r w:rsidRPr="00CE754B">
        <w:rPr>
          <w:rFonts w:ascii="Arial" w:hAnsi="Arial" w:cs="Arial"/>
          <w:sz w:val="15"/>
          <w:szCs w:val="15"/>
        </w:rPr>
        <w:t xml:space="preserve">Source: </w:t>
      </w:r>
      <w:proofErr w:type="spellStart"/>
      <w:r w:rsidRPr="00CE754B">
        <w:rPr>
          <w:rFonts w:ascii="Arial" w:hAnsi="Arial" w:cs="Arial"/>
          <w:sz w:val="15"/>
          <w:szCs w:val="15"/>
        </w:rPr>
        <w:t>elaborations</w:t>
      </w:r>
      <w:proofErr w:type="spellEnd"/>
      <w:r w:rsidRPr="00CE754B">
        <w:rPr>
          <w:rFonts w:ascii="Arial" w:hAnsi="Arial" w:cs="Arial"/>
          <w:sz w:val="15"/>
          <w:szCs w:val="15"/>
        </w:rPr>
        <w:t xml:space="preserve"> on NRRP, 2021</w:t>
      </w:r>
    </w:p>
    <w:p w14:paraId="3DBA9766" w14:textId="77777777" w:rsidR="00624CD7" w:rsidRPr="00A321F6" w:rsidRDefault="00624CD7" w:rsidP="00CE2A23">
      <w:pPr>
        <w:spacing w:after="120"/>
        <w:jc w:val="both"/>
        <w:rPr>
          <w:rFonts w:cstheme="minorHAnsi"/>
        </w:rPr>
      </w:pPr>
    </w:p>
    <w:p w14:paraId="3A4F0A8F" w14:textId="639F9DBD" w:rsidR="00624CD7" w:rsidRPr="00CE754B" w:rsidRDefault="00CE754B" w:rsidP="00CE2A23">
      <w:pPr>
        <w:suppressAutoHyphens/>
        <w:spacing w:after="120"/>
        <w:jc w:val="both"/>
        <w:rPr>
          <w:rFonts w:ascii="Trebuchet MS" w:eastAsia="Times New Roman" w:hAnsi="Trebuchet MS" w:cs="Arial"/>
          <w:color w:val="595959" w:themeColor="text1" w:themeTint="A6"/>
          <w:sz w:val="20"/>
          <w:szCs w:val="20"/>
          <w:lang w:val="en-US" w:eastAsia="it-IT"/>
        </w:rPr>
      </w:pPr>
      <w:r w:rsidRPr="009B3D4B">
        <w:rPr>
          <w:rFonts w:ascii="Trebuchet MS" w:hAnsi="Trebuchet MS" w:cs="Trebuchet MS"/>
          <w:color w:val="595959"/>
          <w:w w:val="0"/>
          <w:sz w:val="20"/>
          <w:szCs w:val="20"/>
          <w:lang w:val="en-US"/>
        </w:rPr>
        <w:t xml:space="preserve">The National Plans are called upon to contribute to the twin transitions, ensuring an allocation of resources consistent with the planned ring-fencing. In the Italian NRDP, </w:t>
      </w:r>
      <w:r>
        <w:rPr>
          <w:rFonts w:ascii="Trebuchet MS" w:hAnsi="Trebuchet MS" w:cs="Trebuchet MS"/>
          <w:color w:val="595959"/>
          <w:w w:val="0"/>
          <w:sz w:val="20"/>
          <w:szCs w:val="20"/>
          <w:lang w:val="en-US"/>
        </w:rPr>
        <w:t xml:space="preserve">to the </w:t>
      </w:r>
      <w:r w:rsidRPr="009B3D4B">
        <w:rPr>
          <w:rFonts w:ascii="Trebuchet MS" w:hAnsi="Trebuchet MS" w:cs="Trebuchet MS"/>
          <w:color w:val="595959"/>
          <w:w w:val="0"/>
          <w:sz w:val="20"/>
          <w:szCs w:val="20"/>
          <w:lang w:val="en-US"/>
        </w:rPr>
        <w:t xml:space="preserve">green transition is allocated 37 percent </w:t>
      </w:r>
      <w:r w:rsidRPr="009B3D4B">
        <w:rPr>
          <w:rFonts w:ascii="Trebuchet MS" w:hAnsi="Trebuchet MS" w:cs="Trebuchet MS"/>
          <w:color w:val="595959"/>
          <w:w w:val="0"/>
          <w:sz w:val="20"/>
          <w:szCs w:val="20"/>
          <w:lang w:val="en-US"/>
        </w:rPr>
        <w:lastRenderedPageBreak/>
        <w:t>of the NRDP resources, concentrated particularly in Mission 2 (with 46 million, or nearly 80 percent of it) and Mission 3 (with 21 million, or more than 80 percent of it). Digital transition, on the other hand, receives resources for about 23 percent of the total allocation, particularly through Mission 1 (with 28 million, or 70 percent of it) and Mission 4 (with 7.5 million, or 30 percent of it).</w:t>
      </w:r>
      <w:r w:rsidR="00624CD7" w:rsidRPr="00CE754B">
        <w:rPr>
          <w:rFonts w:ascii="Trebuchet MS" w:eastAsia="Times New Roman" w:hAnsi="Trebuchet MS" w:cs="Arial"/>
          <w:color w:val="595959" w:themeColor="text1" w:themeTint="A6"/>
          <w:sz w:val="20"/>
          <w:szCs w:val="20"/>
          <w:lang w:val="en-US" w:eastAsia="it-IT"/>
        </w:rPr>
        <w:t xml:space="preserve"> </w:t>
      </w:r>
    </w:p>
    <w:p w14:paraId="0C440519" w14:textId="77777777" w:rsidR="002D13BD" w:rsidRPr="00CE754B" w:rsidRDefault="002D13BD" w:rsidP="00CE2A23">
      <w:pPr>
        <w:suppressAutoHyphens/>
        <w:spacing w:after="120"/>
        <w:jc w:val="both"/>
        <w:rPr>
          <w:rFonts w:ascii="Trebuchet MS" w:eastAsia="Times New Roman" w:hAnsi="Trebuchet MS" w:cs="Arial"/>
          <w:color w:val="595959" w:themeColor="text1" w:themeTint="A6"/>
          <w:sz w:val="20"/>
          <w:szCs w:val="20"/>
          <w:lang w:val="en-US" w:eastAsia="it-IT"/>
        </w:rPr>
      </w:pPr>
    </w:p>
    <w:p w14:paraId="0554D603" w14:textId="0F7E6E9A" w:rsidR="00624CD7" w:rsidRPr="00CE754B" w:rsidRDefault="00CE754B" w:rsidP="00624CD7">
      <w:pPr>
        <w:suppressAutoHyphens/>
        <w:spacing w:before="120" w:line="288" w:lineRule="auto"/>
        <w:jc w:val="both"/>
        <w:rPr>
          <w:rFonts w:ascii="Arial Narrow" w:hAnsi="Arial Narrow" w:cs="Arial"/>
          <w:b/>
          <w:iCs/>
          <w:noProof/>
          <w:color w:val="595959" w:themeColor="text1" w:themeTint="A6"/>
          <w:lang w:val="en-US"/>
        </w:rPr>
      </w:pPr>
      <w:r w:rsidRPr="00CE754B">
        <w:rPr>
          <w:rFonts w:ascii="Arial Narrow" w:hAnsi="Arial Narrow" w:cs="Arial"/>
          <w:b/>
          <w:iCs/>
          <w:noProof/>
          <w:color w:val="595959" w:themeColor="text1" w:themeTint="A6"/>
          <w:lang w:val="en-US"/>
        </w:rPr>
        <w:t>FIGURE</w:t>
      </w:r>
      <w:r w:rsidR="00360729" w:rsidRPr="00CE754B">
        <w:rPr>
          <w:rFonts w:ascii="Arial Narrow" w:hAnsi="Arial Narrow" w:cs="Arial"/>
          <w:b/>
          <w:iCs/>
          <w:noProof/>
          <w:color w:val="595959" w:themeColor="text1" w:themeTint="A6"/>
          <w:lang w:val="en-US"/>
        </w:rPr>
        <w:t xml:space="preserve"> 17</w:t>
      </w:r>
      <w:r w:rsidR="00E662DE" w:rsidRPr="00CE754B">
        <w:rPr>
          <w:rFonts w:ascii="Arial Narrow" w:hAnsi="Arial Narrow" w:cs="Arial"/>
          <w:b/>
          <w:iCs/>
          <w:noProof/>
          <w:color w:val="595959" w:themeColor="text1" w:themeTint="A6"/>
          <w:lang w:val="en-US"/>
        </w:rPr>
        <w:t xml:space="preserve">. </w:t>
      </w:r>
      <w:r w:rsidRPr="00CE754B">
        <w:rPr>
          <w:rFonts w:ascii="Arial Narrow" w:hAnsi="Arial Narrow" w:cs="Arial"/>
          <w:b/>
          <w:iCs/>
          <w:noProof/>
          <w:color w:val="595959" w:themeColor="text1" w:themeTint="A6"/>
          <w:lang w:val="en-US"/>
        </w:rPr>
        <w:t>BUDGET ALLOCATION AND CONTRIBUTION TO TWIN TRANSITIONS (CLIMATE AND DIGITAL) BY MISSION</w:t>
      </w:r>
      <w:r w:rsidR="00E662DE" w:rsidRPr="00CE754B">
        <w:rPr>
          <w:rFonts w:ascii="Arial Narrow" w:hAnsi="Arial Narrow" w:cs="Arial"/>
          <w:b/>
          <w:iCs/>
          <w:noProof/>
          <w:color w:val="595959" w:themeColor="text1" w:themeTint="A6"/>
          <w:lang w:val="en-US"/>
        </w:rPr>
        <w:t xml:space="preserve"> </w:t>
      </w:r>
    </w:p>
    <w:p w14:paraId="22A2DE33" w14:textId="1DDAE4C3" w:rsidR="00624CD7" w:rsidRPr="00A321F6" w:rsidRDefault="006033DC" w:rsidP="00624CD7">
      <w:pPr>
        <w:suppressAutoHyphens/>
        <w:spacing w:before="120" w:line="288" w:lineRule="auto"/>
        <w:jc w:val="both"/>
        <w:rPr>
          <w:rFonts w:ascii="Times New Roman" w:hAnsi="Times New Roman"/>
          <w:sz w:val="24"/>
          <w:szCs w:val="24"/>
        </w:rPr>
      </w:pPr>
      <w:r w:rsidRPr="00FC4EAA">
        <w:rPr>
          <w:noProof/>
          <w:lang w:eastAsia="it-IT"/>
        </w:rPr>
        <w:drawing>
          <wp:inline distT="0" distB="0" distL="0" distR="0" wp14:anchorId="7186D046" wp14:editId="74C77744">
            <wp:extent cx="6122670" cy="2160270"/>
            <wp:effectExtent l="0" t="0" r="11430" b="11430"/>
            <wp:docPr id="13" name="Gra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D330B57" w14:textId="343474E4" w:rsidR="00624CD7" w:rsidRPr="006033DC" w:rsidRDefault="00624CD7" w:rsidP="00E662DE">
      <w:pPr>
        <w:suppressAutoHyphens/>
        <w:spacing w:before="60"/>
        <w:jc w:val="both"/>
        <w:rPr>
          <w:rFonts w:ascii="Arial" w:hAnsi="Arial" w:cs="Arial"/>
          <w:sz w:val="15"/>
          <w:szCs w:val="15"/>
          <w:lang w:val="en-US"/>
        </w:rPr>
      </w:pPr>
      <w:r w:rsidRPr="006033DC">
        <w:rPr>
          <w:rFonts w:ascii="Arial" w:hAnsi="Arial" w:cs="Arial"/>
          <w:sz w:val="15"/>
          <w:szCs w:val="15"/>
          <w:lang w:val="en-US"/>
        </w:rPr>
        <w:t xml:space="preserve">Fonte: </w:t>
      </w:r>
      <w:proofErr w:type="spellStart"/>
      <w:r w:rsidRPr="006033DC">
        <w:rPr>
          <w:rFonts w:ascii="Arial" w:hAnsi="Arial" w:cs="Arial"/>
          <w:sz w:val="15"/>
          <w:szCs w:val="15"/>
          <w:lang w:val="en-US"/>
        </w:rPr>
        <w:t>elaborazione</w:t>
      </w:r>
      <w:proofErr w:type="spellEnd"/>
      <w:r w:rsidRPr="006033DC">
        <w:rPr>
          <w:rFonts w:ascii="Arial" w:hAnsi="Arial" w:cs="Arial"/>
          <w:sz w:val="15"/>
          <w:szCs w:val="15"/>
          <w:lang w:val="en-US"/>
        </w:rPr>
        <w:t xml:space="preserve"> </w:t>
      </w:r>
      <w:proofErr w:type="spellStart"/>
      <w:r w:rsidRPr="006033DC">
        <w:rPr>
          <w:rFonts w:ascii="Arial" w:hAnsi="Arial" w:cs="Arial"/>
          <w:sz w:val="15"/>
          <w:szCs w:val="15"/>
          <w:lang w:val="en-US"/>
        </w:rPr>
        <w:t>su</w:t>
      </w:r>
      <w:proofErr w:type="spellEnd"/>
      <w:r w:rsidRPr="006033DC">
        <w:rPr>
          <w:rFonts w:ascii="Arial" w:hAnsi="Arial" w:cs="Arial"/>
          <w:sz w:val="15"/>
          <w:szCs w:val="15"/>
          <w:lang w:val="en-US"/>
        </w:rPr>
        <w:t xml:space="preserve"> </w:t>
      </w:r>
      <w:proofErr w:type="spellStart"/>
      <w:r w:rsidRPr="006033DC">
        <w:rPr>
          <w:rFonts w:ascii="Arial" w:hAnsi="Arial" w:cs="Arial"/>
          <w:sz w:val="15"/>
          <w:szCs w:val="15"/>
          <w:lang w:val="en-US"/>
        </w:rPr>
        <w:t>dati</w:t>
      </w:r>
      <w:proofErr w:type="spellEnd"/>
      <w:r w:rsidRPr="006033DC">
        <w:rPr>
          <w:rFonts w:ascii="Arial" w:hAnsi="Arial" w:cs="Arial"/>
          <w:sz w:val="15"/>
          <w:szCs w:val="15"/>
          <w:lang w:val="en-US"/>
        </w:rPr>
        <w:t xml:space="preserve"> PNRR</w:t>
      </w:r>
    </w:p>
    <w:p w14:paraId="5B751D6D" w14:textId="77777777" w:rsidR="00E662DE" w:rsidRPr="006033DC" w:rsidRDefault="00E662DE" w:rsidP="00E662DE">
      <w:pPr>
        <w:suppressAutoHyphens/>
        <w:spacing w:before="60"/>
        <w:jc w:val="both"/>
        <w:rPr>
          <w:rFonts w:ascii="Arial" w:hAnsi="Arial" w:cs="Arial"/>
          <w:sz w:val="15"/>
          <w:szCs w:val="15"/>
          <w:lang w:val="en-US"/>
        </w:rPr>
      </w:pPr>
    </w:p>
    <w:p w14:paraId="0A46E705" w14:textId="2255EC07" w:rsidR="00624CD7" w:rsidRPr="006033DC" w:rsidRDefault="006033DC" w:rsidP="00CE2A23">
      <w:pPr>
        <w:suppressAutoHyphens/>
        <w:spacing w:after="120"/>
        <w:jc w:val="both"/>
        <w:rPr>
          <w:rFonts w:ascii="Trebuchet MS" w:eastAsia="Times New Roman" w:hAnsi="Trebuchet MS" w:cs="Arial"/>
          <w:color w:val="595959" w:themeColor="text1" w:themeTint="A6"/>
          <w:sz w:val="20"/>
          <w:szCs w:val="20"/>
          <w:lang w:val="en-US" w:eastAsia="it-IT"/>
        </w:rPr>
      </w:pPr>
      <w:r w:rsidRPr="006033DC">
        <w:rPr>
          <w:rFonts w:ascii="Trebuchet MS" w:eastAsia="Times New Roman" w:hAnsi="Trebuchet MS" w:cs="Arial"/>
          <w:color w:val="595959" w:themeColor="text1" w:themeTint="A6"/>
          <w:sz w:val="20"/>
          <w:szCs w:val="20"/>
          <w:lang w:val="en-US" w:eastAsia="it-IT"/>
        </w:rPr>
        <w:t>Of particular interest to the agribusiness system is Mission 2 - "Green Revolution and Ecological Transition" (M2) with a total budget of 59.47 billion, which reaches 68.6 billion, including 9.1 billion from the National Supplementary Fund.</w:t>
      </w:r>
      <w:r w:rsidR="00624CD7" w:rsidRPr="006033DC">
        <w:rPr>
          <w:rFonts w:ascii="Trebuchet MS" w:eastAsia="Times New Roman" w:hAnsi="Trebuchet MS" w:cs="Arial"/>
          <w:color w:val="595959" w:themeColor="text1" w:themeTint="A6"/>
          <w:sz w:val="20"/>
          <w:szCs w:val="20"/>
          <w:lang w:val="en-US" w:eastAsia="it-IT"/>
        </w:rPr>
        <w:t xml:space="preserve"> </w:t>
      </w:r>
    </w:p>
    <w:p w14:paraId="5D195932" w14:textId="77777777" w:rsidR="00624CD7" w:rsidRPr="006033DC" w:rsidRDefault="00624CD7" w:rsidP="00CE2A23">
      <w:pPr>
        <w:suppressAutoHyphens/>
        <w:spacing w:after="120"/>
        <w:jc w:val="both"/>
        <w:rPr>
          <w:rFonts w:ascii="Trebuchet MS" w:eastAsia="Times New Roman" w:hAnsi="Trebuchet MS" w:cs="Arial"/>
          <w:color w:val="595959" w:themeColor="text1" w:themeTint="A6"/>
          <w:sz w:val="20"/>
          <w:szCs w:val="20"/>
          <w:lang w:val="en-US" w:eastAsia="it-IT"/>
        </w:rPr>
      </w:pPr>
    </w:p>
    <w:p w14:paraId="60C1A1A1" w14:textId="77777777" w:rsidR="006033DC" w:rsidRPr="009B3D4B" w:rsidRDefault="006033DC" w:rsidP="006033DC">
      <w:pPr>
        <w:widowControl/>
        <w:suppressAutoHyphens/>
        <w:spacing w:after="120"/>
        <w:ind w:right="-34"/>
        <w:jc w:val="both"/>
        <w:rPr>
          <w:rFonts w:ascii="Trebuchet MS" w:hAnsi="Trebuchet MS" w:cs="Trebuchet MS"/>
          <w:b/>
          <w:bCs/>
          <w:color w:val="595959"/>
          <w:w w:val="0"/>
          <w:lang w:val="en-US"/>
        </w:rPr>
      </w:pPr>
      <w:r w:rsidRPr="009B3D4B">
        <w:rPr>
          <w:rFonts w:ascii="Trebuchet MS" w:hAnsi="Trebuchet MS" w:cs="Trebuchet MS"/>
          <w:b/>
          <w:bCs/>
          <w:color w:val="595959"/>
          <w:w w:val="0"/>
          <w:lang w:val="en-US"/>
        </w:rPr>
        <w:t xml:space="preserve">Projects intended for the primary sector: proposing entity </w:t>
      </w:r>
      <w:proofErr w:type="spellStart"/>
      <w:r w:rsidRPr="009B3D4B">
        <w:rPr>
          <w:rFonts w:ascii="Trebuchet MS" w:hAnsi="Trebuchet MS" w:cs="Trebuchet MS"/>
          <w:b/>
          <w:bCs/>
          <w:color w:val="595959"/>
          <w:w w:val="0"/>
          <w:lang w:val="en-US"/>
        </w:rPr>
        <w:t>Mipaaf</w:t>
      </w:r>
      <w:proofErr w:type="spellEnd"/>
      <w:r w:rsidRPr="009B3D4B">
        <w:rPr>
          <w:rFonts w:ascii="Trebuchet MS" w:hAnsi="Trebuchet MS" w:cs="Trebuchet MS"/>
          <w:b/>
          <w:bCs/>
          <w:color w:val="595959"/>
          <w:w w:val="0"/>
          <w:lang w:val="en-US"/>
        </w:rPr>
        <w:t xml:space="preserve"> </w:t>
      </w:r>
    </w:p>
    <w:p w14:paraId="7F628316" w14:textId="77777777" w:rsidR="006033DC" w:rsidRPr="009B3D4B" w:rsidRDefault="006033DC" w:rsidP="006033DC">
      <w:pPr>
        <w:suppressAutoHyphens/>
        <w:spacing w:after="12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The NRRP</w:t>
      </w:r>
      <w:r>
        <w:rPr>
          <w:rFonts w:ascii="Trebuchet MS" w:hAnsi="Trebuchet MS" w:cs="Trebuchet MS"/>
          <w:color w:val="595959"/>
          <w:w w:val="0"/>
          <w:sz w:val="20"/>
          <w:szCs w:val="20"/>
          <w:lang w:val="en-US"/>
        </w:rPr>
        <w:t xml:space="preserve"> finances </w:t>
      </w:r>
      <w:r w:rsidRPr="009B3D4B">
        <w:rPr>
          <w:rFonts w:ascii="Trebuchet MS" w:hAnsi="Trebuchet MS" w:cs="Trebuchet MS"/>
          <w:color w:val="595959"/>
          <w:w w:val="0"/>
          <w:sz w:val="20"/>
          <w:szCs w:val="20"/>
          <w:lang w:val="en-US"/>
        </w:rPr>
        <w:t>projects directly managed by the Ministry of Agriculture, Food and Forestry (</w:t>
      </w:r>
      <w:proofErr w:type="spellStart"/>
      <w:r w:rsidRPr="009B3D4B">
        <w:rPr>
          <w:rFonts w:ascii="Trebuchet MS" w:hAnsi="Trebuchet MS" w:cs="Trebuchet MS"/>
          <w:color w:val="595959"/>
          <w:w w:val="0"/>
          <w:sz w:val="20"/>
          <w:szCs w:val="20"/>
          <w:lang w:val="en-US"/>
        </w:rPr>
        <w:t>Mipaaf</w:t>
      </w:r>
      <w:proofErr w:type="spellEnd"/>
      <w:r w:rsidRPr="009B3D4B">
        <w:rPr>
          <w:rFonts w:ascii="Trebuchet MS" w:hAnsi="Trebuchet MS" w:cs="Trebuchet MS"/>
          <w:color w:val="595959"/>
          <w:w w:val="0"/>
          <w:sz w:val="20"/>
          <w:szCs w:val="20"/>
          <w:lang w:val="en-US"/>
        </w:rPr>
        <w:t>) that contribute to the economic growth of the primary sector, with consequent impacts on the entire national economic system. The total budget of projects dedicated to the sector corresponds to 4.88 billion euros, which complements the resources for the CAP 2021-2027. 3.6 billion euros</w:t>
      </w:r>
      <w:r>
        <w:rPr>
          <w:rFonts w:ascii="Trebuchet MS" w:hAnsi="Trebuchet MS" w:cs="Trebuchet MS"/>
          <w:color w:val="595959"/>
          <w:w w:val="0"/>
          <w:sz w:val="20"/>
          <w:szCs w:val="20"/>
          <w:lang w:val="en-US"/>
        </w:rPr>
        <w:t xml:space="preserve"> of these funds</w:t>
      </w:r>
      <w:r w:rsidRPr="009B3D4B">
        <w:rPr>
          <w:rFonts w:ascii="Trebuchet MS" w:hAnsi="Trebuchet MS" w:cs="Trebuchet MS"/>
          <w:color w:val="595959"/>
          <w:w w:val="0"/>
          <w:sz w:val="20"/>
          <w:szCs w:val="20"/>
          <w:lang w:val="en-US"/>
        </w:rPr>
        <w:t xml:space="preserve"> are community resources from the Recovery and Resilience Facility, while 1.2 billion euros are from the Supplementary Fund.</w:t>
      </w:r>
    </w:p>
    <w:p w14:paraId="0B2141D7" w14:textId="014BEEE3" w:rsidR="00624CD7" w:rsidRPr="006033DC" w:rsidRDefault="006033DC" w:rsidP="006033DC">
      <w:pPr>
        <w:suppressAutoHyphens/>
        <w:spacing w:after="120"/>
        <w:jc w:val="both"/>
        <w:rPr>
          <w:rFonts w:ascii="Trebuchet MS" w:eastAsia="Times New Roman" w:hAnsi="Trebuchet MS" w:cs="Arial"/>
          <w:color w:val="595959" w:themeColor="text1" w:themeTint="A6"/>
          <w:sz w:val="20"/>
          <w:szCs w:val="20"/>
          <w:lang w:val="en-US" w:eastAsia="it-IT"/>
        </w:rPr>
      </w:pPr>
      <w:r w:rsidRPr="009B3D4B">
        <w:rPr>
          <w:rFonts w:ascii="Trebuchet MS" w:hAnsi="Trebuchet MS" w:cs="Trebuchet MS"/>
          <w:color w:val="595959"/>
          <w:w w:val="0"/>
          <w:sz w:val="20"/>
          <w:szCs w:val="20"/>
          <w:lang w:val="en-US"/>
        </w:rPr>
        <w:t>There</w:t>
      </w:r>
      <w:r>
        <w:rPr>
          <w:rFonts w:ascii="Trebuchet MS" w:hAnsi="Trebuchet MS" w:cs="Trebuchet MS"/>
          <w:color w:val="595959"/>
          <w:w w:val="0"/>
          <w:sz w:val="20"/>
          <w:szCs w:val="20"/>
          <w:lang w:val="en-US"/>
        </w:rPr>
        <w:t xml:space="preserve"> is </w:t>
      </w:r>
      <w:r w:rsidRPr="009B3D4B">
        <w:rPr>
          <w:rFonts w:ascii="Trebuchet MS" w:hAnsi="Trebuchet MS" w:cs="Trebuchet MS"/>
          <w:color w:val="595959"/>
          <w:w w:val="0"/>
          <w:sz w:val="20"/>
          <w:szCs w:val="20"/>
          <w:lang w:val="en-US"/>
        </w:rPr>
        <w:t xml:space="preserve">a total of five interventions under </w:t>
      </w:r>
      <w:proofErr w:type="spellStart"/>
      <w:r w:rsidRPr="009B3D4B">
        <w:rPr>
          <w:rFonts w:ascii="Trebuchet MS" w:hAnsi="Trebuchet MS" w:cs="Trebuchet MS"/>
          <w:color w:val="595959"/>
          <w:w w:val="0"/>
          <w:sz w:val="20"/>
          <w:szCs w:val="20"/>
          <w:lang w:val="en-US"/>
        </w:rPr>
        <w:t>Mipaaf</w:t>
      </w:r>
      <w:proofErr w:type="spellEnd"/>
      <w:r w:rsidRPr="009B3D4B">
        <w:rPr>
          <w:rFonts w:ascii="Trebuchet MS" w:hAnsi="Trebuchet MS" w:cs="Trebuchet MS"/>
          <w:color w:val="595959"/>
          <w:w w:val="0"/>
          <w:sz w:val="20"/>
          <w:szCs w:val="20"/>
          <w:lang w:val="en-US"/>
        </w:rPr>
        <w:t xml:space="preserve">, although these do not exhaust all the Plan's opportunities for the primary sector. These projects fall under Mission 2- "Green Revolution and Ecological Transition" and specifically under M2C1 - "Circular Economy and Sustainable Agriculture" and M2C4 "Land and Water Resource Protection." In addition to these are other interventions, of </w:t>
      </w:r>
      <w:proofErr w:type="gramStart"/>
      <w:r w:rsidRPr="009B3D4B">
        <w:rPr>
          <w:rFonts w:ascii="Trebuchet MS" w:hAnsi="Trebuchet MS" w:cs="Trebuchet MS"/>
          <w:color w:val="595959"/>
          <w:w w:val="0"/>
          <w:sz w:val="20"/>
          <w:szCs w:val="20"/>
          <w:lang w:val="en-US"/>
        </w:rPr>
        <w:t>particular relevance</w:t>
      </w:r>
      <w:proofErr w:type="gramEnd"/>
      <w:r w:rsidRPr="009B3D4B">
        <w:rPr>
          <w:rFonts w:ascii="Trebuchet MS" w:hAnsi="Trebuchet MS" w:cs="Trebuchet MS"/>
          <w:color w:val="595959"/>
          <w:w w:val="0"/>
          <w:sz w:val="20"/>
          <w:szCs w:val="20"/>
          <w:lang w:val="en-US"/>
        </w:rPr>
        <w:t xml:space="preserve"> to the agricultural sector and rural areas, presented jointly with other administrations or directly supported, these are in particular: the ultra-wideband project in areas of market failure, enhancement of satellite monitoring for environmental purposes and land protection, development of biomethane, </w:t>
      </w:r>
      <w:proofErr w:type="spellStart"/>
      <w:r w:rsidRPr="009B3D4B">
        <w:rPr>
          <w:rFonts w:ascii="Trebuchet MS" w:hAnsi="Trebuchet MS" w:cs="Trebuchet MS"/>
          <w:color w:val="595959"/>
          <w:w w:val="0"/>
          <w:sz w:val="20"/>
          <w:szCs w:val="20"/>
          <w:lang w:val="en-US"/>
        </w:rPr>
        <w:t>agri</w:t>
      </w:r>
      <w:proofErr w:type="spellEnd"/>
      <w:r w:rsidRPr="009B3D4B">
        <w:rPr>
          <w:rFonts w:ascii="Trebuchet MS" w:hAnsi="Trebuchet MS" w:cs="Trebuchet MS"/>
          <w:color w:val="595959"/>
          <w:w w:val="0"/>
          <w:sz w:val="20"/>
          <w:szCs w:val="20"/>
          <w:lang w:val="en-US"/>
        </w:rPr>
        <w:t>-voltaic.</w:t>
      </w:r>
    </w:p>
    <w:p w14:paraId="15E78ECE" w14:textId="77777777" w:rsidR="00624CD7" w:rsidRPr="006033DC" w:rsidRDefault="00624CD7" w:rsidP="00CE2A23">
      <w:pPr>
        <w:suppressAutoHyphens/>
        <w:spacing w:after="120"/>
        <w:jc w:val="both"/>
        <w:rPr>
          <w:rFonts w:ascii="Trebuchet MS" w:eastAsia="Times New Roman" w:hAnsi="Trebuchet MS" w:cs="Arial"/>
          <w:color w:val="595959" w:themeColor="text1" w:themeTint="A6"/>
          <w:sz w:val="8"/>
          <w:szCs w:val="8"/>
          <w:lang w:val="en-US" w:eastAsia="it-IT"/>
        </w:rPr>
      </w:pPr>
    </w:p>
    <w:p w14:paraId="6F5E2310" w14:textId="278C9CB1" w:rsidR="00624CD7" w:rsidRPr="006033DC" w:rsidRDefault="004309DC" w:rsidP="00E662DE">
      <w:pPr>
        <w:suppressAutoHyphens/>
        <w:spacing w:after="120"/>
        <w:jc w:val="both"/>
        <w:rPr>
          <w:rFonts w:ascii="Arial Narrow" w:hAnsi="Arial Narrow" w:cs="Arial"/>
          <w:b/>
          <w:iCs/>
          <w:noProof/>
          <w:color w:val="595959" w:themeColor="text1" w:themeTint="A6"/>
          <w:lang w:val="en-US"/>
        </w:rPr>
      </w:pPr>
      <w:r>
        <w:rPr>
          <w:rFonts w:ascii="Arial Narrow" w:hAnsi="Arial Narrow" w:cs="Arial Narrow"/>
          <w:b/>
          <w:bCs/>
          <w:color w:val="595959"/>
          <w:w w:val="0"/>
          <w:lang w:val="en-US"/>
        </w:rPr>
        <w:t>TABLE</w:t>
      </w:r>
      <w:r w:rsidR="006033DC" w:rsidRPr="009B3D4B">
        <w:rPr>
          <w:rFonts w:ascii="Arial Narrow" w:hAnsi="Arial Narrow" w:cs="Arial Narrow"/>
          <w:b/>
          <w:bCs/>
          <w:color w:val="595959"/>
          <w:w w:val="0"/>
          <w:lang w:val="en-US"/>
        </w:rPr>
        <w:t xml:space="preserve"> 11. THE AGRICULTURAL PROJECTS OF THE PNRR</w:t>
      </w:r>
    </w:p>
    <w:tbl>
      <w:tblPr>
        <w:tblW w:w="9782" w:type="dxa"/>
        <w:tblInd w:w="-10" w:type="dxa"/>
        <w:tblLayout w:type="fixed"/>
        <w:tblCellMar>
          <w:left w:w="70" w:type="dxa"/>
          <w:right w:w="70" w:type="dxa"/>
        </w:tblCellMar>
        <w:tblLook w:val="0000" w:firstRow="0" w:lastRow="0" w:firstColumn="0" w:lastColumn="0" w:noHBand="0" w:noVBand="0"/>
      </w:tblPr>
      <w:tblGrid>
        <w:gridCol w:w="1276"/>
        <w:gridCol w:w="7191"/>
        <w:gridCol w:w="1315"/>
      </w:tblGrid>
      <w:tr w:rsidR="006033DC" w14:paraId="1C199C98" w14:textId="77777777" w:rsidTr="006033DC">
        <w:trPr>
          <w:trHeight w:val="255"/>
        </w:trPr>
        <w:tc>
          <w:tcPr>
            <w:tcW w:w="8467" w:type="dxa"/>
            <w:gridSpan w:val="2"/>
            <w:tcBorders>
              <w:top w:val="single" w:sz="8" w:space="0" w:color="auto"/>
              <w:left w:val="single" w:sz="8" w:space="0" w:color="auto"/>
              <w:bottom w:val="nil"/>
              <w:right w:val="single" w:sz="4" w:space="0" w:color="000000"/>
            </w:tcBorders>
            <w:shd w:val="clear" w:color="auto" w:fill="FFFFFF"/>
            <w:vAlign w:val="center"/>
          </w:tcPr>
          <w:p w14:paraId="178BF03F" w14:textId="77777777" w:rsidR="006033DC" w:rsidRDefault="006033DC" w:rsidP="00AA41E7">
            <w:pPr>
              <w:widowControl/>
              <w:spacing w:before="40" w:after="20"/>
              <w:jc w:val="center"/>
              <w:rPr>
                <w:rFonts w:ascii="Arial Narrow" w:hAnsi="Arial Narrow" w:cs="Arial Narrow"/>
                <w:b/>
                <w:bCs/>
                <w:color w:val="FFFFFF"/>
                <w:w w:val="0"/>
                <w:sz w:val="18"/>
                <w:szCs w:val="18"/>
              </w:rPr>
            </w:pPr>
            <w:r>
              <w:rPr>
                <w:rFonts w:ascii="Arial Narrow" w:hAnsi="Arial Narrow" w:cs="Arial Narrow"/>
                <w:b/>
                <w:bCs/>
                <w:w w:val="0"/>
                <w:sz w:val="18"/>
                <w:szCs w:val="18"/>
              </w:rPr>
              <w:t>INVESTMENTS</w:t>
            </w:r>
          </w:p>
        </w:tc>
        <w:tc>
          <w:tcPr>
            <w:tcW w:w="1315" w:type="dxa"/>
            <w:tcBorders>
              <w:top w:val="single" w:sz="8" w:space="0" w:color="auto"/>
              <w:left w:val="nil"/>
              <w:bottom w:val="nil"/>
              <w:right w:val="single" w:sz="8" w:space="0" w:color="auto"/>
            </w:tcBorders>
            <w:shd w:val="clear" w:color="auto" w:fill="FFFFFF"/>
            <w:vAlign w:val="center"/>
          </w:tcPr>
          <w:p w14:paraId="6E8C6C0A" w14:textId="77777777" w:rsidR="006033DC" w:rsidRDefault="006033DC" w:rsidP="00AA41E7">
            <w:pPr>
              <w:widowControl/>
              <w:spacing w:before="40" w:after="20"/>
              <w:jc w:val="center"/>
              <w:rPr>
                <w:rFonts w:ascii="Arial Narrow" w:hAnsi="Arial Narrow" w:cs="Arial Narrow"/>
                <w:b/>
                <w:bCs/>
                <w:color w:val="FFFFFF"/>
                <w:w w:val="0"/>
                <w:sz w:val="18"/>
                <w:szCs w:val="18"/>
              </w:rPr>
            </w:pPr>
            <w:r>
              <w:rPr>
                <w:rFonts w:ascii="Arial Narrow" w:hAnsi="Arial Narrow" w:cs="Arial Narrow"/>
                <w:b/>
                <w:bCs/>
                <w:color w:val="FFFFFF"/>
                <w:w w:val="0"/>
                <w:sz w:val="18"/>
                <w:szCs w:val="18"/>
              </w:rPr>
              <w:t xml:space="preserve">mld </w:t>
            </w:r>
          </w:p>
        </w:tc>
      </w:tr>
      <w:tr w:rsidR="006033DC" w14:paraId="1C4391F2" w14:textId="77777777" w:rsidTr="006033DC">
        <w:trPr>
          <w:trHeight w:val="255"/>
        </w:trPr>
        <w:tc>
          <w:tcPr>
            <w:tcW w:w="1276" w:type="dxa"/>
            <w:tcBorders>
              <w:top w:val="single" w:sz="8" w:space="0" w:color="auto"/>
              <w:left w:val="single" w:sz="8" w:space="0" w:color="auto"/>
              <w:bottom w:val="single" w:sz="4" w:space="0" w:color="auto"/>
              <w:right w:val="single" w:sz="4" w:space="0" w:color="auto"/>
            </w:tcBorders>
            <w:shd w:val="clear" w:color="auto" w:fill="FFFFFF"/>
            <w:vAlign w:val="center"/>
          </w:tcPr>
          <w:p w14:paraId="1D99287F" w14:textId="77777777" w:rsidR="006033DC" w:rsidRDefault="006033DC" w:rsidP="00AA41E7">
            <w:pPr>
              <w:widowControl/>
              <w:spacing w:before="40" w:after="20"/>
              <w:jc w:val="center"/>
              <w:rPr>
                <w:rFonts w:ascii="Arial Narrow" w:hAnsi="Arial Narrow" w:cs="Arial Narrow"/>
                <w:color w:val="000000"/>
                <w:w w:val="0"/>
                <w:sz w:val="18"/>
                <w:szCs w:val="18"/>
              </w:rPr>
            </w:pPr>
            <w:r>
              <w:rPr>
                <w:rFonts w:ascii="Arial Narrow" w:hAnsi="Arial Narrow" w:cs="Arial Narrow"/>
                <w:color w:val="000000"/>
                <w:w w:val="0"/>
                <w:sz w:val="18"/>
                <w:szCs w:val="18"/>
              </w:rPr>
              <w:t>M2C1 I.2.1</w:t>
            </w:r>
          </w:p>
        </w:tc>
        <w:tc>
          <w:tcPr>
            <w:tcW w:w="7191" w:type="dxa"/>
            <w:tcBorders>
              <w:top w:val="single" w:sz="8" w:space="0" w:color="auto"/>
              <w:left w:val="nil"/>
              <w:bottom w:val="single" w:sz="4" w:space="0" w:color="auto"/>
              <w:right w:val="single" w:sz="4" w:space="0" w:color="auto"/>
            </w:tcBorders>
            <w:shd w:val="clear" w:color="auto" w:fill="FFFFFF"/>
            <w:vAlign w:val="center"/>
          </w:tcPr>
          <w:p w14:paraId="17B3493C" w14:textId="77777777" w:rsidR="006033DC" w:rsidRPr="009B3D4B" w:rsidRDefault="006033DC" w:rsidP="00AA41E7">
            <w:pPr>
              <w:widowControl/>
              <w:spacing w:before="40" w:after="20"/>
              <w:rPr>
                <w:rFonts w:ascii="Arial Narrow" w:hAnsi="Arial Narrow" w:cs="Arial Narrow"/>
                <w:color w:val="000000"/>
                <w:w w:val="0"/>
                <w:sz w:val="18"/>
                <w:szCs w:val="18"/>
                <w:lang w:val="en-US"/>
              </w:rPr>
            </w:pPr>
            <w:r w:rsidRPr="009B3D4B">
              <w:rPr>
                <w:rFonts w:ascii="Arial Narrow" w:hAnsi="Arial Narrow" w:cs="Arial Narrow"/>
                <w:color w:val="000000"/>
                <w:w w:val="0"/>
                <w:sz w:val="18"/>
                <w:szCs w:val="18"/>
                <w:lang w:val="en-US"/>
              </w:rPr>
              <w:t xml:space="preserve">Logistics development for agribusiness, fisheries and aquaculture, forestry, </w:t>
            </w:r>
            <w:proofErr w:type="gramStart"/>
            <w:r w:rsidRPr="009B3D4B">
              <w:rPr>
                <w:rFonts w:ascii="Arial Narrow" w:hAnsi="Arial Narrow" w:cs="Arial Narrow"/>
                <w:color w:val="000000"/>
                <w:w w:val="0"/>
                <w:sz w:val="18"/>
                <w:szCs w:val="18"/>
                <w:lang w:val="en-US"/>
              </w:rPr>
              <w:t>floriculture</w:t>
            </w:r>
            <w:proofErr w:type="gramEnd"/>
            <w:r w:rsidRPr="009B3D4B">
              <w:rPr>
                <w:rFonts w:ascii="Arial Narrow" w:hAnsi="Arial Narrow" w:cs="Arial Narrow"/>
                <w:color w:val="000000"/>
                <w:w w:val="0"/>
                <w:sz w:val="18"/>
                <w:szCs w:val="18"/>
                <w:lang w:val="en-US"/>
              </w:rPr>
              <w:t xml:space="preserve"> and nursery sectors</w:t>
            </w:r>
          </w:p>
        </w:tc>
        <w:tc>
          <w:tcPr>
            <w:tcW w:w="1315" w:type="dxa"/>
            <w:tcBorders>
              <w:top w:val="single" w:sz="8" w:space="0" w:color="auto"/>
              <w:left w:val="nil"/>
              <w:bottom w:val="single" w:sz="4" w:space="0" w:color="auto"/>
              <w:right w:val="single" w:sz="8" w:space="0" w:color="auto"/>
            </w:tcBorders>
            <w:shd w:val="clear" w:color="auto" w:fill="FFFFFF"/>
            <w:vAlign w:val="center"/>
          </w:tcPr>
          <w:p w14:paraId="540D4602" w14:textId="77777777" w:rsidR="006033DC" w:rsidRDefault="006033DC" w:rsidP="00AA41E7">
            <w:pPr>
              <w:widowControl/>
              <w:spacing w:before="40" w:after="20"/>
              <w:jc w:val="center"/>
              <w:rPr>
                <w:rFonts w:ascii="Arial Narrow" w:hAnsi="Arial Narrow" w:cs="Arial Narrow"/>
                <w:color w:val="000000"/>
                <w:w w:val="0"/>
                <w:sz w:val="18"/>
                <w:szCs w:val="18"/>
              </w:rPr>
            </w:pPr>
            <w:r>
              <w:rPr>
                <w:rFonts w:ascii="Arial Narrow" w:hAnsi="Arial Narrow" w:cs="Arial Narrow"/>
                <w:color w:val="000000"/>
                <w:w w:val="0"/>
                <w:sz w:val="18"/>
                <w:szCs w:val="18"/>
              </w:rPr>
              <w:t>0,80</w:t>
            </w:r>
          </w:p>
        </w:tc>
      </w:tr>
      <w:tr w:rsidR="006033DC" w14:paraId="6EE97E29" w14:textId="77777777" w:rsidTr="006033DC">
        <w:trPr>
          <w:trHeight w:val="255"/>
        </w:trPr>
        <w:tc>
          <w:tcPr>
            <w:tcW w:w="1276" w:type="dxa"/>
            <w:tcBorders>
              <w:top w:val="nil"/>
              <w:left w:val="single" w:sz="8" w:space="0" w:color="auto"/>
              <w:bottom w:val="single" w:sz="4" w:space="0" w:color="auto"/>
              <w:right w:val="single" w:sz="4" w:space="0" w:color="auto"/>
            </w:tcBorders>
            <w:shd w:val="clear" w:color="auto" w:fill="FFFFFF"/>
            <w:vAlign w:val="center"/>
          </w:tcPr>
          <w:p w14:paraId="6742B4DF" w14:textId="77777777" w:rsidR="006033DC" w:rsidRDefault="006033DC" w:rsidP="00AA41E7">
            <w:pPr>
              <w:widowControl/>
              <w:spacing w:before="40" w:after="20"/>
              <w:jc w:val="center"/>
              <w:rPr>
                <w:rFonts w:ascii="Arial Narrow" w:hAnsi="Arial Narrow" w:cs="Arial Narrow"/>
                <w:color w:val="000000"/>
                <w:w w:val="0"/>
                <w:sz w:val="18"/>
                <w:szCs w:val="18"/>
              </w:rPr>
            </w:pPr>
            <w:r>
              <w:rPr>
                <w:rFonts w:ascii="Arial Narrow" w:hAnsi="Arial Narrow" w:cs="Arial Narrow"/>
                <w:color w:val="000000"/>
                <w:w w:val="0"/>
                <w:sz w:val="18"/>
                <w:szCs w:val="18"/>
              </w:rPr>
              <w:t>M2C1 I.2.2</w:t>
            </w:r>
          </w:p>
        </w:tc>
        <w:tc>
          <w:tcPr>
            <w:tcW w:w="7191" w:type="dxa"/>
            <w:tcBorders>
              <w:top w:val="nil"/>
              <w:left w:val="nil"/>
              <w:bottom w:val="single" w:sz="4" w:space="0" w:color="auto"/>
              <w:right w:val="single" w:sz="4" w:space="0" w:color="auto"/>
            </w:tcBorders>
            <w:shd w:val="clear" w:color="auto" w:fill="FFFFFF"/>
            <w:vAlign w:val="center"/>
          </w:tcPr>
          <w:p w14:paraId="0521C58D" w14:textId="77777777" w:rsidR="006033DC" w:rsidRDefault="006033DC" w:rsidP="00AA41E7">
            <w:pPr>
              <w:widowControl/>
              <w:spacing w:before="40" w:after="20"/>
              <w:rPr>
                <w:rFonts w:ascii="Arial Narrow" w:hAnsi="Arial Narrow" w:cs="Arial Narrow"/>
                <w:color w:val="000000"/>
                <w:w w:val="0"/>
                <w:sz w:val="18"/>
                <w:szCs w:val="18"/>
              </w:rPr>
            </w:pPr>
            <w:proofErr w:type="spellStart"/>
            <w:r>
              <w:rPr>
                <w:rFonts w:ascii="Arial Narrow" w:hAnsi="Arial Narrow" w:cs="Arial Narrow"/>
                <w:color w:val="000000"/>
                <w:w w:val="0"/>
                <w:sz w:val="18"/>
                <w:szCs w:val="18"/>
              </w:rPr>
              <w:t>Agrisolar</w:t>
            </w:r>
            <w:proofErr w:type="spellEnd"/>
            <w:r>
              <w:rPr>
                <w:rFonts w:ascii="Arial Narrow" w:hAnsi="Arial Narrow" w:cs="Arial Narrow"/>
                <w:color w:val="000000"/>
                <w:w w:val="0"/>
                <w:sz w:val="18"/>
                <w:szCs w:val="18"/>
              </w:rPr>
              <w:t xml:space="preserve"> Park</w:t>
            </w:r>
          </w:p>
        </w:tc>
        <w:tc>
          <w:tcPr>
            <w:tcW w:w="1315" w:type="dxa"/>
            <w:tcBorders>
              <w:top w:val="nil"/>
              <w:left w:val="nil"/>
              <w:bottom w:val="single" w:sz="4" w:space="0" w:color="auto"/>
              <w:right w:val="single" w:sz="8" w:space="0" w:color="auto"/>
            </w:tcBorders>
            <w:shd w:val="clear" w:color="auto" w:fill="FFFFFF"/>
            <w:vAlign w:val="center"/>
          </w:tcPr>
          <w:p w14:paraId="7BA47355" w14:textId="77777777" w:rsidR="006033DC" w:rsidRDefault="006033DC" w:rsidP="00AA41E7">
            <w:pPr>
              <w:widowControl/>
              <w:spacing w:before="40" w:after="20"/>
              <w:jc w:val="center"/>
              <w:rPr>
                <w:rFonts w:ascii="Arial Narrow" w:hAnsi="Arial Narrow" w:cs="Arial Narrow"/>
                <w:color w:val="000000"/>
                <w:w w:val="0"/>
                <w:sz w:val="18"/>
                <w:szCs w:val="18"/>
              </w:rPr>
            </w:pPr>
            <w:r>
              <w:rPr>
                <w:rFonts w:ascii="Arial Narrow" w:hAnsi="Arial Narrow" w:cs="Arial Narrow"/>
                <w:color w:val="000000"/>
                <w:w w:val="0"/>
                <w:sz w:val="18"/>
                <w:szCs w:val="18"/>
              </w:rPr>
              <w:t>1,50</w:t>
            </w:r>
          </w:p>
        </w:tc>
      </w:tr>
      <w:tr w:rsidR="006033DC" w14:paraId="08E18A96" w14:textId="77777777" w:rsidTr="006033DC">
        <w:trPr>
          <w:trHeight w:val="255"/>
        </w:trPr>
        <w:tc>
          <w:tcPr>
            <w:tcW w:w="1276" w:type="dxa"/>
            <w:tcBorders>
              <w:top w:val="nil"/>
              <w:left w:val="single" w:sz="8" w:space="0" w:color="auto"/>
              <w:bottom w:val="single" w:sz="4" w:space="0" w:color="auto"/>
              <w:right w:val="single" w:sz="4" w:space="0" w:color="auto"/>
            </w:tcBorders>
            <w:shd w:val="clear" w:color="auto" w:fill="FFFFFF"/>
            <w:vAlign w:val="center"/>
          </w:tcPr>
          <w:p w14:paraId="0E99D585" w14:textId="77777777" w:rsidR="006033DC" w:rsidRDefault="006033DC" w:rsidP="00AA41E7">
            <w:pPr>
              <w:widowControl/>
              <w:spacing w:before="40" w:after="20"/>
              <w:jc w:val="center"/>
              <w:rPr>
                <w:rFonts w:ascii="Arial Narrow" w:hAnsi="Arial Narrow" w:cs="Arial Narrow"/>
                <w:color w:val="000000"/>
                <w:w w:val="0"/>
                <w:sz w:val="18"/>
                <w:szCs w:val="18"/>
              </w:rPr>
            </w:pPr>
            <w:r>
              <w:rPr>
                <w:rFonts w:ascii="Arial Narrow" w:hAnsi="Arial Narrow" w:cs="Arial Narrow"/>
                <w:color w:val="000000"/>
                <w:w w:val="0"/>
                <w:sz w:val="18"/>
                <w:szCs w:val="18"/>
              </w:rPr>
              <w:t>M2C1 I.2.3</w:t>
            </w:r>
          </w:p>
        </w:tc>
        <w:tc>
          <w:tcPr>
            <w:tcW w:w="7191" w:type="dxa"/>
            <w:tcBorders>
              <w:top w:val="nil"/>
              <w:left w:val="nil"/>
              <w:bottom w:val="single" w:sz="4" w:space="0" w:color="auto"/>
              <w:right w:val="single" w:sz="4" w:space="0" w:color="auto"/>
            </w:tcBorders>
            <w:shd w:val="clear" w:color="auto" w:fill="FFFFFF"/>
            <w:vAlign w:val="center"/>
          </w:tcPr>
          <w:p w14:paraId="3EA11513" w14:textId="77777777" w:rsidR="006033DC" w:rsidRPr="009B3D4B" w:rsidRDefault="006033DC" w:rsidP="00AA41E7">
            <w:pPr>
              <w:widowControl/>
              <w:spacing w:before="40" w:after="20"/>
              <w:rPr>
                <w:rFonts w:ascii="Arial Narrow" w:hAnsi="Arial Narrow" w:cs="Arial Narrow"/>
                <w:color w:val="000000"/>
                <w:w w:val="0"/>
                <w:sz w:val="18"/>
                <w:szCs w:val="18"/>
                <w:lang w:val="en-US"/>
              </w:rPr>
            </w:pPr>
            <w:r w:rsidRPr="009B3D4B">
              <w:rPr>
                <w:rFonts w:ascii="Arial Narrow" w:hAnsi="Arial Narrow" w:cs="Arial Narrow"/>
                <w:color w:val="000000"/>
                <w:w w:val="0"/>
                <w:sz w:val="18"/>
                <w:szCs w:val="18"/>
                <w:lang w:val="en-US"/>
              </w:rPr>
              <w:t>Innovation and mechanization in agriculture and food sector</w:t>
            </w:r>
          </w:p>
        </w:tc>
        <w:tc>
          <w:tcPr>
            <w:tcW w:w="1315" w:type="dxa"/>
            <w:tcBorders>
              <w:top w:val="nil"/>
              <w:left w:val="nil"/>
              <w:bottom w:val="single" w:sz="4" w:space="0" w:color="auto"/>
              <w:right w:val="single" w:sz="8" w:space="0" w:color="auto"/>
            </w:tcBorders>
            <w:shd w:val="clear" w:color="auto" w:fill="FFFFFF"/>
            <w:vAlign w:val="center"/>
          </w:tcPr>
          <w:p w14:paraId="44B257DD" w14:textId="77777777" w:rsidR="006033DC" w:rsidRDefault="006033DC" w:rsidP="00AA41E7">
            <w:pPr>
              <w:widowControl/>
              <w:spacing w:before="40" w:after="20"/>
              <w:jc w:val="center"/>
              <w:rPr>
                <w:rFonts w:ascii="Arial Narrow" w:hAnsi="Arial Narrow" w:cs="Arial Narrow"/>
                <w:color w:val="000000"/>
                <w:w w:val="0"/>
                <w:sz w:val="18"/>
                <w:szCs w:val="18"/>
              </w:rPr>
            </w:pPr>
            <w:r>
              <w:rPr>
                <w:rFonts w:ascii="Arial Narrow" w:hAnsi="Arial Narrow" w:cs="Arial Narrow"/>
                <w:color w:val="000000"/>
                <w:w w:val="0"/>
                <w:sz w:val="18"/>
                <w:szCs w:val="18"/>
              </w:rPr>
              <w:t>0,50</w:t>
            </w:r>
          </w:p>
        </w:tc>
      </w:tr>
      <w:tr w:rsidR="006033DC" w14:paraId="230F63C2" w14:textId="77777777" w:rsidTr="006033DC">
        <w:trPr>
          <w:trHeight w:val="255"/>
        </w:trPr>
        <w:tc>
          <w:tcPr>
            <w:tcW w:w="1276" w:type="dxa"/>
            <w:tcBorders>
              <w:top w:val="nil"/>
              <w:left w:val="single" w:sz="8" w:space="0" w:color="auto"/>
              <w:bottom w:val="single" w:sz="4" w:space="0" w:color="auto"/>
              <w:right w:val="single" w:sz="4" w:space="0" w:color="auto"/>
            </w:tcBorders>
            <w:shd w:val="clear" w:color="auto" w:fill="FFFFFF"/>
            <w:vAlign w:val="center"/>
          </w:tcPr>
          <w:p w14:paraId="4F8E530A" w14:textId="77777777" w:rsidR="006033DC" w:rsidRDefault="006033DC" w:rsidP="00AA41E7">
            <w:pPr>
              <w:widowControl/>
              <w:spacing w:before="40" w:after="20"/>
              <w:jc w:val="center"/>
              <w:rPr>
                <w:rFonts w:ascii="Arial Narrow" w:hAnsi="Arial Narrow" w:cs="Arial Narrow"/>
                <w:color w:val="000000"/>
                <w:w w:val="0"/>
                <w:sz w:val="18"/>
                <w:szCs w:val="18"/>
              </w:rPr>
            </w:pPr>
            <w:r>
              <w:rPr>
                <w:rFonts w:ascii="Arial Narrow" w:hAnsi="Arial Narrow" w:cs="Arial Narrow"/>
                <w:color w:val="000000"/>
                <w:w w:val="0"/>
                <w:sz w:val="18"/>
                <w:szCs w:val="18"/>
              </w:rPr>
              <w:t>M2C4 I.4.3 **</w:t>
            </w:r>
          </w:p>
        </w:tc>
        <w:tc>
          <w:tcPr>
            <w:tcW w:w="7191" w:type="dxa"/>
            <w:tcBorders>
              <w:top w:val="nil"/>
              <w:left w:val="nil"/>
              <w:bottom w:val="single" w:sz="4" w:space="0" w:color="auto"/>
              <w:right w:val="single" w:sz="4" w:space="0" w:color="auto"/>
            </w:tcBorders>
            <w:shd w:val="clear" w:color="auto" w:fill="FFFFFF"/>
            <w:vAlign w:val="center"/>
          </w:tcPr>
          <w:p w14:paraId="22148977" w14:textId="77777777" w:rsidR="006033DC" w:rsidRPr="009B3D4B" w:rsidRDefault="006033DC" w:rsidP="00AA41E7">
            <w:pPr>
              <w:widowControl/>
              <w:spacing w:before="40" w:after="20"/>
              <w:rPr>
                <w:rFonts w:ascii="Arial Narrow" w:hAnsi="Arial Narrow" w:cs="Arial Narrow"/>
                <w:color w:val="000000"/>
                <w:w w:val="0"/>
                <w:sz w:val="18"/>
                <w:szCs w:val="18"/>
                <w:lang w:val="en-US"/>
              </w:rPr>
            </w:pPr>
            <w:r w:rsidRPr="009B3D4B">
              <w:rPr>
                <w:rFonts w:ascii="Arial Narrow" w:hAnsi="Arial Narrow" w:cs="Arial Narrow"/>
                <w:color w:val="000000"/>
                <w:w w:val="0"/>
                <w:sz w:val="18"/>
                <w:szCs w:val="18"/>
                <w:lang w:val="en-US"/>
              </w:rPr>
              <w:t xml:space="preserve">Investments in irrigated </w:t>
            </w:r>
            <w:proofErr w:type="spellStart"/>
            <w:r w:rsidRPr="009B3D4B">
              <w:rPr>
                <w:rFonts w:ascii="Arial Narrow" w:hAnsi="Arial Narrow" w:cs="Arial Narrow"/>
                <w:color w:val="000000"/>
                <w:w w:val="0"/>
                <w:sz w:val="18"/>
                <w:szCs w:val="18"/>
                <w:lang w:val="en-US"/>
              </w:rPr>
              <w:t>agrosystem</w:t>
            </w:r>
            <w:proofErr w:type="spellEnd"/>
            <w:r w:rsidRPr="009B3D4B">
              <w:rPr>
                <w:rFonts w:ascii="Arial Narrow" w:hAnsi="Arial Narrow" w:cs="Arial Narrow"/>
                <w:color w:val="000000"/>
                <w:w w:val="0"/>
                <w:sz w:val="18"/>
                <w:szCs w:val="18"/>
                <w:lang w:val="en-US"/>
              </w:rPr>
              <w:t xml:space="preserve"> resilience for better water resource management</w:t>
            </w:r>
          </w:p>
        </w:tc>
        <w:tc>
          <w:tcPr>
            <w:tcW w:w="1315" w:type="dxa"/>
            <w:tcBorders>
              <w:top w:val="nil"/>
              <w:left w:val="nil"/>
              <w:bottom w:val="single" w:sz="4" w:space="0" w:color="auto"/>
              <w:right w:val="single" w:sz="8" w:space="0" w:color="auto"/>
            </w:tcBorders>
            <w:shd w:val="clear" w:color="auto" w:fill="FFFFFF"/>
            <w:vAlign w:val="center"/>
          </w:tcPr>
          <w:p w14:paraId="08EA641D" w14:textId="77777777" w:rsidR="006033DC" w:rsidRDefault="006033DC" w:rsidP="00AA41E7">
            <w:pPr>
              <w:widowControl/>
              <w:spacing w:before="40" w:after="20"/>
              <w:jc w:val="center"/>
              <w:rPr>
                <w:rFonts w:ascii="Arial Narrow" w:hAnsi="Arial Narrow" w:cs="Arial Narrow"/>
                <w:color w:val="000000"/>
                <w:w w:val="0"/>
                <w:sz w:val="18"/>
                <w:szCs w:val="18"/>
              </w:rPr>
            </w:pPr>
            <w:r>
              <w:rPr>
                <w:rFonts w:ascii="Arial Narrow" w:hAnsi="Arial Narrow" w:cs="Arial Narrow"/>
                <w:color w:val="000000"/>
                <w:w w:val="0"/>
                <w:sz w:val="18"/>
                <w:szCs w:val="18"/>
              </w:rPr>
              <w:t>0,88</w:t>
            </w:r>
          </w:p>
        </w:tc>
      </w:tr>
      <w:tr w:rsidR="006033DC" w14:paraId="04CCF6C0" w14:textId="77777777" w:rsidTr="006033DC">
        <w:trPr>
          <w:trHeight w:val="255"/>
        </w:trPr>
        <w:tc>
          <w:tcPr>
            <w:tcW w:w="1276" w:type="dxa"/>
            <w:tcBorders>
              <w:top w:val="nil"/>
              <w:left w:val="single" w:sz="8" w:space="0" w:color="auto"/>
              <w:bottom w:val="single" w:sz="8" w:space="0" w:color="auto"/>
              <w:right w:val="single" w:sz="4" w:space="0" w:color="auto"/>
            </w:tcBorders>
            <w:shd w:val="clear" w:color="auto" w:fill="FFFFFF"/>
            <w:vAlign w:val="center"/>
          </w:tcPr>
          <w:p w14:paraId="2072DE4C" w14:textId="77777777" w:rsidR="006033DC" w:rsidRDefault="006033DC" w:rsidP="00AA41E7">
            <w:pPr>
              <w:widowControl/>
              <w:spacing w:before="40" w:after="20"/>
              <w:jc w:val="center"/>
              <w:rPr>
                <w:rFonts w:ascii="Arial Narrow" w:hAnsi="Arial Narrow" w:cs="Arial Narrow"/>
                <w:color w:val="000000"/>
                <w:w w:val="0"/>
                <w:sz w:val="18"/>
                <w:szCs w:val="18"/>
              </w:rPr>
            </w:pPr>
            <w:r>
              <w:rPr>
                <w:rFonts w:ascii="Arial Narrow" w:hAnsi="Arial Narrow" w:cs="Arial Narrow"/>
                <w:color w:val="000000"/>
                <w:w w:val="0"/>
                <w:sz w:val="18"/>
                <w:szCs w:val="18"/>
              </w:rPr>
              <w:t>*</w:t>
            </w:r>
          </w:p>
        </w:tc>
        <w:tc>
          <w:tcPr>
            <w:tcW w:w="7191" w:type="dxa"/>
            <w:tcBorders>
              <w:top w:val="single" w:sz="4" w:space="0" w:color="auto"/>
              <w:left w:val="single" w:sz="4" w:space="0" w:color="auto"/>
              <w:bottom w:val="single" w:sz="8" w:space="0" w:color="auto"/>
              <w:right w:val="single" w:sz="4" w:space="0" w:color="auto"/>
            </w:tcBorders>
            <w:shd w:val="clear" w:color="auto" w:fill="FFFFFF"/>
            <w:vAlign w:val="center"/>
          </w:tcPr>
          <w:p w14:paraId="71C6D4C2" w14:textId="77777777" w:rsidR="006033DC" w:rsidRPr="009B3D4B" w:rsidRDefault="006033DC" w:rsidP="00AA41E7">
            <w:pPr>
              <w:widowControl/>
              <w:spacing w:before="40" w:after="20"/>
              <w:rPr>
                <w:rFonts w:ascii="Arial Narrow" w:hAnsi="Arial Narrow" w:cs="Arial Narrow"/>
                <w:color w:val="000000"/>
                <w:w w:val="0"/>
                <w:sz w:val="18"/>
                <w:szCs w:val="18"/>
                <w:lang w:val="en-US"/>
              </w:rPr>
            </w:pPr>
            <w:r w:rsidRPr="009B3D4B">
              <w:rPr>
                <w:rFonts w:ascii="Arial Narrow" w:hAnsi="Arial Narrow" w:cs="Arial Narrow"/>
                <w:color w:val="000000"/>
                <w:w w:val="0"/>
                <w:sz w:val="18"/>
                <w:szCs w:val="18"/>
                <w:lang w:val="en-US"/>
              </w:rPr>
              <w:t>Supply chain and district contracts for the agribusiness, fisheries and aquaculture, forestry, and floriculture sectors</w:t>
            </w:r>
          </w:p>
        </w:tc>
        <w:tc>
          <w:tcPr>
            <w:tcW w:w="1315" w:type="dxa"/>
            <w:tcBorders>
              <w:top w:val="nil"/>
              <w:left w:val="single" w:sz="4" w:space="0" w:color="auto"/>
              <w:bottom w:val="single" w:sz="8" w:space="0" w:color="auto"/>
              <w:right w:val="single" w:sz="8" w:space="0" w:color="auto"/>
            </w:tcBorders>
            <w:shd w:val="clear" w:color="auto" w:fill="FFFFFF"/>
            <w:vAlign w:val="center"/>
          </w:tcPr>
          <w:p w14:paraId="73DD1DCB" w14:textId="77777777" w:rsidR="006033DC" w:rsidRDefault="006033DC" w:rsidP="00AA41E7">
            <w:pPr>
              <w:widowControl/>
              <w:spacing w:before="40" w:after="20"/>
              <w:jc w:val="center"/>
              <w:rPr>
                <w:rFonts w:ascii="Arial Narrow" w:hAnsi="Arial Narrow" w:cs="Arial Narrow"/>
                <w:color w:val="000000"/>
                <w:w w:val="0"/>
                <w:sz w:val="18"/>
                <w:szCs w:val="18"/>
              </w:rPr>
            </w:pPr>
            <w:r>
              <w:rPr>
                <w:rFonts w:ascii="Arial Narrow" w:hAnsi="Arial Narrow" w:cs="Arial Narrow"/>
                <w:color w:val="000000"/>
                <w:w w:val="0"/>
                <w:sz w:val="18"/>
                <w:szCs w:val="18"/>
              </w:rPr>
              <w:t>1,20</w:t>
            </w:r>
          </w:p>
        </w:tc>
      </w:tr>
    </w:tbl>
    <w:p w14:paraId="535E4B18" w14:textId="77777777" w:rsidR="006033DC" w:rsidRDefault="006033DC" w:rsidP="006033DC">
      <w:pPr>
        <w:suppressAutoHyphens/>
        <w:spacing w:before="60"/>
        <w:jc w:val="both"/>
        <w:rPr>
          <w:rFonts w:ascii="Arial" w:hAnsi="Arial" w:cs="Arial"/>
          <w:w w:val="0"/>
          <w:sz w:val="15"/>
          <w:szCs w:val="15"/>
        </w:rPr>
      </w:pPr>
      <w:r>
        <w:rPr>
          <w:rFonts w:ascii="Arial" w:hAnsi="Arial" w:cs="Arial"/>
          <w:w w:val="0"/>
          <w:sz w:val="15"/>
          <w:szCs w:val="15"/>
        </w:rPr>
        <w:t xml:space="preserve">*Funding from </w:t>
      </w:r>
      <w:proofErr w:type="spellStart"/>
      <w:r>
        <w:rPr>
          <w:rFonts w:ascii="Arial" w:hAnsi="Arial" w:cs="Arial"/>
          <w:w w:val="0"/>
          <w:sz w:val="15"/>
          <w:szCs w:val="15"/>
        </w:rPr>
        <w:t>supplementary</w:t>
      </w:r>
      <w:proofErr w:type="spellEnd"/>
      <w:r>
        <w:rPr>
          <w:rFonts w:ascii="Arial" w:hAnsi="Arial" w:cs="Arial"/>
          <w:w w:val="0"/>
          <w:sz w:val="15"/>
          <w:szCs w:val="15"/>
        </w:rPr>
        <w:t xml:space="preserve"> fund.</w:t>
      </w:r>
    </w:p>
    <w:p w14:paraId="6373AA96" w14:textId="77777777" w:rsidR="006033DC" w:rsidRPr="009B3D4B" w:rsidRDefault="006033DC" w:rsidP="006033DC">
      <w:pPr>
        <w:jc w:val="both"/>
        <w:rPr>
          <w:rFonts w:ascii="Arial" w:hAnsi="Arial" w:cs="Arial"/>
          <w:w w:val="0"/>
          <w:sz w:val="15"/>
          <w:szCs w:val="15"/>
          <w:lang w:val="en-US"/>
        </w:rPr>
      </w:pPr>
      <w:r w:rsidRPr="009B3D4B">
        <w:rPr>
          <w:rFonts w:ascii="Arial" w:hAnsi="Arial" w:cs="Arial"/>
          <w:w w:val="0"/>
          <w:sz w:val="15"/>
          <w:szCs w:val="15"/>
          <w:lang w:val="en-US"/>
        </w:rPr>
        <w:t xml:space="preserve">** of which 360 </w:t>
      </w:r>
      <w:proofErr w:type="spellStart"/>
      <w:r w:rsidRPr="009B3D4B">
        <w:rPr>
          <w:rFonts w:ascii="Arial" w:hAnsi="Arial" w:cs="Arial"/>
          <w:w w:val="0"/>
          <w:sz w:val="15"/>
          <w:szCs w:val="15"/>
          <w:lang w:val="en-US"/>
        </w:rPr>
        <w:t>mln</w:t>
      </w:r>
      <w:proofErr w:type="spellEnd"/>
      <w:r w:rsidRPr="009B3D4B">
        <w:rPr>
          <w:rFonts w:ascii="Arial" w:hAnsi="Arial" w:cs="Arial"/>
          <w:w w:val="0"/>
          <w:sz w:val="15"/>
          <w:szCs w:val="15"/>
          <w:lang w:val="en-US"/>
        </w:rPr>
        <w:t xml:space="preserve"> relates to projects already underway, supported with national funds</w:t>
      </w:r>
    </w:p>
    <w:p w14:paraId="0EE39CCC" w14:textId="676438A5" w:rsidR="00624CD7" w:rsidRPr="006033DC" w:rsidRDefault="006033DC" w:rsidP="006033DC">
      <w:pPr>
        <w:suppressAutoHyphens/>
        <w:jc w:val="both"/>
        <w:rPr>
          <w:rFonts w:ascii="Arial" w:hAnsi="Arial" w:cs="Arial"/>
          <w:sz w:val="15"/>
          <w:szCs w:val="15"/>
          <w:lang w:val="en-US"/>
        </w:rPr>
      </w:pPr>
      <w:r w:rsidRPr="009B3D4B">
        <w:rPr>
          <w:rFonts w:ascii="Arial" w:hAnsi="Arial" w:cs="Arial"/>
          <w:w w:val="0"/>
          <w:sz w:val="15"/>
          <w:szCs w:val="15"/>
          <w:lang w:val="en-US"/>
        </w:rPr>
        <w:t>Source: elaborations on NRRP, 2021</w:t>
      </w:r>
    </w:p>
    <w:p w14:paraId="28843F5D" w14:textId="77777777" w:rsidR="002D13BD" w:rsidRPr="006033DC" w:rsidRDefault="002D13BD" w:rsidP="00624CD7">
      <w:pPr>
        <w:suppressAutoHyphens/>
        <w:jc w:val="both"/>
        <w:rPr>
          <w:rFonts w:ascii="Arial" w:hAnsi="Arial" w:cs="Arial"/>
          <w:sz w:val="15"/>
          <w:szCs w:val="15"/>
          <w:lang w:val="en-US"/>
        </w:rPr>
      </w:pPr>
    </w:p>
    <w:p w14:paraId="747F9DDC" w14:textId="676C265F" w:rsidR="009F62F7" w:rsidRPr="006033DC" w:rsidRDefault="009F62F7" w:rsidP="00624CD7">
      <w:pPr>
        <w:suppressAutoHyphens/>
        <w:jc w:val="both"/>
        <w:rPr>
          <w:rFonts w:ascii="Arial" w:hAnsi="Arial" w:cs="Arial"/>
          <w:sz w:val="15"/>
          <w:szCs w:val="15"/>
          <w:lang w:val="en-US"/>
        </w:rPr>
      </w:pPr>
      <w:r w:rsidRPr="006033DC">
        <w:rPr>
          <w:rFonts w:ascii="Arial" w:hAnsi="Arial" w:cs="Arial"/>
          <w:sz w:val="15"/>
          <w:szCs w:val="15"/>
          <w:lang w:val="en-US"/>
        </w:rPr>
        <w:br w:type="page"/>
      </w:r>
    </w:p>
    <w:p w14:paraId="3B090BD7" w14:textId="77777777" w:rsidR="002D13BD" w:rsidRPr="006033DC" w:rsidRDefault="002D13BD" w:rsidP="00624CD7">
      <w:pPr>
        <w:suppressAutoHyphens/>
        <w:jc w:val="both"/>
        <w:rPr>
          <w:rFonts w:ascii="Arial" w:hAnsi="Arial" w:cs="Arial"/>
          <w:sz w:val="15"/>
          <w:szCs w:val="15"/>
          <w:lang w:val="en-US"/>
        </w:rPr>
      </w:pPr>
    </w:p>
    <w:p w14:paraId="20070D4A" w14:textId="77777777" w:rsidR="006033DC" w:rsidRPr="009B3D4B" w:rsidRDefault="006033DC" w:rsidP="006033DC">
      <w:pPr>
        <w:suppressAutoHyphens/>
        <w:jc w:val="both"/>
        <w:rPr>
          <w:rFonts w:ascii="Trebuchet MS" w:hAnsi="Trebuchet MS" w:cs="Trebuchet MS"/>
          <w:b/>
          <w:bCs/>
          <w:color w:val="595959"/>
          <w:w w:val="0"/>
          <w:lang w:val="en-US"/>
        </w:rPr>
      </w:pPr>
      <w:r w:rsidRPr="009B3D4B">
        <w:rPr>
          <w:rFonts w:ascii="Trebuchet MS" w:hAnsi="Trebuchet MS" w:cs="Trebuchet MS"/>
          <w:b/>
          <w:bCs/>
          <w:color w:val="595959"/>
          <w:w w:val="0"/>
          <w:lang w:val="en-US"/>
        </w:rPr>
        <w:t>Mission 2 Component 1 - Investment 2.1: Logistics development for agribusiness, fisheries and aquaculture, forestry, floriculture, nursery</w:t>
      </w:r>
      <w:r>
        <w:rPr>
          <w:rFonts w:ascii="Trebuchet MS" w:hAnsi="Trebuchet MS" w:cs="Trebuchet MS"/>
          <w:b/>
          <w:bCs/>
          <w:color w:val="595959"/>
          <w:w w:val="0"/>
          <w:lang w:val="en-US"/>
        </w:rPr>
        <w:t xml:space="preserve"> sectors</w:t>
      </w:r>
    </w:p>
    <w:p w14:paraId="49959C29"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Our country lags far behind in infrastructure; in fact, it </w:t>
      </w:r>
      <w:bookmarkStart w:id="2" w:name="_Hlk106180073"/>
      <w:r>
        <w:rPr>
          <w:rFonts w:ascii="Trebuchet MS" w:hAnsi="Trebuchet MS" w:cs="Trebuchet MS"/>
          <w:color w:val="595959"/>
          <w:w w:val="0"/>
          <w:sz w:val="20"/>
          <w:szCs w:val="20"/>
          <w:lang w:val="en-US"/>
        </w:rPr>
        <w:t xml:space="preserve">has positioned </w:t>
      </w:r>
      <w:r w:rsidRPr="009B3D4B">
        <w:rPr>
          <w:rFonts w:ascii="Trebuchet MS" w:hAnsi="Trebuchet MS" w:cs="Trebuchet MS"/>
          <w:color w:val="595959"/>
          <w:w w:val="0"/>
          <w:sz w:val="20"/>
          <w:szCs w:val="20"/>
          <w:lang w:val="en-US"/>
        </w:rPr>
        <w:t xml:space="preserve">18th in the World Economic Forum's (2019) ranking of the "infrastructure" indicator. </w:t>
      </w:r>
    </w:p>
    <w:bookmarkEnd w:id="2"/>
    <w:p w14:paraId="20868178" w14:textId="0B94A74A" w:rsidR="00624CD7" w:rsidRPr="006033DC" w:rsidRDefault="006033DC" w:rsidP="006033DC">
      <w:pPr>
        <w:suppressAutoHyphens/>
        <w:spacing w:after="80"/>
        <w:jc w:val="both"/>
        <w:rPr>
          <w:rFonts w:ascii="Trebuchet MS" w:eastAsia="Times New Roman" w:hAnsi="Trebuchet MS" w:cs="Arial"/>
          <w:color w:val="595959" w:themeColor="text1" w:themeTint="A6"/>
          <w:sz w:val="20"/>
          <w:szCs w:val="20"/>
          <w:lang w:val="en-US" w:eastAsia="it-IT"/>
        </w:rPr>
      </w:pPr>
      <w:r w:rsidRPr="009B3D4B">
        <w:rPr>
          <w:rFonts w:ascii="Trebuchet MS" w:hAnsi="Trebuchet MS" w:cs="Trebuchet MS"/>
          <w:color w:val="595959"/>
          <w:w w:val="0"/>
          <w:sz w:val="20"/>
          <w:szCs w:val="20"/>
          <w:lang w:val="en-US"/>
        </w:rPr>
        <w:t>The proposed investment aims to enhance the logistics of the agri-food sector (including floriculture, fisheries and aquaculture), which is characterized by strong specificities throughout the supply chain, attributable to several aspects, such as: nature of products (fresh, dried and frozen); complexity of production and food processing chains upstream; growing globalization and internationalization of markets, both supply and outlet, with increasing distances between production basins and consumption areas; great articulation of sales channels, which for agri-food products extend from street vendors to e-commerce, passing through large-scale distribution and Ho.Re.Ca.</w:t>
      </w:r>
    </w:p>
    <w:p w14:paraId="17E14CB6" w14:textId="77777777" w:rsidR="003E5039" w:rsidRPr="006033DC" w:rsidRDefault="003E5039" w:rsidP="00CE2A23">
      <w:pPr>
        <w:suppressAutoHyphens/>
        <w:spacing w:after="120"/>
        <w:jc w:val="both"/>
        <w:rPr>
          <w:rFonts w:ascii="Trebuchet MS" w:eastAsia="Times New Roman" w:hAnsi="Trebuchet MS" w:cs="Arial"/>
          <w:color w:val="595959" w:themeColor="text1" w:themeTint="A6"/>
          <w:sz w:val="20"/>
          <w:szCs w:val="20"/>
          <w:lang w:val="en-US" w:eastAsia="it-IT"/>
        </w:rPr>
      </w:pPr>
    </w:p>
    <w:p w14:paraId="6321A52B" w14:textId="5A8EC148" w:rsidR="00624CD7" w:rsidRPr="006033DC" w:rsidRDefault="006033DC" w:rsidP="00624CD7">
      <w:pPr>
        <w:suppressAutoHyphens/>
        <w:spacing w:before="120" w:line="288" w:lineRule="auto"/>
        <w:jc w:val="both"/>
        <w:rPr>
          <w:rFonts w:ascii="Arial Narrow" w:hAnsi="Arial Narrow" w:cs="Arial"/>
          <w:b/>
          <w:iCs/>
          <w:noProof/>
          <w:color w:val="595959" w:themeColor="text1" w:themeTint="A6"/>
          <w:lang w:val="en-US"/>
        </w:rPr>
      </w:pPr>
      <w:r w:rsidRPr="006033DC">
        <w:rPr>
          <w:rFonts w:ascii="Arial Narrow" w:hAnsi="Arial Narrow" w:cs="Arial"/>
          <w:b/>
          <w:iCs/>
          <w:noProof/>
          <w:color w:val="595959" w:themeColor="text1" w:themeTint="A6"/>
          <w:lang w:val="en-US"/>
        </w:rPr>
        <w:t>FIGURE</w:t>
      </w:r>
      <w:r w:rsidR="00360729" w:rsidRPr="006033DC">
        <w:rPr>
          <w:rFonts w:ascii="Arial Narrow" w:hAnsi="Arial Narrow" w:cs="Arial"/>
          <w:b/>
          <w:iCs/>
          <w:noProof/>
          <w:color w:val="595959" w:themeColor="text1" w:themeTint="A6"/>
          <w:lang w:val="en-US"/>
        </w:rPr>
        <w:t xml:space="preserve"> 18</w:t>
      </w:r>
      <w:r w:rsidR="003E5039" w:rsidRPr="006033DC">
        <w:rPr>
          <w:rFonts w:ascii="Arial Narrow" w:hAnsi="Arial Narrow" w:cs="Arial"/>
          <w:b/>
          <w:iCs/>
          <w:noProof/>
          <w:color w:val="595959" w:themeColor="text1" w:themeTint="A6"/>
          <w:lang w:val="en-US"/>
        </w:rPr>
        <w:t xml:space="preserve">: </w:t>
      </w:r>
      <w:r w:rsidRPr="009B3D4B">
        <w:rPr>
          <w:rFonts w:ascii="Arial Narrow" w:hAnsi="Arial Narrow" w:cs="Arial Narrow"/>
          <w:b/>
          <w:bCs/>
          <w:color w:val="595959"/>
          <w:w w:val="0"/>
          <w:lang w:val="en-US"/>
        </w:rPr>
        <w:t>THE OBJECTIVES OF INVESTMENT 2.1</w:t>
      </w:r>
    </w:p>
    <w:p w14:paraId="1CCA54E4" w14:textId="5B98B71F" w:rsidR="00624CD7" w:rsidRDefault="006033DC" w:rsidP="00624CD7">
      <w:pPr>
        <w:suppressAutoHyphens/>
        <w:spacing w:before="120" w:line="288" w:lineRule="auto"/>
        <w:jc w:val="both"/>
        <w:rPr>
          <w:rFonts w:ascii="Times New Roman" w:hAnsi="Times New Roman"/>
          <w:sz w:val="24"/>
          <w:szCs w:val="24"/>
        </w:rPr>
      </w:pPr>
      <w:r w:rsidRPr="006B264C">
        <w:rPr>
          <w:noProof/>
          <w:w w:val="0"/>
          <w:lang w:eastAsia="it-IT"/>
        </w:rPr>
        <w:drawing>
          <wp:inline distT="0" distB="0" distL="0" distR="0" wp14:anchorId="0CB61215" wp14:editId="3FE05FBC">
            <wp:extent cx="4442460" cy="2347595"/>
            <wp:effectExtent l="0" t="0" r="0" b="0"/>
            <wp:docPr id="1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42460" cy="2347595"/>
                    </a:xfrm>
                    <a:prstGeom prst="rect">
                      <a:avLst/>
                    </a:prstGeom>
                    <a:noFill/>
                    <a:ln>
                      <a:noFill/>
                    </a:ln>
                  </pic:spPr>
                </pic:pic>
              </a:graphicData>
            </a:graphic>
          </wp:inline>
        </w:drawing>
      </w:r>
    </w:p>
    <w:p w14:paraId="19276262" w14:textId="5CFF3922" w:rsidR="00624CD7" w:rsidRPr="006033DC" w:rsidRDefault="006033DC" w:rsidP="00624CD7">
      <w:pPr>
        <w:suppressAutoHyphens/>
        <w:jc w:val="both"/>
        <w:rPr>
          <w:rFonts w:ascii="Arial" w:hAnsi="Arial" w:cs="Arial"/>
          <w:sz w:val="15"/>
          <w:szCs w:val="15"/>
          <w:lang w:val="en-US"/>
        </w:rPr>
      </w:pPr>
      <w:r w:rsidRPr="009B3D4B">
        <w:rPr>
          <w:rFonts w:ascii="Arial" w:hAnsi="Arial" w:cs="Arial"/>
          <w:w w:val="0"/>
          <w:sz w:val="15"/>
          <w:szCs w:val="15"/>
          <w:lang w:val="en-US"/>
        </w:rPr>
        <w:t>Source: elaborations on NRRP, 2021</w:t>
      </w:r>
    </w:p>
    <w:p w14:paraId="78D27B14" w14:textId="77777777" w:rsidR="003E5039" w:rsidRPr="006033DC" w:rsidRDefault="003E5039" w:rsidP="00624CD7">
      <w:pPr>
        <w:suppressAutoHyphens/>
        <w:jc w:val="both"/>
        <w:rPr>
          <w:rFonts w:ascii="Times New Roman" w:hAnsi="Times New Roman"/>
          <w:i/>
          <w:iCs/>
          <w:lang w:val="en-US"/>
        </w:rPr>
      </w:pPr>
    </w:p>
    <w:p w14:paraId="4668E28B"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The budget for the logistics-related investment is 800 million euros in grants. Overall, 27 percent of the investment is aimed at digital transition and 32.2 percent at green transition.</w:t>
      </w:r>
    </w:p>
    <w:p w14:paraId="40C7BC6C"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p>
    <w:p w14:paraId="4994517A"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b/>
          <w:bCs/>
          <w:color w:val="595959"/>
          <w:w w:val="0"/>
          <w:sz w:val="20"/>
          <w:szCs w:val="20"/>
          <w:u w:val="single"/>
          <w:lang w:val="en-US"/>
        </w:rPr>
        <w:t>Timeline</w:t>
      </w:r>
      <w:r w:rsidRPr="009B3D4B">
        <w:rPr>
          <w:rFonts w:ascii="Trebuchet MS" w:hAnsi="Trebuchet MS" w:cs="Trebuchet MS"/>
          <w:b/>
          <w:bCs/>
          <w:color w:val="595959"/>
          <w:w w:val="0"/>
          <w:sz w:val="20"/>
          <w:szCs w:val="20"/>
          <w:lang w:val="en-US"/>
        </w:rPr>
        <w:t xml:space="preserve">: </w:t>
      </w:r>
      <w:r w:rsidRPr="00203B0E">
        <w:rPr>
          <w:rFonts w:ascii="Trebuchet MS" w:hAnsi="Trebuchet MS" w:cs="Trebuchet MS"/>
          <w:color w:val="595959"/>
          <w:w w:val="0"/>
          <w:sz w:val="20"/>
          <w:szCs w:val="20"/>
          <w:lang w:val="en-US"/>
        </w:rPr>
        <w:t>there</w:t>
      </w:r>
      <w:r w:rsidRPr="009B3D4B">
        <w:rPr>
          <w:rFonts w:ascii="Trebuchet MS" w:hAnsi="Trebuchet MS" w:cs="Trebuchet MS"/>
          <w:b/>
          <w:bCs/>
          <w:color w:val="595959"/>
          <w:w w:val="0"/>
          <w:sz w:val="20"/>
          <w:szCs w:val="20"/>
          <w:lang w:val="en-US"/>
        </w:rPr>
        <w:t xml:space="preserve"> </w:t>
      </w:r>
      <w:r w:rsidRPr="009B3D4B">
        <w:rPr>
          <w:rFonts w:ascii="Trebuchet MS" w:hAnsi="Trebuchet MS" w:cs="Trebuchet MS"/>
          <w:color w:val="595959"/>
          <w:w w:val="0"/>
          <w:sz w:val="20"/>
          <w:szCs w:val="20"/>
          <w:lang w:val="en-US"/>
        </w:rPr>
        <w:t>are two key deadlines for completing the investment: the issuance of the call for the implementation of the logistics plan, by March 2022, and the publication of the final ranking of interventions receiving support, by December 2022. Implementation of the interventions is set for the first half of 2026.</w:t>
      </w:r>
    </w:p>
    <w:p w14:paraId="5A0691C8"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b/>
          <w:bCs/>
          <w:color w:val="595959"/>
          <w:w w:val="0"/>
          <w:sz w:val="20"/>
          <w:szCs w:val="20"/>
          <w:u w:val="single"/>
          <w:lang w:val="en-US"/>
        </w:rPr>
        <w:t>Final target</w:t>
      </w:r>
      <w:r w:rsidRPr="009B3D4B">
        <w:rPr>
          <w:rFonts w:ascii="Trebuchet MS" w:hAnsi="Trebuchet MS" w:cs="Trebuchet MS"/>
          <w:b/>
          <w:bCs/>
          <w:color w:val="595959"/>
          <w:w w:val="0"/>
          <w:sz w:val="20"/>
          <w:szCs w:val="20"/>
          <w:lang w:val="en-US"/>
        </w:rPr>
        <w:t xml:space="preserve">: </w:t>
      </w:r>
      <w:r w:rsidRPr="009B3D4B">
        <w:rPr>
          <w:rFonts w:ascii="Trebuchet MS" w:hAnsi="Trebuchet MS" w:cs="Trebuchet MS"/>
          <w:color w:val="595959"/>
          <w:w w:val="0"/>
          <w:sz w:val="20"/>
          <w:szCs w:val="20"/>
          <w:lang w:val="en-US"/>
        </w:rPr>
        <w:t>to be achieved by 2026, quantifies</w:t>
      </w:r>
      <w:r>
        <w:rPr>
          <w:rFonts w:ascii="Trebuchet MS" w:hAnsi="Trebuchet MS" w:cs="Trebuchet MS"/>
          <w:color w:val="595959"/>
          <w:w w:val="0"/>
          <w:sz w:val="20"/>
          <w:szCs w:val="20"/>
          <w:lang w:val="en-US"/>
        </w:rPr>
        <w:t>,</w:t>
      </w:r>
      <w:r w:rsidRPr="009B3D4B">
        <w:rPr>
          <w:rFonts w:ascii="Trebuchet MS" w:hAnsi="Trebuchet MS" w:cs="Trebuchet MS"/>
          <w:color w:val="595959"/>
          <w:w w:val="0"/>
          <w:sz w:val="20"/>
          <w:szCs w:val="20"/>
          <w:lang w:val="en-US"/>
        </w:rPr>
        <w:t xml:space="preserve"> </w:t>
      </w:r>
      <w:r>
        <w:rPr>
          <w:rFonts w:ascii="Trebuchet MS" w:hAnsi="Trebuchet MS" w:cs="Trebuchet MS"/>
          <w:color w:val="595959"/>
          <w:w w:val="0"/>
          <w:sz w:val="20"/>
          <w:szCs w:val="20"/>
          <w:lang w:val="en-US"/>
        </w:rPr>
        <w:t xml:space="preserve">into </w:t>
      </w:r>
      <w:r w:rsidRPr="009B3D4B">
        <w:rPr>
          <w:rFonts w:ascii="Trebuchet MS" w:hAnsi="Trebuchet MS" w:cs="Trebuchet MS"/>
          <w:color w:val="595959"/>
          <w:w w:val="0"/>
          <w:sz w:val="20"/>
          <w:szCs w:val="20"/>
          <w:lang w:val="en-US"/>
        </w:rPr>
        <w:t>48 units</w:t>
      </w:r>
      <w:r>
        <w:rPr>
          <w:rFonts w:ascii="Trebuchet MS" w:hAnsi="Trebuchet MS" w:cs="Trebuchet MS"/>
          <w:color w:val="595959"/>
          <w:w w:val="0"/>
          <w:sz w:val="20"/>
          <w:szCs w:val="20"/>
          <w:lang w:val="en-US"/>
        </w:rPr>
        <w:t>,</w:t>
      </w:r>
      <w:r w:rsidRPr="009B3D4B">
        <w:rPr>
          <w:rFonts w:ascii="Trebuchet MS" w:hAnsi="Trebuchet MS" w:cs="Trebuchet MS"/>
          <w:color w:val="595959"/>
          <w:w w:val="0"/>
          <w:sz w:val="20"/>
          <w:szCs w:val="20"/>
          <w:lang w:val="en-US"/>
        </w:rPr>
        <w:t xml:space="preserve"> </w:t>
      </w:r>
      <w:r>
        <w:rPr>
          <w:rFonts w:ascii="Trebuchet MS" w:hAnsi="Trebuchet MS" w:cs="Trebuchet MS"/>
          <w:color w:val="595959"/>
          <w:w w:val="0"/>
          <w:sz w:val="20"/>
          <w:szCs w:val="20"/>
          <w:lang w:val="en-US"/>
        </w:rPr>
        <w:t xml:space="preserve">the </w:t>
      </w:r>
      <w:r w:rsidRPr="009B3D4B">
        <w:rPr>
          <w:rFonts w:ascii="Trebuchet MS" w:hAnsi="Trebuchet MS" w:cs="Trebuchet MS"/>
          <w:color w:val="595959"/>
          <w:w w:val="0"/>
          <w:sz w:val="20"/>
          <w:szCs w:val="20"/>
          <w:lang w:val="en-US"/>
        </w:rPr>
        <w:t xml:space="preserve">logistics development interventions for the agribusiness, fisheries and aquaculture, forestry, </w:t>
      </w:r>
      <w:proofErr w:type="gramStart"/>
      <w:r w:rsidRPr="009B3D4B">
        <w:rPr>
          <w:rFonts w:ascii="Trebuchet MS" w:hAnsi="Trebuchet MS" w:cs="Trebuchet MS"/>
          <w:color w:val="595959"/>
          <w:w w:val="0"/>
          <w:sz w:val="20"/>
          <w:szCs w:val="20"/>
          <w:lang w:val="en-US"/>
        </w:rPr>
        <w:t>floriculture</w:t>
      </w:r>
      <w:proofErr w:type="gramEnd"/>
      <w:r w:rsidRPr="009B3D4B">
        <w:rPr>
          <w:rFonts w:ascii="Trebuchet MS" w:hAnsi="Trebuchet MS" w:cs="Trebuchet MS"/>
          <w:color w:val="595959"/>
          <w:w w:val="0"/>
          <w:sz w:val="20"/>
          <w:szCs w:val="20"/>
          <w:lang w:val="en-US"/>
        </w:rPr>
        <w:t xml:space="preserve"> and nursery sectors.</w:t>
      </w:r>
    </w:p>
    <w:p w14:paraId="4913850A"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p>
    <w:p w14:paraId="7A7061FD" w14:textId="0CE3B33E" w:rsidR="00624CD7" w:rsidRPr="006033DC" w:rsidDel="00BB72B2" w:rsidRDefault="006033DC" w:rsidP="006033DC">
      <w:pPr>
        <w:suppressAutoHyphens/>
        <w:spacing w:after="80"/>
        <w:jc w:val="both"/>
        <w:rPr>
          <w:rFonts w:ascii="Trebuchet MS" w:eastAsia="Times New Roman" w:hAnsi="Trebuchet MS" w:cs="Arial"/>
          <w:color w:val="595959" w:themeColor="text1" w:themeTint="A6"/>
          <w:sz w:val="20"/>
          <w:szCs w:val="20"/>
          <w:lang w:val="en-US" w:eastAsia="it-IT"/>
        </w:rPr>
      </w:pPr>
      <w:r w:rsidRPr="009B3D4B">
        <w:rPr>
          <w:rFonts w:ascii="Trebuchet MS" w:hAnsi="Trebuchet MS" w:cs="Trebuchet MS"/>
          <w:color w:val="595959"/>
          <w:w w:val="0"/>
          <w:sz w:val="20"/>
          <w:szCs w:val="20"/>
          <w:lang w:val="en-US"/>
        </w:rPr>
        <w:t xml:space="preserve">In December 2021, </w:t>
      </w:r>
      <w:proofErr w:type="spellStart"/>
      <w:r w:rsidRPr="009B3D4B">
        <w:rPr>
          <w:rFonts w:ascii="Trebuchet MS" w:hAnsi="Trebuchet MS" w:cs="Trebuchet MS"/>
          <w:color w:val="595959"/>
          <w:w w:val="0"/>
          <w:sz w:val="20"/>
          <w:szCs w:val="20"/>
          <w:lang w:val="en-US"/>
        </w:rPr>
        <w:t>Mipaaf</w:t>
      </w:r>
      <w:proofErr w:type="spellEnd"/>
      <w:r w:rsidRPr="009B3D4B">
        <w:rPr>
          <w:rFonts w:ascii="Trebuchet MS" w:hAnsi="Trebuchet MS" w:cs="Trebuchet MS"/>
          <w:color w:val="595959"/>
          <w:w w:val="0"/>
          <w:sz w:val="20"/>
          <w:szCs w:val="20"/>
          <w:lang w:val="en-US"/>
        </w:rPr>
        <w:t xml:space="preserve"> launched a technical consultation</w:t>
      </w:r>
      <w:r>
        <w:rPr>
          <w:rFonts w:ascii="Trebuchet MS" w:hAnsi="Trebuchet MS" w:cs="Trebuchet MS"/>
          <w:color w:val="595959"/>
          <w:w w:val="0"/>
          <w:sz w:val="20"/>
          <w:szCs w:val="20"/>
          <w:lang w:val="en-US"/>
        </w:rPr>
        <w:t xml:space="preserve"> addressed to </w:t>
      </w:r>
      <w:r w:rsidRPr="009B3D4B">
        <w:rPr>
          <w:rFonts w:ascii="Trebuchet MS" w:hAnsi="Trebuchet MS" w:cs="Trebuchet MS"/>
          <w:color w:val="595959"/>
          <w:w w:val="0"/>
          <w:sz w:val="20"/>
          <w:szCs w:val="20"/>
          <w:lang w:val="en-US"/>
        </w:rPr>
        <w:t>potential beneficiaries (individual and associated companies, producer organizations, cooperatives and consortia, service and wholesale market management companies, transport operators, port authorities and public administrations) involved in the investment construction process. The consultation had two purposes: inform the sector about the logistics plan for the development of a sustainable agribusiness supply chain and collect comments and proposals from stakeholders for the construction of more effective implementation arrangements.</w:t>
      </w:r>
    </w:p>
    <w:p w14:paraId="446C2BE8" w14:textId="375574F6" w:rsidR="002E1880" w:rsidRPr="006033DC" w:rsidRDefault="002E1880" w:rsidP="005C27D6">
      <w:pPr>
        <w:suppressAutoHyphens/>
        <w:spacing w:after="80"/>
        <w:jc w:val="both"/>
        <w:rPr>
          <w:rFonts w:ascii="Times New Roman" w:hAnsi="Times New Roman"/>
          <w:sz w:val="24"/>
          <w:szCs w:val="24"/>
          <w:lang w:val="en-US"/>
        </w:rPr>
      </w:pPr>
      <w:r w:rsidRPr="006033DC">
        <w:rPr>
          <w:rFonts w:ascii="Times New Roman" w:hAnsi="Times New Roman"/>
          <w:sz w:val="24"/>
          <w:szCs w:val="24"/>
          <w:lang w:val="en-US"/>
        </w:rPr>
        <w:br w:type="page"/>
      </w:r>
    </w:p>
    <w:p w14:paraId="06F65212" w14:textId="77777777" w:rsidR="006033DC" w:rsidRPr="009B3D4B" w:rsidRDefault="006033DC" w:rsidP="006033DC">
      <w:pPr>
        <w:widowControl/>
        <w:suppressAutoHyphens/>
        <w:spacing w:after="120"/>
        <w:ind w:right="-34"/>
        <w:jc w:val="both"/>
        <w:rPr>
          <w:rFonts w:ascii="Trebuchet MS" w:hAnsi="Trebuchet MS" w:cs="Trebuchet MS"/>
          <w:b/>
          <w:bCs/>
          <w:color w:val="595959"/>
          <w:w w:val="0"/>
          <w:lang w:val="en-US"/>
        </w:rPr>
      </w:pPr>
      <w:r w:rsidRPr="009B3D4B">
        <w:rPr>
          <w:rFonts w:ascii="Trebuchet MS" w:hAnsi="Trebuchet MS" w:cs="Trebuchet MS"/>
          <w:b/>
          <w:bCs/>
          <w:color w:val="595959"/>
          <w:w w:val="0"/>
          <w:lang w:val="en-US"/>
        </w:rPr>
        <w:lastRenderedPageBreak/>
        <w:t xml:space="preserve">Mission 2 Component 1 - investment 2.2: </w:t>
      </w:r>
      <w:proofErr w:type="spellStart"/>
      <w:r w:rsidRPr="009B3D4B">
        <w:rPr>
          <w:rFonts w:ascii="Trebuchet MS" w:hAnsi="Trebuchet MS" w:cs="Trebuchet MS"/>
          <w:b/>
          <w:bCs/>
          <w:color w:val="595959"/>
          <w:w w:val="0"/>
          <w:lang w:val="en-US"/>
        </w:rPr>
        <w:t>Agrisolar</w:t>
      </w:r>
      <w:proofErr w:type="spellEnd"/>
      <w:r w:rsidRPr="009B3D4B">
        <w:rPr>
          <w:rFonts w:ascii="Trebuchet MS" w:hAnsi="Trebuchet MS" w:cs="Trebuchet MS"/>
          <w:b/>
          <w:bCs/>
          <w:color w:val="595959"/>
          <w:w w:val="0"/>
          <w:lang w:val="en-US"/>
        </w:rPr>
        <w:t xml:space="preserve"> Park </w:t>
      </w:r>
    </w:p>
    <w:p w14:paraId="32B71E55"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The </w:t>
      </w:r>
      <w:proofErr w:type="spellStart"/>
      <w:r w:rsidRPr="009B3D4B">
        <w:rPr>
          <w:rFonts w:ascii="Trebuchet MS" w:hAnsi="Trebuchet MS" w:cs="Trebuchet MS"/>
          <w:color w:val="595959"/>
          <w:w w:val="0"/>
          <w:sz w:val="20"/>
          <w:szCs w:val="20"/>
          <w:lang w:val="en-US"/>
        </w:rPr>
        <w:t>Agrisolar</w:t>
      </w:r>
      <w:proofErr w:type="spellEnd"/>
      <w:r w:rsidRPr="009B3D4B">
        <w:rPr>
          <w:rFonts w:ascii="Trebuchet MS" w:hAnsi="Trebuchet MS" w:cs="Trebuchet MS"/>
          <w:color w:val="595959"/>
          <w:w w:val="0"/>
          <w:sz w:val="20"/>
          <w:szCs w:val="20"/>
          <w:lang w:val="en-US"/>
        </w:rPr>
        <w:t xml:space="preserve"> Park aims to boost renewable energy production through rooftop upgrades of buildings in productive use in the agricultural, livestock and agro-industrial sectors, thereby increasing the sustainability, resilience, green </w:t>
      </w:r>
      <w:proofErr w:type="gramStart"/>
      <w:r w:rsidRPr="009B3D4B">
        <w:rPr>
          <w:rFonts w:ascii="Trebuchet MS" w:hAnsi="Trebuchet MS" w:cs="Trebuchet MS"/>
          <w:color w:val="595959"/>
          <w:w w:val="0"/>
          <w:sz w:val="20"/>
          <w:szCs w:val="20"/>
          <w:lang w:val="en-US"/>
        </w:rPr>
        <w:t>transition</w:t>
      </w:r>
      <w:proofErr w:type="gramEnd"/>
      <w:r w:rsidRPr="009B3D4B">
        <w:rPr>
          <w:rFonts w:ascii="Trebuchet MS" w:hAnsi="Trebuchet MS" w:cs="Trebuchet MS"/>
          <w:color w:val="595959"/>
          <w:w w:val="0"/>
          <w:sz w:val="20"/>
          <w:szCs w:val="20"/>
          <w:lang w:val="en-US"/>
        </w:rPr>
        <w:t xml:space="preserve"> and energy efficiency of the sector. </w:t>
      </w:r>
    </w:p>
    <w:p w14:paraId="361379A6"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Indirectly, the project aims to contribute to the achievement of </w:t>
      </w:r>
      <w:r>
        <w:rPr>
          <w:rFonts w:ascii="Trebuchet MS" w:hAnsi="Trebuchet MS" w:cs="Trebuchet MS"/>
          <w:color w:val="595959"/>
          <w:w w:val="0"/>
          <w:sz w:val="20"/>
          <w:szCs w:val="20"/>
          <w:lang w:val="en-US"/>
        </w:rPr>
        <w:t xml:space="preserve">the </w:t>
      </w:r>
      <w:r w:rsidRPr="009B3D4B">
        <w:rPr>
          <w:rFonts w:ascii="Trebuchet MS" w:hAnsi="Trebuchet MS" w:cs="Trebuchet MS"/>
          <w:color w:val="595959"/>
          <w:w w:val="0"/>
          <w:sz w:val="20"/>
          <w:szCs w:val="20"/>
          <w:lang w:val="en-US"/>
        </w:rPr>
        <w:t>objectives related to animal welfare through the modernization of facilities. To this end, the measure promotes the installation of photovoltaic panels, taking advantage of the roofs of agricultural, livestock and agro-industrial production buildings, through the replacement of roofs (with the removal</w:t>
      </w:r>
      <w:r>
        <w:rPr>
          <w:rFonts w:ascii="Trebuchet MS" w:hAnsi="Trebuchet MS" w:cs="Trebuchet MS"/>
          <w:color w:val="595959"/>
          <w:w w:val="0"/>
          <w:sz w:val="20"/>
          <w:szCs w:val="20"/>
          <w:lang w:val="en-US"/>
        </w:rPr>
        <w:t>,</w:t>
      </w:r>
      <w:r w:rsidRPr="009B3D4B">
        <w:rPr>
          <w:rFonts w:ascii="Trebuchet MS" w:hAnsi="Trebuchet MS" w:cs="Trebuchet MS"/>
          <w:color w:val="595959"/>
          <w:w w:val="0"/>
          <w:sz w:val="20"/>
          <w:szCs w:val="20"/>
          <w:lang w:val="en-US"/>
        </w:rPr>
        <w:t xml:space="preserve"> where present</w:t>
      </w:r>
      <w:r>
        <w:rPr>
          <w:rFonts w:ascii="Trebuchet MS" w:hAnsi="Trebuchet MS" w:cs="Trebuchet MS"/>
          <w:color w:val="595959"/>
          <w:w w:val="0"/>
          <w:sz w:val="20"/>
          <w:szCs w:val="20"/>
          <w:lang w:val="en-US"/>
        </w:rPr>
        <w:t>,</w:t>
      </w:r>
      <w:r w:rsidRPr="009B3D4B">
        <w:rPr>
          <w:rFonts w:ascii="Trebuchet MS" w:hAnsi="Trebuchet MS" w:cs="Trebuchet MS"/>
          <w:color w:val="595959"/>
          <w:w w:val="0"/>
          <w:sz w:val="20"/>
          <w:szCs w:val="20"/>
          <w:lang w:val="en-US"/>
        </w:rPr>
        <w:t xml:space="preserve"> of </w:t>
      </w:r>
      <w:proofErr w:type="spellStart"/>
      <w:r w:rsidRPr="009B3D4B">
        <w:rPr>
          <w:rFonts w:ascii="Trebuchet MS" w:hAnsi="Trebuchet MS" w:cs="Trebuchet MS"/>
          <w:color w:val="595959"/>
          <w:w w:val="0"/>
          <w:sz w:val="20"/>
          <w:szCs w:val="20"/>
          <w:lang w:val="en-US"/>
        </w:rPr>
        <w:t>eternit</w:t>
      </w:r>
      <w:proofErr w:type="spellEnd"/>
      <w:r w:rsidRPr="009B3D4B">
        <w:rPr>
          <w:rFonts w:ascii="Trebuchet MS" w:hAnsi="Trebuchet MS" w:cs="Trebuchet MS"/>
          <w:color w:val="595959"/>
          <w:w w:val="0"/>
          <w:sz w:val="20"/>
          <w:szCs w:val="20"/>
          <w:lang w:val="en-US"/>
        </w:rPr>
        <w:t xml:space="preserve">/asbestos on the roofs), improved insulation and thermal insulation. </w:t>
      </w:r>
    </w:p>
    <w:p w14:paraId="242E95D2"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The measure therefore allows for the creation of a network of photovoltaic installations, spread throughout the territory, without land consumption, contributing to the improvement of the energy efficiency of buildings and the transition to self-consumption of energy from renewable sources, increasing the competitiveness of farms and reducing their energy supply costs.</w:t>
      </w:r>
    </w:p>
    <w:p w14:paraId="2A365BD4"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The financial envelope is</w:t>
      </w:r>
      <w:r>
        <w:rPr>
          <w:rFonts w:ascii="Trebuchet MS" w:hAnsi="Trebuchet MS" w:cs="Trebuchet MS"/>
          <w:color w:val="595959"/>
          <w:w w:val="0"/>
          <w:sz w:val="20"/>
          <w:szCs w:val="20"/>
          <w:lang w:val="en-US"/>
        </w:rPr>
        <w:t xml:space="preserve"> (amounts to)</w:t>
      </w:r>
      <w:r w:rsidRPr="009B3D4B">
        <w:rPr>
          <w:rFonts w:ascii="Trebuchet MS" w:hAnsi="Trebuchet MS" w:cs="Trebuchet MS"/>
          <w:color w:val="595959"/>
          <w:w w:val="0"/>
          <w:sz w:val="20"/>
          <w:szCs w:val="20"/>
          <w:lang w:val="en-US"/>
        </w:rPr>
        <w:t xml:space="preserve"> 1.5 billion euros. The measure contributes 70% of the entire allocation exclusively to green transition. </w:t>
      </w:r>
    </w:p>
    <w:p w14:paraId="026D92E2"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p>
    <w:p w14:paraId="40A8AACA"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b/>
          <w:bCs/>
          <w:color w:val="595959"/>
          <w:w w:val="0"/>
          <w:sz w:val="20"/>
          <w:szCs w:val="20"/>
          <w:u w:val="single"/>
          <w:lang w:val="en-US"/>
        </w:rPr>
        <w:t>Timing</w:t>
      </w:r>
      <w:r w:rsidRPr="009B3D4B">
        <w:rPr>
          <w:rFonts w:ascii="Trebuchet MS" w:hAnsi="Trebuchet MS" w:cs="Trebuchet MS"/>
          <w:color w:val="595959"/>
          <w:w w:val="0"/>
          <w:sz w:val="20"/>
          <w:szCs w:val="20"/>
          <w:lang w:val="en-US"/>
        </w:rPr>
        <w:t>: from the implementation point of view, the timeline of the intervention includes the publication of the call for investment program selection, by December 2021 (milestone). The investment foresees financial progress (target) with the achievement of 30% of resources, by December 2022, 50%, by December 2023, and 100%, by December 2024.</w:t>
      </w:r>
    </w:p>
    <w:p w14:paraId="21ACD430"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b/>
          <w:bCs/>
          <w:color w:val="595959"/>
          <w:w w:val="0"/>
          <w:sz w:val="20"/>
          <w:szCs w:val="20"/>
          <w:u w:val="single"/>
          <w:lang w:val="en-US"/>
        </w:rPr>
        <w:t>Final target</w:t>
      </w:r>
      <w:r w:rsidRPr="009B3D4B">
        <w:rPr>
          <w:rFonts w:ascii="Trebuchet MS" w:hAnsi="Trebuchet MS" w:cs="Trebuchet MS"/>
          <w:b/>
          <w:bCs/>
          <w:color w:val="595959"/>
          <w:w w:val="0"/>
          <w:sz w:val="20"/>
          <w:szCs w:val="20"/>
          <w:lang w:val="en-US"/>
        </w:rPr>
        <w:t xml:space="preserve">: </w:t>
      </w:r>
      <w:r w:rsidRPr="009B3D4B">
        <w:rPr>
          <w:rFonts w:ascii="Trebuchet MS" w:hAnsi="Trebuchet MS" w:cs="Trebuchet MS"/>
          <w:color w:val="595959"/>
          <w:w w:val="0"/>
          <w:sz w:val="20"/>
          <w:szCs w:val="20"/>
          <w:lang w:val="en-US"/>
        </w:rPr>
        <w:t xml:space="preserve">the intervention aims to cover, by 2026, a total area of 4.3 million </w:t>
      </w:r>
      <w:r>
        <w:rPr>
          <w:rFonts w:ascii="Trebuchet MS" w:hAnsi="Trebuchet MS" w:cs="Trebuchet MS"/>
          <w:color w:val="595959"/>
          <w:w w:val="0"/>
          <w:sz w:val="20"/>
          <w:szCs w:val="20"/>
          <w:lang w:val="en-US"/>
        </w:rPr>
        <w:t xml:space="preserve">sqms </w:t>
      </w:r>
      <w:r w:rsidRPr="009B3D4B">
        <w:rPr>
          <w:rFonts w:ascii="Trebuchet MS" w:hAnsi="Trebuchet MS" w:cs="Trebuchet MS"/>
          <w:color w:val="595959"/>
          <w:w w:val="0"/>
          <w:sz w:val="20"/>
          <w:szCs w:val="20"/>
          <w:lang w:val="en-US"/>
        </w:rPr>
        <w:t>with an installed capacity of about 0.375 GW, while at the same time realizing a redevelopment of the production facilities targeted</w:t>
      </w:r>
    </w:p>
    <w:p w14:paraId="7E5506E2" w14:textId="77777777" w:rsidR="006033DC" w:rsidRPr="009B3D4B" w:rsidRDefault="006033DC" w:rsidP="006033DC">
      <w:pPr>
        <w:suppressAutoHyphens/>
        <w:spacing w:after="80"/>
        <w:jc w:val="both"/>
        <w:rPr>
          <w:rFonts w:ascii="Trebuchet MS" w:hAnsi="Trebuchet MS" w:cs="Trebuchet MS"/>
          <w:color w:val="595959"/>
          <w:w w:val="0"/>
          <w:sz w:val="20"/>
          <w:szCs w:val="20"/>
          <w:lang w:val="en-US"/>
        </w:rPr>
      </w:pPr>
    </w:p>
    <w:p w14:paraId="49615104" w14:textId="1EF5F6F4" w:rsidR="00624CD7" w:rsidRPr="006033DC" w:rsidRDefault="006033DC" w:rsidP="006033DC">
      <w:pPr>
        <w:suppressAutoHyphens/>
        <w:spacing w:after="80"/>
        <w:jc w:val="both"/>
        <w:rPr>
          <w:rFonts w:ascii="Trebuchet MS" w:eastAsia="Times New Roman" w:hAnsi="Trebuchet MS" w:cs="Arial"/>
          <w:color w:val="595959" w:themeColor="text1" w:themeTint="A6"/>
          <w:sz w:val="20"/>
          <w:szCs w:val="20"/>
          <w:lang w:val="en-US" w:eastAsia="it-IT"/>
        </w:rPr>
      </w:pPr>
      <w:r w:rsidRPr="009B3D4B">
        <w:rPr>
          <w:rFonts w:ascii="Trebuchet MS" w:hAnsi="Trebuchet MS" w:cs="Trebuchet MS"/>
          <w:color w:val="595959"/>
          <w:w w:val="0"/>
          <w:sz w:val="20"/>
          <w:szCs w:val="20"/>
          <w:lang w:val="en-US"/>
        </w:rPr>
        <w:t xml:space="preserve">In December 2021, </w:t>
      </w:r>
      <w:proofErr w:type="spellStart"/>
      <w:r w:rsidRPr="009B3D4B">
        <w:rPr>
          <w:rFonts w:ascii="Trebuchet MS" w:hAnsi="Trebuchet MS" w:cs="Trebuchet MS"/>
          <w:color w:val="595959"/>
          <w:w w:val="0"/>
          <w:sz w:val="20"/>
          <w:szCs w:val="20"/>
          <w:lang w:val="en-US"/>
        </w:rPr>
        <w:t>Mipaaf</w:t>
      </w:r>
      <w:proofErr w:type="spellEnd"/>
      <w:r w:rsidRPr="009B3D4B">
        <w:rPr>
          <w:rFonts w:ascii="Trebuchet MS" w:hAnsi="Trebuchet MS" w:cs="Trebuchet MS"/>
          <w:color w:val="595959"/>
          <w:w w:val="0"/>
          <w:sz w:val="20"/>
          <w:szCs w:val="20"/>
          <w:lang w:val="en-US"/>
        </w:rPr>
        <w:t xml:space="preserve"> launched a technical consultation aimed at potential beneficiaries Professional Agricultural Entrepreneurs (IAPs), Direct Farmers (CDs) registered with the Agricultural Social Security, Agro-industrial Enterprises (ATECO code). The consultation had two purposes: inform the sector about the logistics plan for the development of a sustainable agribusiness supply chain and collect comments and proposals from stakeholders for the construction of more effective implementation arrangements.</w:t>
      </w:r>
    </w:p>
    <w:p w14:paraId="356DF5A6" w14:textId="77777777" w:rsidR="00624CD7" w:rsidRPr="006033DC" w:rsidRDefault="00624CD7" w:rsidP="00624CD7">
      <w:pPr>
        <w:suppressAutoHyphens/>
        <w:spacing w:before="120" w:line="288" w:lineRule="auto"/>
        <w:jc w:val="both"/>
        <w:rPr>
          <w:rFonts w:ascii="Times New Roman" w:hAnsi="Times New Roman"/>
          <w:color w:val="595959" w:themeColor="text1" w:themeTint="A6"/>
          <w:sz w:val="24"/>
          <w:szCs w:val="24"/>
          <w:lang w:val="en-US"/>
        </w:rPr>
      </w:pPr>
    </w:p>
    <w:p w14:paraId="75BF6B93" w14:textId="77777777" w:rsidR="00A030FB" w:rsidRPr="009B3D4B" w:rsidRDefault="00A030FB" w:rsidP="00A030FB">
      <w:pPr>
        <w:widowControl/>
        <w:suppressAutoHyphens/>
        <w:spacing w:after="120"/>
        <w:ind w:right="-34"/>
        <w:jc w:val="both"/>
        <w:rPr>
          <w:rFonts w:ascii="Trebuchet MS" w:hAnsi="Trebuchet MS" w:cs="Trebuchet MS"/>
          <w:b/>
          <w:bCs/>
          <w:color w:val="595959"/>
          <w:w w:val="0"/>
          <w:lang w:val="en-US"/>
        </w:rPr>
      </w:pPr>
      <w:r w:rsidRPr="009B3D4B">
        <w:rPr>
          <w:rFonts w:ascii="Trebuchet MS" w:hAnsi="Trebuchet MS" w:cs="Trebuchet MS"/>
          <w:b/>
          <w:bCs/>
          <w:color w:val="595959"/>
          <w:w w:val="0"/>
          <w:lang w:val="en-US"/>
        </w:rPr>
        <w:t>Mission 2 Component 1 - Investment 2.3: Innovation and mechanization in the agriculture and food sector.</w:t>
      </w:r>
    </w:p>
    <w:p w14:paraId="4B8ED825" w14:textId="77777777" w:rsidR="00A030FB" w:rsidRPr="009B3D4B" w:rsidRDefault="00A030FB" w:rsidP="00A030FB">
      <w:pPr>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Our country has a significant need for next-generation technologies, given the obvious obsolescence of the current agricultural equipment fleet, and also in accordance with the content of the </w:t>
      </w:r>
      <w:r w:rsidRPr="009B3D4B">
        <w:rPr>
          <w:rFonts w:ascii="Trebuchet MS" w:hAnsi="Trebuchet MS" w:cs="Trebuchet MS"/>
          <w:i/>
          <w:iCs/>
          <w:color w:val="595959"/>
          <w:w w:val="0"/>
          <w:sz w:val="20"/>
          <w:szCs w:val="20"/>
          <w:lang w:val="en-US"/>
        </w:rPr>
        <w:t xml:space="preserve">Farm to Fork </w:t>
      </w:r>
      <w:r w:rsidRPr="009B3D4B">
        <w:rPr>
          <w:rFonts w:ascii="Trebuchet MS" w:hAnsi="Trebuchet MS" w:cs="Trebuchet MS"/>
          <w:color w:val="595959"/>
          <w:w w:val="0"/>
          <w:sz w:val="20"/>
          <w:szCs w:val="20"/>
          <w:lang w:val="en-US"/>
        </w:rPr>
        <w:t>strategy</w:t>
      </w:r>
      <w:r w:rsidRPr="009B3D4B">
        <w:rPr>
          <w:rFonts w:ascii="Trebuchet MS" w:hAnsi="Trebuchet MS" w:cs="Trebuchet MS"/>
          <w:i/>
          <w:iCs/>
          <w:color w:val="595959"/>
          <w:w w:val="0"/>
          <w:sz w:val="20"/>
          <w:szCs w:val="20"/>
          <w:lang w:val="en-US"/>
        </w:rPr>
        <w:t xml:space="preserve">, </w:t>
      </w:r>
      <w:r w:rsidRPr="009B3D4B">
        <w:rPr>
          <w:rFonts w:ascii="Trebuchet MS" w:hAnsi="Trebuchet MS" w:cs="Trebuchet MS"/>
          <w:color w:val="595959"/>
          <w:w w:val="0"/>
          <w:sz w:val="20"/>
          <w:szCs w:val="20"/>
          <w:lang w:val="en-US"/>
        </w:rPr>
        <w:t>in which it is expressly stated that "</w:t>
      </w:r>
      <w:r w:rsidRPr="00203B0E">
        <w:rPr>
          <w:rFonts w:ascii="Trebuchet MS" w:hAnsi="Trebuchet MS" w:cs="Trebuchet MS"/>
          <w:i/>
          <w:iCs/>
          <w:color w:val="595959"/>
          <w:w w:val="0"/>
          <w:sz w:val="20"/>
          <w:szCs w:val="20"/>
          <w:lang w:val="en-US"/>
        </w:rPr>
        <w:t xml:space="preserve">farmers must transform their production methods more rapidly and make the best use of </w:t>
      </w:r>
      <w:r w:rsidRPr="008F431E">
        <w:rPr>
          <w:rFonts w:ascii="Trebuchet MS" w:hAnsi="Trebuchet MS" w:cs="Trebuchet MS"/>
          <w:i/>
          <w:iCs/>
          <w:color w:val="595959"/>
          <w:w w:val="0"/>
          <w:sz w:val="20"/>
          <w:szCs w:val="20"/>
          <w:lang w:val="en-US"/>
        </w:rPr>
        <w:t>nature-based</w:t>
      </w:r>
      <w:r w:rsidRPr="00203B0E">
        <w:rPr>
          <w:rFonts w:ascii="Trebuchet MS" w:hAnsi="Trebuchet MS" w:cs="Trebuchet MS"/>
          <w:i/>
          <w:iCs/>
          <w:color w:val="595959"/>
          <w:w w:val="0"/>
          <w:sz w:val="20"/>
          <w:szCs w:val="20"/>
          <w:lang w:val="en-US"/>
        </w:rPr>
        <w:t>, technology, digital and spatial solutions to deliver better climate and environmental outcomes, increase climate resilience and reduce and optimize input use</w:t>
      </w:r>
      <w:r w:rsidRPr="009B3D4B">
        <w:rPr>
          <w:rFonts w:ascii="Trebuchet MS" w:hAnsi="Trebuchet MS" w:cs="Trebuchet MS"/>
          <w:color w:val="595959"/>
          <w:w w:val="0"/>
          <w:sz w:val="20"/>
          <w:szCs w:val="20"/>
          <w:lang w:val="en-US"/>
        </w:rPr>
        <w:t xml:space="preserve">." </w:t>
      </w:r>
    </w:p>
    <w:p w14:paraId="4206D317" w14:textId="77777777" w:rsidR="00A030FB" w:rsidRPr="009B3D4B" w:rsidRDefault="00A030FB" w:rsidP="00A030FB">
      <w:pPr>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In 2000, there was a fleet of 1,643,000 cars on the road. In twenty years, the fleet has increased by about 400,000 units based on registration data. Therefore, as of 2020, the car fleet is estimated at about 2,050,000 pieces. Of these, 80 percent are pre-Stage 1 machines.</w:t>
      </w:r>
    </w:p>
    <w:p w14:paraId="1ADCF66B" w14:textId="77777777" w:rsidR="00A030FB" w:rsidRPr="009B3D4B" w:rsidRDefault="00A030FB" w:rsidP="00A030FB">
      <w:pPr>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The investments supported through the intervention concern, in particular: agricultural innovation and mechanization (</w:t>
      </w:r>
      <w:r w:rsidRPr="009B3D4B">
        <w:rPr>
          <w:rFonts w:ascii="Trebuchet MS" w:hAnsi="Trebuchet MS" w:cs="Trebuchet MS"/>
          <w:i/>
          <w:iCs/>
          <w:color w:val="595959"/>
          <w:w w:val="0"/>
          <w:sz w:val="20"/>
          <w:szCs w:val="20"/>
          <w:lang w:val="en-US"/>
        </w:rPr>
        <w:t>precision farming</w:t>
      </w:r>
      <w:r w:rsidRPr="009B3D4B">
        <w:rPr>
          <w:rFonts w:ascii="Trebuchet MS" w:hAnsi="Trebuchet MS" w:cs="Trebuchet MS"/>
          <w:color w:val="595959"/>
          <w:w w:val="0"/>
          <w:sz w:val="20"/>
          <w:szCs w:val="20"/>
          <w:lang w:val="en-US"/>
        </w:rPr>
        <w:t>) and innovation in extra virgin olive oil processing, storage and packaging processes.</w:t>
      </w:r>
    </w:p>
    <w:p w14:paraId="29E63147" w14:textId="77777777" w:rsidR="00A030FB" w:rsidRPr="009B3D4B" w:rsidRDefault="00A030FB" w:rsidP="00A030FB">
      <w:pPr>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The intervention on mechanization aims to support the introduction of innovative and better performing machinery in production processes, implementing the Guidelines for the </w:t>
      </w:r>
      <w:r w:rsidRPr="009B3D4B">
        <w:rPr>
          <w:rFonts w:ascii="Trebuchet MS" w:hAnsi="Trebuchet MS" w:cs="Trebuchet MS"/>
          <w:i/>
          <w:iCs/>
          <w:color w:val="595959"/>
          <w:w w:val="0"/>
          <w:sz w:val="20"/>
          <w:szCs w:val="20"/>
          <w:lang w:val="en-US"/>
        </w:rPr>
        <w:t xml:space="preserve">development of precision agriculture in Italy </w:t>
      </w:r>
      <w:r w:rsidRPr="009B3D4B">
        <w:rPr>
          <w:rFonts w:ascii="Trebuchet MS" w:hAnsi="Trebuchet MS" w:cs="Trebuchet MS"/>
          <w:color w:val="595959"/>
          <w:w w:val="0"/>
          <w:sz w:val="20"/>
          <w:szCs w:val="20"/>
          <w:lang w:val="en-US"/>
        </w:rPr>
        <w:t>(</w:t>
      </w:r>
      <w:proofErr w:type="spellStart"/>
      <w:r w:rsidRPr="009B3D4B">
        <w:rPr>
          <w:rFonts w:ascii="Trebuchet MS" w:hAnsi="Trebuchet MS" w:cs="Trebuchet MS"/>
          <w:color w:val="595959"/>
          <w:w w:val="0"/>
          <w:sz w:val="20"/>
          <w:szCs w:val="20"/>
          <w:lang w:val="en-US"/>
        </w:rPr>
        <w:t>Mipaaf</w:t>
      </w:r>
      <w:proofErr w:type="spellEnd"/>
      <w:r w:rsidRPr="009B3D4B">
        <w:rPr>
          <w:rFonts w:ascii="Trebuchet MS" w:hAnsi="Trebuchet MS" w:cs="Trebuchet MS"/>
          <w:color w:val="595959"/>
          <w:w w:val="0"/>
          <w:sz w:val="20"/>
          <w:szCs w:val="20"/>
          <w:lang w:val="en-US"/>
        </w:rPr>
        <w:t xml:space="preserve">, 2017). Therefore, the aim is to reduce greenhouse gas (GHG) emissions. In addition to this, the introduction of precision farming techniques will result in a reduction in pesticide use estimated at 25 to 40 percent. </w:t>
      </w:r>
    </w:p>
    <w:p w14:paraId="1CA10AA6" w14:textId="7EFD326D" w:rsidR="00624CD7" w:rsidRPr="00A030FB" w:rsidRDefault="00A030FB" w:rsidP="00A030FB">
      <w:pPr>
        <w:spacing w:after="80"/>
        <w:jc w:val="both"/>
        <w:rPr>
          <w:rFonts w:ascii="Trebuchet MS" w:hAnsi="Trebuchet MS"/>
          <w:color w:val="595959" w:themeColor="text1" w:themeTint="A6"/>
          <w:sz w:val="20"/>
          <w:szCs w:val="20"/>
          <w:lang w:val="en-US"/>
        </w:rPr>
      </w:pPr>
      <w:r w:rsidRPr="009B3D4B">
        <w:rPr>
          <w:rFonts w:ascii="Trebuchet MS" w:hAnsi="Trebuchet MS" w:cs="Trebuchet MS"/>
          <w:color w:val="595959"/>
          <w:w w:val="0"/>
          <w:sz w:val="20"/>
          <w:szCs w:val="20"/>
          <w:lang w:val="en-US"/>
        </w:rPr>
        <w:t xml:space="preserve">The second intervention, from a circular economy perspective, consists of a specific action aimed at modernizing the processing, </w:t>
      </w:r>
      <w:proofErr w:type="gramStart"/>
      <w:r w:rsidRPr="009B3D4B">
        <w:rPr>
          <w:rFonts w:ascii="Trebuchet MS" w:hAnsi="Trebuchet MS" w:cs="Trebuchet MS"/>
          <w:color w:val="595959"/>
          <w:w w:val="0"/>
          <w:sz w:val="20"/>
          <w:szCs w:val="20"/>
          <w:lang w:val="en-US"/>
        </w:rPr>
        <w:t>storage</w:t>
      </w:r>
      <w:proofErr w:type="gramEnd"/>
      <w:r w:rsidRPr="009B3D4B">
        <w:rPr>
          <w:rFonts w:ascii="Trebuchet MS" w:hAnsi="Trebuchet MS" w:cs="Trebuchet MS"/>
          <w:color w:val="595959"/>
          <w:w w:val="0"/>
          <w:sz w:val="20"/>
          <w:szCs w:val="20"/>
          <w:lang w:val="en-US"/>
        </w:rPr>
        <w:t xml:space="preserve"> and packaging of extra virgin olive oil, with the goal of improving the sustainability of the production process, contributing to the competitiveness of an important sector for the Italian agri-food industry, which has suffered a significant decline in recent years.</w:t>
      </w:r>
    </w:p>
    <w:p w14:paraId="29A5674A" w14:textId="77777777" w:rsidR="005163F3" w:rsidRDefault="005163F3" w:rsidP="00CE2A23">
      <w:pPr>
        <w:spacing w:after="120"/>
        <w:jc w:val="both"/>
        <w:rPr>
          <w:rFonts w:ascii="Trebuchet MS" w:hAnsi="Trebuchet MS"/>
          <w:color w:val="595959" w:themeColor="text1" w:themeTint="A6"/>
          <w:sz w:val="20"/>
          <w:szCs w:val="20"/>
          <w:lang w:val="en-US"/>
        </w:rPr>
      </w:pPr>
    </w:p>
    <w:p w14:paraId="455E5F84" w14:textId="77777777" w:rsidR="00A030FB" w:rsidRPr="00A030FB" w:rsidRDefault="00A030FB" w:rsidP="00CE2A23">
      <w:pPr>
        <w:spacing w:after="120"/>
        <w:jc w:val="both"/>
        <w:rPr>
          <w:rFonts w:ascii="Trebuchet MS" w:hAnsi="Trebuchet MS"/>
          <w:color w:val="595959" w:themeColor="text1" w:themeTint="A6"/>
          <w:sz w:val="20"/>
          <w:szCs w:val="20"/>
          <w:lang w:val="en-US"/>
        </w:rPr>
      </w:pPr>
    </w:p>
    <w:p w14:paraId="6922357B" w14:textId="78CF578B" w:rsidR="00624CD7" w:rsidRPr="00A030FB" w:rsidRDefault="00A030FB" w:rsidP="00624CD7">
      <w:pPr>
        <w:spacing w:before="120" w:line="288" w:lineRule="auto"/>
        <w:jc w:val="both"/>
        <w:rPr>
          <w:rFonts w:ascii="Arial Narrow" w:hAnsi="Arial Narrow" w:cs="Arial"/>
          <w:b/>
          <w:iCs/>
          <w:noProof/>
          <w:color w:val="595959" w:themeColor="text1" w:themeTint="A6"/>
          <w:lang w:val="en-US"/>
        </w:rPr>
      </w:pPr>
      <w:r w:rsidRPr="00A030FB">
        <w:rPr>
          <w:rFonts w:ascii="Arial Narrow" w:hAnsi="Arial Narrow" w:cs="Arial"/>
          <w:b/>
          <w:iCs/>
          <w:noProof/>
          <w:color w:val="595959" w:themeColor="text1" w:themeTint="A6"/>
          <w:lang w:val="en-US"/>
        </w:rPr>
        <w:lastRenderedPageBreak/>
        <w:t>FIGURE</w:t>
      </w:r>
      <w:r w:rsidR="00360729" w:rsidRPr="00A030FB">
        <w:rPr>
          <w:rFonts w:ascii="Arial Narrow" w:hAnsi="Arial Narrow" w:cs="Arial"/>
          <w:b/>
          <w:iCs/>
          <w:noProof/>
          <w:color w:val="595959" w:themeColor="text1" w:themeTint="A6"/>
          <w:lang w:val="en-US"/>
        </w:rPr>
        <w:t xml:space="preserve"> 19</w:t>
      </w:r>
      <w:r w:rsidR="005163F3" w:rsidRPr="00A030FB">
        <w:rPr>
          <w:rFonts w:ascii="Arial Narrow" w:hAnsi="Arial Narrow" w:cs="Arial"/>
          <w:b/>
          <w:iCs/>
          <w:noProof/>
          <w:color w:val="595959" w:themeColor="text1" w:themeTint="A6"/>
          <w:lang w:val="en-US"/>
        </w:rPr>
        <w:t xml:space="preserve">. </w:t>
      </w:r>
      <w:r w:rsidRPr="009B3D4B">
        <w:rPr>
          <w:rFonts w:ascii="Arial Narrow" w:hAnsi="Arial Narrow" w:cs="Arial Narrow"/>
          <w:b/>
          <w:bCs/>
          <w:color w:val="595959"/>
          <w:w w:val="0"/>
          <w:lang w:val="en-US"/>
        </w:rPr>
        <w:t>FINANCIAL BREAKDOWN OF INVESTMENT BY TYPE OF INTERVENTION</w:t>
      </w:r>
    </w:p>
    <w:p w14:paraId="606A8BD8" w14:textId="5BF4833E" w:rsidR="00624CD7" w:rsidRDefault="00A030FB" w:rsidP="00624CD7">
      <w:pPr>
        <w:spacing w:before="120" w:line="288" w:lineRule="auto"/>
        <w:jc w:val="both"/>
      </w:pPr>
      <w:r w:rsidRPr="006B264C">
        <w:rPr>
          <w:noProof/>
          <w:w w:val="0"/>
          <w:lang w:eastAsia="it-IT"/>
        </w:rPr>
        <w:drawing>
          <wp:inline distT="0" distB="0" distL="0" distR="0" wp14:anchorId="4E5BCD1F" wp14:editId="32D8F1CF">
            <wp:extent cx="3794125" cy="1924050"/>
            <wp:effectExtent l="0" t="0" r="0" b="0"/>
            <wp:docPr id="46"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94125" cy="1924050"/>
                    </a:xfrm>
                    <a:prstGeom prst="rect">
                      <a:avLst/>
                    </a:prstGeom>
                    <a:noFill/>
                    <a:ln>
                      <a:noFill/>
                    </a:ln>
                  </pic:spPr>
                </pic:pic>
              </a:graphicData>
            </a:graphic>
          </wp:inline>
        </w:drawing>
      </w:r>
    </w:p>
    <w:p w14:paraId="7283C757" w14:textId="42C2A6EE" w:rsidR="00624CD7" w:rsidRPr="00A030FB" w:rsidRDefault="00A030FB" w:rsidP="00624CD7">
      <w:pPr>
        <w:suppressAutoHyphens/>
        <w:jc w:val="both"/>
        <w:rPr>
          <w:rFonts w:ascii="Arial" w:hAnsi="Arial" w:cs="Arial"/>
          <w:sz w:val="15"/>
          <w:szCs w:val="15"/>
          <w:lang w:val="en-US"/>
        </w:rPr>
      </w:pPr>
      <w:r w:rsidRPr="009B3D4B">
        <w:rPr>
          <w:rFonts w:ascii="Arial" w:hAnsi="Arial" w:cs="Arial"/>
          <w:w w:val="0"/>
          <w:sz w:val="15"/>
          <w:szCs w:val="15"/>
          <w:lang w:val="en-US"/>
        </w:rPr>
        <w:t>Source: elaborations on NRRP, 2021</w:t>
      </w:r>
    </w:p>
    <w:p w14:paraId="43888EF4" w14:textId="77777777" w:rsidR="005163F3" w:rsidRPr="00A030FB" w:rsidRDefault="005163F3" w:rsidP="00624CD7">
      <w:pPr>
        <w:suppressAutoHyphens/>
        <w:jc w:val="both"/>
        <w:rPr>
          <w:rFonts w:ascii="Arial" w:hAnsi="Arial" w:cs="Arial"/>
          <w:sz w:val="15"/>
          <w:szCs w:val="15"/>
          <w:lang w:val="en-US"/>
        </w:rPr>
      </w:pPr>
    </w:p>
    <w:p w14:paraId="74C951DA" w14:textId="77777777" w:rsidR="00A030FB" w:rsidRPr="009B3D4B" w:rsidRDefault="00A030FB" w:rsidP="00A030FB">
      <w:pPr>
        <w:spacing w:before="120" w:after="80" w:line="288" w:lineRule="auto"/>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The recipients of the investment will be farms, producer organizations and consortia.</w:t>
      </w:r>
    </w:p>
    <w:p w14:paraId="6A560A02" w14:textId="77777777" w:rsidR="00A030FB" w:rsidRPr="009B3D4B" w:rsidRDefault="00A030FB" w:rsidP="00A030FB">
      <w:pPr>
        <w:spacing w:before="120" w:after="80" w:line="288" w:lineRule="auto"/>
        <w:jc w:val="both"/>
        <w:rPr>
          <w:rFonts w:ascii="Trebuchet MS" w:hAnsi="Trebuchet MS" w:cs="Trebuchet MS"/>
          <w:color w:val="595959"/>
          <w:w w:val="0"/>
          <w:sz w:val="2"/>
          <w:szCs w:val="2"/>
          <w:lang w:val="en-US"/>
        </w:rPr>
      </w:pPr>
    </w:p>
    <w:p w14:paraId="01CAEBA3" w14:textId="77777777" w:rsidR="00A030FB" w:rsidRPr="009B3D4B" w:rsidRDefault="00A030FB" w:rsidP="00A030FB">
      <w:pPr>
        <w:suppressAutoHyphens/>
        <w:spacing w:before="120" w:after="80"/>
        <w:jc w:val="both"/>
        <w:rPr>
          <w:rFonts w:ascii="Trebuchet MS" w:hAnsi="Trebuchet MS" w:cs="Trebuchet MS"/>
          <w:color w:val="595959"/>
          <w:w w:val="0"/>
          <w:sz w:val="20"/>
          <w:szCs w:val="20"/>
          <w:lang w:val="en-US"/>
        </w:rPr>
      </w:pPr>
      <w:r w:rsidRPr="009B3D4B">
        <w:rPr>
          <w:rFonts w:ascii="Trebuchet MS" w:hAnsi="Trebuchet MS" w:cs="Trebuchet MS"/>
          <w:b/>
          <w:bCs/>
          <w:color w:val="595959"/>
          <w:w w:val="0"/>
          <w:sz w:val="20"/>
          <w:szCs w:val="20"/>
          <w:u w:val="single"/>
          <w:lang w:val="en-US"/>
        </w:rPr>
        <w:t>Timing</w:t>
      </w:r>
      <w:r w:rsidRPr="009B3D4B">
        <w:rPr>
          <w:rFonts w:ascii="Trebuchet MS" w:hAnsi="Trebuchet MS" w:cs="Trebuchet MS"/>
          <w:color w:val="595959"/>
          <w:w w:val="0"/>
          <w:sz w:val="20"/>
          <w:szCs w:val="20"/>
          <w:lang w:val="en-US"/>
        </w:rPr>
        <w:t xml:space="preserve">: from the implementation point of view, the investment includes two milestones and two intermediate targets. Specifically, there are two calls for proposals (milestones): the first is </w:t>
      </w:r>
      <w:r>
        <w:rPr>
          <w:rFonts w:ascii="Trebuchet MS" w:hAnsi="Trebuchet MS" w:cs="Trebuchet MS"/>
          <w:color w:val="595959"/>
          <w:w w:val="0"/>
          <w:sz w:val="20"/>
          <w:szCs w:val="20"/>
          <w:lang w:val="en-US"/>
        </w:rPr>
        <w:t xml:space="preserve">addressed to </w:t>
      </w:r>
      <w:r w:rsidRPr="009B3D4B">
        <w:rPr>
          <w:rFonts w:ascii="Trebuchet MS" w:hAnsi="Trebuchet MS" w:cs="Trebuchet MS"/>
          <w:color w:val="595959"/>
          <w:w w:val="0"/>
          <w:sz w:val="20"/>
          <w:szCs w:val="20"/>
          <w:lang w:val="en-US"/>
        </w:rPr>
        <w:t>the olive sector (by the first quarter of 2022), while the second call is aimed at mechanization (by the first quarter of 2023). In terms of quantity (target), the first stage aims to target grants to at least 10,000 farms by 2024. The second stage aims to increase the number of beneficiaries by another 5,000.</w:t>
      </w:r>
    </w:p>
    <w:p w14:paraId="60BE77D2" w14:textId="77777777" w:rsidR="00A030FB" w:rsidRPr="009B3D4B" w:rsidRDefault="00A030FB" w:rsidP="00A030FB">
      <w:pPr>
        <w:spacing w:before="120" w:after="80" w:line="288" w:lineRule="auto"/>
        <w:jc w:val="both"/>
        <w:rPr>
          <w:rFonts w:ascii="Trebuchet MS" w:hAnsi="Trebuchet MS" w:cs="Trebuchet MS"/>
          <w:color w:val="595959"/>
          <w:w w:val="0"/>
          <w:sz w:val="20"/>
          <w:szCs w:val="20"/>
          <w:lang w:val="en-US"/>
        </w:rPr>
      </w:pPr>
      <w:r w:rsidRPr="009B3D4B">
        <w:rPr>
          <w:rFonts w:ascii="Trebuchet MS" w:hAnsi="Trebuchet MS" w:cs="Trebuchet MS"/>
          <w:b/>
          <w:bCs/>
          <w:color w:val="595959"/>
          <w:w w:val="0"/>
          <w:sz w:val="20"/>
          <w:szCs w:val="20"/>
          <w:u w:val="single"/>
          <w:lang w:val="en-US"/>
        </w:rPr>
        <w:t>Final target</w:t>
      </w:r>
      <w:r w:rsidRPr="009B3D4B">
        <w:rPr>
          <w:rFonts w:ascii="Trebuchet MS" w:hAnsi="Trebuchet MS" w:cs="Trebuchet MS"/>
          <w:color w:val="595959"/>
          <w:w w:val="0"/>
          <w:sz w:val="20"/>
          <w:szCs w:val="20"/>
          <w:lang w:val="en-US"/>
        </w:rPr>
        <w:t xml:space="preserve">: the intervention aims to reach the </w:t>
      </w:r>
      <w:proofErr w:type="gramStart"/>
      <w:r w:rsidRPr="009B3D4B">
        <w:rPr>
          <w:rFonts w:ascii="Trebuchet MS" w:hAnsi="Trebuchet MS" w:cs="Trebuchet MS"/>
          <w:color w:val="595959"/>
          <w:w w:val="0"/>
          <w:sz w:val="20"/>
          <w:szCs w:val="20"/>
          <w:lang w:val="en-US"/>
        </w:rPr>
        <w:t>15,000 beneficiary</w:t>
      </w:r>
      <w:proofErr w:type="gramEnd"/>
      <w:r w:rsidRPr="009B3D4B">
        <w:rPr>
          <w:rFonts w:ascii="Trebuchet MS" w:hAnsi="Trebuchet MS" w:cs="Trebuchet MS"/>
          <w:color w:val="595959"/>
          <w:w w:val="0"/>
          <w:sz w:val="20"/>
          <w:szCs w:val="20"/>
          <w:lang w:val="en-US"/>
        </w:rPr>
        <w:t xml:space="preserve"> threshold by the end of 2026.</w:t>
      </w:r>
    </w:p>
    <w:p w14:paraId="0607A88F" w14:textId="77777777" w:rsidR="00A030FB" w:rsidRPr="009B3D4B" w:rsidRDefault="00A030FB" w:rsidP="00A030FB">
      <w:pPr>
        <w:suppressAutoHyphens/>
        <w:spacing w:before="120" w:line="288" w:lineRule="auto"/>
        <w:jc w:val="both"/>
        <w:rPr>
          <w:w w:val="0"/>
          <w:lang w:val="en-US"/>
        </w:rPr>
      </w:pPr>
    </w:p>
    <w:p w14:paraId="6EDA2454" w14:textId="77777777" w:rsidR="00A030FB" w:rsidRPr="009B3D4B" w:rsidRDefault="00A030FB" w:rsidP="00A030FB">
      <w:pPr>
        <w:widowControl/>
        <w:suppressAutoHyphens/>
        <w:spacing w:after="120"/>
        <w:ind w:right="-34"/>
        <w:jc w:val="both"/>
        <w:rPr>
          <w:rFonts w:ascii="Trebuchet MS" w:hAnsi="Trebuchet MS" w:cs="Trebuchet MS"/>
          <w:b/>
          <w:bCs/>
          <w:color w:val="595959"/>
          <w:w w:val="0"/>
          <w:lang w:val="en-US"/>
        </w:rPr>
      </w:pPr>
      <w:r w:rsidRPr="009B3D4B">
        <w:rPr>
          <w:rFonts w:ascii="Trebuchet MS" w:hAnsi="Trebuchet MS" w:cs="Trebuchet MS"/>
          <w:b/>
          <w:bCs/>
          <w:color w:val="595959"/>
          <w:w w:val="0"/>
          <w:lang w:val="en-US"/>
        </w:rPr>
        <w:t xml:space="preserve">Mission 2 Component 4-investment 4.3: Investment in agro-irrigation system resilience for better management of water resources </w:t>
      </w:r>
    </w:p>
    <w:p w14:paraId="41B09510" w14:textId="77777777" w:rsidR="00A030FB" w:rsidRPr="009B3D4B" w:rsidRDefault="00A030FB" w:rsidP="00A030FB">
      <w:pPr>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Increasing water efficiency in all sectors to address water scarcity is among the sustainable development goals of the 2030 Agenda. Climate change has a major impact on the availability of water resources, especially in the Mediterranean area and, therefore, in Italy, where irrigation is a necessary practice for agricultural production and a fundamental condition for competitive agriculture. Drought events are occurring with increasing frequency even in areas of the country not historically subject to water scarcity problems. </w:t>
      </w:r>
    </w:p>
    <w:p w14:paraId="2E536C0B" w14:textId="77777777" w:rsidR="00A030FB" w:rsidRPr="009B3D4B" w:rsidRDefault="00A030FB" w:rsidP="00A030FB">
      <w:pPr>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The measure is aimed at irrigation entities and finances - for 880 million euros, of which 520 million reserved for new projects and 360 million to cover the financing of existing projects with national funds - interventions for an efficient and sustainable use of water in agriculture, with investments having the objective of increasing the resilience of the irrigated </w:t>
      </w:r>
      <w:proofErr w:type="spellStart"/>
      <w:r w:rsidRPr="009B3D4B">
        <w:rPr>
          <w:rFonts w:ascii="Trebuchet MS" w:hAnsi="Trebuchet MS" w:cs="Trebuchet MS"/>
          <w:color w:val="595959"/>
          <w:w w:val="0"/>
          <w:sz w:val="20"/>
          <w:szCs w:val="20"/>
          <w:lang w:val="en-US"/>
        </w:rPr>
        <w:t>agrosystem</w:t>
      </w:r>
      <w:proofErr w:type="spellEnd"/>
      <w:r w:rsidRPr="009B3D4B">
        <w:rPr>
          <w:rFonts w:ascii="Trebuchet MS" w:hAnsi="Trebuchet MS" w:cs="Trebuchet MS"/>
          <w:color w:val="595959"/>
          <w:w w:val="0"/>
          <w:sz w:val="20"/>
          <w:szCs w:val="20"/>
          <w:lang w:val="en-US"/>
        </w:rPr>
        <w:t xml:space="preserve"> to extreme climatic events (with particular regard to drought events), improving the management of the water resource, reducing losses and promoting the metering and monitoring of uses on collective networks (through the installation of meters and remote control systems). Metering and monitoring are a fundamental prerequisite for quantifying the water </w:t>
      </w:r>
      <w:proofErr w:type="gramStart"/>
      <w:r w:rsidRPr="009B3D4B">
        <w:rPr>
          <w:rFonts w:ascii="Trebuchet MS" w:hAnsi="Trebuchet MS" w:cs="Trebuchet MS"/>
          <w:color w:val="595959"/>
          <w:w w:val="0"/>
          <w:sz w:val="20"/>
          <w:szCs w:val="20"/>
          <w:lang w:val="en-US"/>
        </w:rPr>
        <w:t>actually used</w:t>
      </w:r>
      <w:proofErr w:type="gramEnd"/>
      <w:r w:rsidRPr="009B3D4B">
        <w:rPr>
          <w:rFonts w:ascii="Trebuchet MS" w:hAnsi="Trebuchet MS" w:cs="Trebuchet MS"/>
          <w:color w:val="595959"/>
          <w:w w:val="0"/>
          <w:sz w:val="20"/>
          <w:szCs w:val="20"/>
          <w:lang w:val="en-US"/>
        </w:rPr>
        <w:t xml:space="preserve"> and for averting illicit uses of water in rural areas.</w:t>
      </w:r>
    </w:p>
    <w:p w14:paraId="5164A4AE" w14:textId="77777777" w:rsidR="00A030FB" w:rsidRPr="009B3D4B" w:rsidRDefault="00A030FB" w:rsidP="00A030FB">
      <w:pPr>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Thus, the measure concerns interventions that can be implemented in the short to medium term to complement and accompany the efficiency and safety of primary water infrastructures (large additives, dams and reservoirs, large derivations) promoted by other Central Administrations within the same component of the PNRR, </w:t>
      </w:r>
      <w:proofErr w:type="gramStart"/>
      <w:r w:rsidRPr="009B3D4B">
        <w:rPr>
          <w:rFonts w:ascii="Trebuchet MS" w:hAnsi="Trebuchet MS" w:cs="Trebuchet MS"/>
          <w:color w:val="595959"/>
          <w:w w:val="0"/>
          <w:sz w:val="20"/>
          <w:szCs w:val="20"/>
          <w:lang w:val="en-US"/>
        </w:rPr>
        <w:t>in order to</w:t>
      </w:r>
      <w:proofErr w:type="gramEnd"/>
      <w:r w:rsidRPr="009B3D4B">
        <w:rPr>
          <w:rFonts w:ascii="Trebuchet MS" w:hAnsi="Trebuchet MS" w:cs="Trebuchet MS"/>
          <w:color w:val="595959"/>
          <w:w w:val="0"/>
          <w:sz w:val="20"/>
          <w:szCs w:val="20"/>
          <w:lang w:val="en-US"/>
        </w:rPr>
        <w:t xml:space="preserve"> encourage the best use of the resources made available by these major works. </w:t>
      </w:r>
    </w:p>
    <w:p w14:paraId="1D0E9A61" w14:textId="77777777" w:rsidR="00A030FB" w:rsidRPr="009B3D4B" w:rsidRDefault="00A030FB" w:rsidP="00A030FB">
      <w:pPr>
        <w:spacing w:after="80"/>
        <w:jc w:val="both"/>
        <w:rPr>
          <w:rFonts w:ascii="Trebuchet MS" w:hAnsi="Trebuchet MS" w:cs="Trebuchet MS"/>
          <w:color w:val="595959"/>
          <w:w w:val="0"/>
          <w:sz w:val="20"/>
          <w:szCs w:val="20"/>
          <w:lang w:val="en-US"/>
        </w:rPr>
      </w:pPr>
      <w:proofErr w:type="gramStart"/>
      <w:r w:rsidRPr="009B3D4B">
        <w:rPr>
          <w:rFonts w:ascii="Trebuchet MS" w:hAnsi="Trebuchet MS" w:cs="Trebuchet MS"/>
          <w:color w:val="595959"/>
          <w:w w:val="0"/>
          <w:sz w:val="20"/>
          <w:szCs w:val="20"/>
          <w:lang w:val="en-US"/>
        </w:rPr>
        <w:t>With regard to</w:t>
      </w:r>
      <w:proofErr w:type="gramEnd"/>
      <w:r w:rsidRPr="009B3D4B">
        <w:rPr>
          <w:rFonts w:ascii="Trebuchet MS" w:hAnsi="Trebuchet MS" w:cs="Trebuchet MS"/>
          <w:color w:val="595959"/>
          <w:w w:val="0"/>
          <w:sz w:val="20"/>
          <w:szCs w:val="20"/>
          <w:lang w:val="en-US"/>
        </w:rPr>
        <w:t xml:space="preserve"> the implementation of the measure (</w:t>
      </w:r>
      <w:proofErr w:type="spellStart"/>
      <w:r w:rsidRPr="009B3D4B">
        <w:rPr>
          <w:rFonts w:ascii="Trebuchet MS" w:hAnsi="Trebuchet MS" w:cs="Trebuchet MS"/>
          <w:color w:val="595959"/>
          <w:w w:val="0"/>
          <w:sz w:val="20"/>
          <w:szCs w:val="20"/>
          <w:lang w:val="en-US"/>
        </w:rPr>
        <w:t>Zucaro</w:t>
      </w:r>
      <w:proofErr w:type="spellEnd"/>
      <w:r w:rsidRPr="009B3D4B">
        <w:rPr>
          <w:rFonts w:ascii="Trebuchet MS" w:hAnsi="Trebuchet MS" w:cs="Trebuchet MS"/>
          <w:color w:val="595959"/>
          <w:w w:val="0"/>
          <w:sz w:val="20"/>
          <w:szCs w:val="20"/>
          <w:lang w:val="en-US"/>
        </w:rPr>
        <w:t xml:space="preserve"> et al., 2021), in accordance with the timeline and related </w:t>
      </w:r>
      <w:r w:rsidRPr="009B3D4B">
        <w:rPr>
          <w:rFonts w:ascii="Trebuchet MS" w:hAnsi="Trebuchet MS" w:cs="Trebuchet MS"/>
          <w:i/>
          <w:iCs/>
          <w:color w:val="595959"/>
          <w:w w:val="0"/>
          <w:sz w:val="20"/>
          <w:szCs w:val="20"/>
          <w:lang w:val="en-US"/>
        </w:rPr>
        <w:t>milestones</w:t>
      </w:r>
      <w:r w:rsidRPr="009B3D4B">
        <w:rPr>
          <w:rFonts w:ascii="Trebuchet MS" w:hAnsi="Trebuchet MS" w:cs="Trebuchet MS"/>
          <w:color w:val="595959"/>
          <w:w w:val="0"/>
          <w:sz w:val="20"/>
          <w:szCs w:val="20"/>
          <w:lang w:val="en-US"/>
        </w:rPr>
        <w:t>, eligibility and selection criteria were published in June 2021 on the basis of which eligible and ineligible projects for funding and related merit score were identified through CREA's DANIA database by September 2021. Finally, in November 2021, the implementation plan for initiating the arrangements for the verification of projects applying for funding was approved.</w:t>
      </w:r>
    </w:p>
    <w:p w14:paraId="544535AE" w14:textId="77777777" w:rsidR="00A030FB" w:rsidRPr="009B3D4B" w:rsidRDefault="00A030FB" w:rsidP="00A030FB">
      <w:pPr>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The measure contributes 40% to the climate tag and 100% to the environmental tag.</w:t>
      </w:r>
    </w:p>
    <w:p w14:paraId="7E29481F" w14:textId="77777777" w:rsidR="00A030FB" w:rsidRPr="009B3D4B" w:rsidRDefault="00A030FB" w:rsidP="00A030FB">
      <w:pPr>
        <w:spacing w:after="80"/>
        <w:jc w:val="both"/>
        <w:rPr>
          <w:rFonts w:ascii="Trebuchet MS" w:hAnsi="Trebuchet MS" w:cs="Trebuchet MS"/>
          <w:color w:val="595959"/>
          <w:w w:val="0"/>
          <w:sz w:val="20"/>
          <w:szCs w:val="20"/>
          <w:lang w:val="en-US"/>
        </w:rPr>
      </w:pPr>
    </w:p>
    <w:p w14:paraId="10C0CD64" w14:textId="77777777" w:rsidR="00A030FB" w:rsidRPr="009B3D4B" w:rsidRDefault="00A030FB" w:rsidP="00A030FB">
      <w:pPr>
        <w:spacing w:after="80"/>
        <w:jc w:val="both"/>
        <w:rPr>
          <w:rFonts w:ascii="Trebuchet MS" w:hAnsi="Trebuchet MS" w:cs="Trebuchet MS"/>
          <w:color w:val="595959"/>
          <w:w w:val="0"/>
          <w:sz w:val="20"/>
          <w:szCs w:val="20"/>
          <w:lang w:val="en-US"/>
        </w:rPr>
      </w:pPr>
      <w:r w:rsidRPr="009B3D4B">
        <w:rPr>
          <w:rFonts w:ascii="Trebuchet MS" w:hAnsi="Trebuchet MS" w:cs="Trebuchet MS"/>
          <w:b/>
          <w:bCs/>
          <w:color w:val="595959"/>
          <w:w w:val="0"/>
          <w:sz w:val="20"/>
          <w:szCs w:val="20"/>
          <w:u w:val="single"/>
          <w:lang w:val="en-US"/>
        </w:rPr>
        <w:t xml:space="preserve">Timing: </w:t>
      </w:r>
      <w:r w:rsidRPr="00203B0E">
        <w:rPr>
          <w:rFonts w:ascii="Trebuchet MS" w:hAnsi="Trebuchet MS" w:cs="Trebuchet MS"/>
          <w:color w:val="595959"/>
          <w:w w:val="0"/>
          <w:sz w:val="20"/>
          <w:szCs w:val="20"/>
          <w:lang w:val="en-US"/>
        </w:rPr>
        <w:t>from an</w:t>
      </w:r>
      <w:r w:rsidRPr="00203B0E">
        <w:rPr>
          <w:rFonts w:ascii="Trebuchet MS" w:hAnsi="Trebuchet MS" w:cs="Trebuchet MS"/>
          <w:b/>
          <w:bCs/>
          <w:color w:val="595959"/>
          <w:w w:val="0"/>
          <w:sz w:val="20"/>
          <w:szCs w:val="20"/>
          <w:lang w:val="en-US"/>
        </w:rPr>
        <w:t xml:space="preserve"> </w:t>
      </w:r>
      <w:r w:rsidRPr="009B3D4B">
        <w:rPr>
          <w:rFonts w:ascii="Trebuchet MS" w:hAnsi="Trebuchet MS" w:cs="Trebuchet MS"/>
          <w:color w:val="595959"/>
          <w:w w:val="0"/>
          <w:sz w:val="20"/>
          <w:szCs w:val="20"/>
          <w:lang w:val="en-US"/>
        </w:rPr>
        <w:t xml:space="preserve">implementation point of view, the next planned milestones </w:t>
      </w:r>
      <w:proofErr w:type="gramStart"/>
      <w:r w:rsidRPr="009B3D4B">
        <w:rPr>
          <w:rFonts w:ascii="Trebuchet MS" w:hAnsi="Trebuchet MS" w:cs="Trebuchet MS"/>
          <w:color w:val="595959"/>
          <w:w w:val="0"/>
          <w:sz w:val="20"/>
          <w:szCs w:val="20"/>
          <w:lang w:val="en-US"/>
        </w:rPr>
        <w:t>are:</w:t>
      </w:r>
      <w:proofErr w:type="gramEnd"/>
      <w:r w:rsidRPr="009B3D4B">
        <w:rPr>
          <w:rFonts w:ascii="Trebuchet MS" w:hAnsi="Trebuchet MS" w:cs="Trebuchet MS"/>
          <w:color w:val="595959"/>
          <w:w w:val="0"/>
          <w:sz w:val="20"/>
          <w:szCs w:val="20"/>
          <w:lang w:val="en-US"/>
        </w:rPr>
        <w:t xml:space="preserve"> issuance of funding decrees third quarter 2022 (M2C4-00-ITA-38), and awarding of all public contracts related to the funded interventions by December 2023 (M2C4-33). The latter milestone is in Annex I of the Operational </w:t>
      </w:r>
      <w:r w:rsidRPr="009B3D4B">
        <w:rPr>
          <w:rFonts w:ascii="Trebuchet MS" w:hAnsi="Trebuchet MS" w:cs="Trebuchet MS"/>
          <w:color w:val="595959"/>
          <w:w w:val="0"/>
          <w:sz w:val="20"/>
          <w:szCs w:val="20"/>
          <w:lang w:val="en-US"/>
        </w:rPr>
        <w:lastRenderedPageBreak/>
        <w:t>Arrangements.</w:t>
      </w:r>
    </w:p>
    <w:p w14:paraId="59470057" w14:textId="4F94402E" w:rsidR="005163F3" w:rsidRPr="00A030FB" w:rsidRDefault="00A030FB" w:rsidP="00A030FB">
      <w:pPr>
        <w:spacing w:after="80"/>
        <w:jc w:val="both"/>
        <w:rPr>
          <w:rFonts w:ascii="Trebuchet MS" w:eastAsia="Times New Roman" w:hAnsi="Trebuchet MS" w:cs="Times New Roman"/>
          <w:color w:val="595959" w:themeColor="text1" w:themeTint="A6"/>
          <w:sz w:val="20"/>
          <w:szCs w:val="20"/>
          <w:lang w:val="en-US"/>
        </w:rPr>
      </w:pPr>
      <w:r w:rsidRPr="009B3D4B">
        <w:rPr>
          <w:rFonts w:ascii="Trebuchet MS" w:hAnsi="Trebuchet MS" w:cs="Trebuchet MS"/>
          <w:b/>
          <w:bCs/>
          <w:color w:val="595959"/>
          <w:w w:val="0"/>
          <w:sz w:val="20"/>
          <w:szCs w:val="20"/>
          <w:u w:val="single"/>
          <w:lang w:val="en-US"/>
        </w:rPr>
        <w:t>Final Target</w:t>
      </w:r>
      <w:r w:rsidRPr="009B3D4B">
        <w:rPr>
          <w:rFonts w:ascii="Trebuchet MS" w:hAnsi="Trebuchet MS" w:cs="Trebuchet MS"/>
          <w:color w:val="595959"/>
          <w:w w:val="0"/>
          <w:sz w:val="20"/>
          <w:szCs w:val="20"/>
          <w:lang w:val="en-US"/>
        </w:rPr>
        <w:t xml:space="preserve">: The intervention aims to increase the percentage of drawdown sources with flow &gt; 100 l/s equipped with meters from the current 0% to 40% by T1 2026 (M2C4-34a), and to increase the area switching to more efficient management of the irrigation resource </w:t>
      </w:r>
      <w:proofErr w:type="gramStart"/>
      <w:r w:rsidRPr="009B3D4B">
        <w:rPr>
          <w:rFonts w:ascii="Trebuchet MS" w:hAnsi="Trebuchet MS" w:cs="Trebuchet MS"/>
          <w:color w:val="595959"/>
          <w:w w:val="0"/>
          <w:sz w:val="20"/>
          <w:szCs w:val="20"/>
          <w:lang w:val="en-US"/>
        </w:rPr>
        <w:t>as a result of</w:t>
      </w:r>
      <w:proofErr w:type="gramEnd"/>
      <w:r w:rsidRPr="009B3D4B">
        <w:rPr>
          <w:rFonts w:ascii="Trebuchet MS" w:hAnsi="Trebuchet MS" w:cs="Trebuchet MS"/>
          <w:color w:val="595959"/>
          <w:w w:val="0"/>
          <w:sz w:val="20"/>
          <w:szCs w:val="20"/>
          <w:lang w:val="en-US"/>
        </w:rPr>
        <w:t xml:space="preserve"> the interventions from 0% to at least 29 % by T1 2026 (M2C4-35a).</w:t>
      </w:r>
    </w:p>
    <w:p w14:paraId="10EBD445" w14:textId="77777777" w:rsidR="00624CD7" w:rsidRPr="00A030FB" w:rsidRDefault="00624CD7" w:rsidP="00624CD7">
      <w:pPr>
        <w:pStyle w:val="Titolo1"/>
        <w:spacing w:before="94"/>
        <w:ind w:left="0"/>
        <w:rPr>
          <w:caps/>
          <w:color w:val="17365D"/>
          <w:lang w:val="en-US"/>
        </w:rPr>
      </w:pPr>
      <w:bookmarkStart w:id="3" w:name="_Toc97051481"/>
    </w:p>
    <w:bookmarkEnd w:id="3"/>
    <w:p w14:paraId="3AE830CD" w14:textId="77777777" w:rsidR="000F52C7" w:rsidRPr="009B3D4B" w:rsidRDefault="000F52C7" w:rsidP="004F4B10">
      <w:pPr>
        <w:pStyle w:val="Titolo1"/>
        <w:spacing w:after="80"/>
        <w:ind w:left="0"/>
        <w:rPr>
          <w:rFonts w:ascii="Trebuchet MS" w:hAnsi="Trebuchet MS" w:cs="Trebuchet MS"/>
          <w:b w:val="0"/>
          <w:bCs w:val="0"/>
          <w:color w:val="595959"/>
          <w:w w:val="0"/>
          <w:lang w:val="en-US"/>
        </w:rPr>
      </w:pPr>
      <w:r w:rsidRPr="009B3D4B">
        <w:rPr>
          <w:rFonts w:ascii="Trebuchet MS" w:hAnsi="Trebuchet MS" w:cs="Trebuchet MS"/>
          <w:b w:val="0"/>
          <w:bCs w:val="0"/>
          <w:color w:val="595959"/>
          <w:w w:val="0"/>
          <w:lang w:val="en-US"/>
        </w:rPr>
        <w:t>Supplementary fund and measures for agribusiness</w:t>
      </w:r>
    </w:p>
    <w:p w14:paraId="78A4F8DE" w14:textId="77777777" w:rsidR="000F52C7" w:rsidRPr="009B3D4B" w:rsidRDefault="000F52C7" w:rsidP="000F52C7">
      <w:pPr>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The NRRP Supplementary Fund has included supply chain and district contracts as a measure for sustainable development of the </w:t>
      </w:r>
      <w:proofErr w:type="spellStart"/>
      <w:r w:rsidRPr="009B3D4B">
        <w:rPr>
          <w:rFonts w:ascii="Trebuchet MS" w:hAnsi="Trebuchet MS" w:cs="Trebuchet MS"/>
          <w:color w:val="595959"/>
          <w:w w:val="0"/>
          <w:sz w:val="20"/>
          <w:szCs w:val="20"/>
          <w:lang w:val="en-US"/>
        </w:rPr>
        <w:t>agrifood</w:t>
      </w:r>
      <w:proofErr w:type="spellEnd"/>
      <w:r w:rsidRPr="009B3D4B">
        <w:rPr>
          <w:rFonts w:ascii="Trebuchet MS" w:hAnsi="Trebuchet MS" w:cs="Trebuchet MS"/>
          <w:color w:val="595959"/>
          <w:w w:val="0"/>
          <w:sz w:val="20"/>
          <w:szCs w:val="20"/>
          <w:lang w:val="en-US"/>
        </w:rPr>
        <w:t xml:space="preserve"> sector. The intervention aims to strengthen the tool of supply chain and district contracts for the agribusiness, forestry, fisheries and aquaculture and floriculture sectors through integrated investment programs throughout the country. </w:t>
      </w:r>
    </w:p>
    <w:p w14:paraId="6BEC5907" w14:textId="77777777" w:rsidR="000F52C7" w:rsidRPr="009B3D4B" w:rsidRDefault="000F52C7" w:rsidP="000F52C7">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The final beneficiaries of the measure are enterprises that directly contribute to the production, harvesting, </w:t>
      </w:r>
      <w:proofErr w:type="gramStart"/>
      <w:r w:rsidRPr="009B3D4B">
        <w:rPr>
          <w:rFonts w:ascii="Trebuchet MS" w:hAnsi="Trebuchet MS" w:cs="Trebuchet MS"/>
          <w:color w:val="595959"/>
          <w:w w:val="0"/>
          <w:sz w:val="20"/>
          <w:szCs w:val="20"/>
          <w:lang w:val="en-US"/>
        </w:rPr>
        <w:t>processing</w:t>
      </w:r>
      <w:proofErr w:type="gramEnd"/>
      <w:r w:rsidRPr="009B3D4B">
        <w:rPr>
          <w:rFonts w:ascii="Trebuchet MS" w:hAnsi="Trebuchet MS" w:cs="Trebuchet MS"/>
          <w:color w:val="595959"/>
          <w:w w:val="0"/>
          <w:sz w:val="20"/>
          <w:szCs w:val="20"/>
          <w:lang w:val="en-US"/>
        </w:rPr>
        <w:t xml:space="preserve"> and marketing of agricultural products (agri-food, fish, forestry and floriculture) and enterprises that provide services and means of production (of first/second processing). The public resources allocated to this intervention amount to 1.2 billion euros, of which 25 percent is allocated exclusively to Italian organic production. </w:t>
      </w:r>
    </w:p>
    <w:p w14:paraId="65204F76" w14:textId="77777777" w:rsidR="000F52C7" w:rsidRPr="009B3D4B" w:rsidRDefault="000F52C7" w:rsidP="000F52C7">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The Administration initiated the implementation of the measure through two procedures: </w:t>
      </w:r>
    </w:p>
    <w:p w14:paraId="23954DB1" w14:textId="77777777" w:rsidR="000F52C7" w:rsidRPr="009B3D4B" w:rsidRDefault="000F52C7" w:rsidP="000F52C7">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1) the scrolling of the ranking list of projects already </w:t>
      </w:r>
      <w:proofErr w:type="gramStart"/>
      <w:r w:rsidRPr="009B3D4B">
        <w:rPr>
          <w:rFonts w:ascii="Trebuchet MS" w:hAnsi="Trebuchet MS" w:cs="Trebuchet MS"/>
          <w:color w:val="595959"/>
          <w:w w:val="0"/>
          <w:sz w:val="20"/>
          <w:szCs w:val="20"/>
          <w:lang w:val="en-US"/>
        </w:rPr>
        <w:t>present</w:t>
      </w:r>
      <w:proofErr w:type="gramEnd"/>
      <w:r w:rsidRPr="009B3D4B">
        <w:rPr>
          <w:rFonts w:ascii="Trebuchet MS" w:hAnsi="Trebuchet MS" w:cs="Trebuchet MS"/>
          <w:color w:val="595959"/>
          <w:w w:val="0"/>
          <w:sz w:val="20"/>
          <w:szCs w:val="20"/>
          <w:lang w:val="en-US"/>
        </w:rPr>
        <w:t xml:space="preserve"> under the Fourth Call 2015-2020 "Supply Chain and District Contracts" in the agribusiness sector;</w:t>
      </w:r>
    </w:p>
    <w:p w14:paraId="31D24164" w14:textId="77777777" w:rsidR="000F52C7" w:rsidRPr="009B3D4B" w:rsidRDefault="000F52C7" w:rsidP="000F52C7">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2) The issuance of a new notice for the agribusiness sector.</w:t>
      </w:r>
    </w:p>
    <w:p w14:paraId="6A2354BE" w14:textId="77777777" w:rsidR="000F52C7" w:rsidRPr="009B3D4B" w:rsidRDefault="000F52C7" w:rsidP="000F52C7">
      <w:pPr>
        <w:spacing w:after="80"/>
        <w:jc w:val="both"/>
        <w:rPr>
          <w:rFonts w:ascii="Trebuchet MS" w:hAnsi="Trebuchet MS" w:cs="Trebuchet MS"/>
          <w:color w:val="595959"/>
          <w:w w:val="0"/>
          <w:sz w:val="20"/>
          <w:szCs w:val="20"/>
          <w:lang w:val="en-US"/>
        </w:rPr>
      </w:pPr>
      <w:proofErr w:type="gramStart"/>
      <w:r w:rsidRPr="009B3D4B">
        <w:rPr>
          <w:rFonts w:ascii="Trebuchet MS" w:hAnsi="Trebuchet MS" w:cs="Trebuchet MS"/>
          <w:color w:val="595959"/>
          <w:w w:val="0"/>
          <w:sz w:val="20"/>
          <w:szCs w:val="20"/>
          <w:lang w:val="en-US"/>
        </w:rPr>
        <w:t>With regard to</w:t>
      </w:r>
      <w:proofErr w:type="gramEnd"/>
      <w:r w:rsidRPr="009B3D4B">
        <w:rPr>
          <w:rFonts w:ascii="Trebuchet MS" w:hAnsi="Trebuchet MS" w:cs="Trebuchet MS"/>
          <w:color w:val="595959"/>
          <w:w w:val="0"/>
          <w:sz w:val="20"/>
          <w:szCs w:val="20"/>
          <w:lang w:val="en-US"/>
        </w:rPr>
        <w:t xml:space="preserve"> the first procedure, the Ministry is currently in the process of managing the 4th call with FSC (Fund for Development and Cohesion) funds. The scrolling of the ranking list of existing projects should allow for an immediate impact of the measure on the sector, and the new projects will have to ensure a green transition of the affected supply chains. </w:t>
      </w:r>
    </w:p>
    <w:p w14:paraId="6876FECC" w14:textId="77777777" w:rsidR="000F52C7" w:rsidRPr="009B3D4B" w:rsidRDefault="000F52C7" w:rsidP="000F52C7">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The second procedure concerns the issuance of a new notice for the agribusiness sector. In October 2021, the draft decree on the Fifth Public Notice on the characteristics, </w:t>
      </w:r>
      <w:proofErr w:type="gramStart"/>
      <w:r w:rsidRPr="009B3D4B">
        <w:rPr>
          <w:rFonts w:ascii="Trebuchet MS" w:hAnsi="Trebuchet MS" w:cs="Trebuchet MS"/>
          <w:color w:val="595959"/>
          <w:w w:val="0"/>
          <w:sz w:val="20"/>
          <w:szCs w:val="20"/>
          <w:lang w:val="en-US"/>
        </w:rPr>
        <w:t>modalities</w:t>
      </w:r>
      <w:proofErr w:type="gramEnd"/>
      <w:r w:rsidRPr="009B3D4B">
        <w:rPr>
          <w:rFonts w:ascii="Trebuchet MS" w:hAnsi="Trebuchet MS" w:cs="Trebuchet MS"/>
          <w:color w:val="595959"/>
          <w:w w:val="0"/>
          <w:sz w:val="20"/>
          <w:szCs w:val="20"/>
          <w:lang w:val="en-US"/>
        </w:rPr>
        <w:t xml:space="preserve"> and forms for applications for access to supply chain and district contracts was prepared. The draft decree was confirmed and approved by the EU Commission. Subsequently, in December 2021, it was taken to the State-Regions Conference, obtaining a favorable opinion. Currently, the decree has been sent to the Control Bodies for registration and, therefore, to be sent for publication in the Official Gazette.</w:t>
      </w:r>
    </w:p>
    <w:p w14:paraId="1AC3356A" w14:textId="3819C907" w:rsidR="00624CD7" w:rsidRPr="000F52C7" w:rsidRDefault="000F52C7" w:rsidP="000F52C7">
      <w:pPr>
        <w:suppressAutoHyphens/>
        <w:spacing w:after="80"/>
        <w:jc w:val="both"/>
        <w:rPr>
          <w:rFonts w:ascii="Trebuchet MS" w:hAnsi="Trebuchet MS"/>
          <w:color w:val="595959" w:themeColor="text1" w:themeTint="A6"/>
          <w:sz w:val="20"/>
          <w:szCs w:val="20"/>
          <w:lang w:val="en-US"/>
        </w:rPr>
      </w:pPr>
      <w:r w:rsidRPr="009B3D4B">
        <w:rPr>
          <w:rFonts w:ascii="Trebuchet MS" w:hAnsi="Trebuchet MS" w:cs="Trebuchet MS"/>
          <w:color w:val="595959"/>
          <w:w w:val="0"/>
          <w:sz w:val="20"/>
          <w:szCs w:val="20"/>
          <w:lang w:val="en-US"/>
        </w:rPr>
        <w:t xml:space="preserve">350m </w:t>
      </w:r>
      <w:r>
        <w:rPr>
          <w:rFonts w:ascii="Trebuchet MS" w:hAnsi="Trebuchet MS" w:cs="Trebuchet MS"/>
          <w:color w:val="595959"/>
          <w:w w:val="0"/>
          <w:sz w:val="20"/>
          <w:szCs w:val="20"/>
          <w:lang w:val="en-US"/>
        </w:rPr>
        <w:t xml:space="preserve">euros </w:t>
      </w:r>
      <w:r w:rsidRPr="009B3D4B">
        <w:rPr>
          <w:rFonts w:ascii="Trebuchet MS" w:hAnsi="Trebuchet MS" w:cs="Trebuchet MS"/>
          <w:color w:val="595959"/>
          <w:w w:val="0"/>
          <w:sz w:val="20"/>
          <w:szCs w:val="20"/>
          <w:lang w:val="en-US"/>
        </w:rPr>
        <w:t>will be used for the sliding of the rankings of the 4th call, while the remaining 850m will be made available for the 5th call with the aim of financing 46 new contracts. The amount from the supplementary fund is 1.2 billion, which will be distributed as follows until 2026: 17 percent in 2021, 25 percent in both 2022 and 2023, 22 percent in 2024, 10 percent in 2025, and 2 percent in 2026.</w:t>
      </w:r>
    </w:p>
    <w:p w14:paraId="68ECC3EA" w14:textId="77777777" w:rsidR="004F4B10" w:rsidRDefault="004F4B10" w:rsidP="004F4B10">
      <w:pPr>
        <w:pStyle w:val="Titolo1"/>
        <w:spacing w:after="80"/>
        <w:ind w:left="0"/>
        <w:rPr>
          <w:rFonts w:ascii="Trebuchet MS" w:eastAsia="Times New Roman" w:hAnsi="Trebuchet MS" w:cs="Times New Roman"/>
          <w:color w:val="595959" w:themeColor="text1" w:themeTint="A6"/>
          <w:sz w:val="20"/>
          <w:szCs w:val="20"/>
          <w:lang w:val="en-US"/>
        </w:rPr>
      </w:pPr>
    </w:p>
    <w:p w14:paraId="0976BCA2" w14:textId="76CB1B8C" w:rsidR="00517E9A" w:rsidRPr="004F4B10" w:rsidRDefault="00517E9A" w:rsidP="004F4B10">
      <w:pPr>
        <w:pStyle w:val="Titolo1"/>
        <w:spacing w:after="80"/>
        <w:ind w:left="0"/>
        <w:rPr>
          <w:rFonts w:ascii="Trebuchet MS" w:eastAsia="Times New Roman" w:hAnsi="Trebuchet MS" w:cs="Times New Roman"/>
          <w:color w:val="595959" w:themeColor="text1" w:themeTint="A6"/>
          <w:sz w:val="20"/>
          <w:szCs w:val="20"/>
          <w:lang w:val="en-US"/>
        </w:rPr>
      </w:pPr>
      <w:r w:rsidRPr="009B3D4B">
        <w:rPr>
          <w:rFonts w:ascii="Trebuchet MS" w:hAnsi="Trebuchet MS" w:cs="Trebuchet MS"/>
          <w:b w:val="0"/>
          <w:bCs w:val="0"/>
          <w:color w:val="595959"/>
          <w:w w:val="0"/>
          <w:lang w:val="en-US"/>
        </w:rPr>
        <w:t xml:space="preserve">Integration with the </w:t>
      </w:r>
      <w:r>
        <w:rPr>
          <w:rFonts w:ascii="Trebuchet MS" w:hAnsi="Trebuchet MS" w:cs="Trebuchet MS"/>
          <w:b w:val="0"/>
          <w:bCs w:val="0"/>
          <w:color w:val="595959"/>
          <w:w w:val="0"/>
          <w:lang w:val="en-US"/>
        </w:rPr>
        <w:t>CAP</w:t>
      </w:r>
      <w:r w:rsidRPr="009B3D4B">
        <w:rPr>
          <w:rFonts w:ascii="Trebuchet MS" w:hAnsi="Trebuchet MS" w:cs="Trebuchet MS"/>
          <w:b w:val="0"/>
          <w:bCs w:val="0"/>
          <w:color w:val="595959"/>
          <w:w w:val="0"/>
          <w:lang w:val="en-US"/>
        </w:rPr>
        <w:t xml:space="preserve"> strategic plan 2023-2027</w:t>
      </w:r>
    </w:p>
    <w:p w14:paraId="2B2F40DC" w14:textId="77777777" w:rsidR="00517E9A" w:rsidRPr="009B3D4B" w:rsidRDefault="00517E9A" w:rsidP="00517E9A">
      <w:pPr>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The Common Agricultural Policy (CAP) 2023-2027 programming is implemented through CAP National Strategic Plans (NSPs), which develop a comprehensive strategy of intervention for the agricultural sector and rural areas, taking advantage of the tools made available by the CAP: direct payments, sectoral interventions, and rural development policy. The goal of the PSP is the growth of the agribusiness and forestry sector, ensuring environmental, </w:t>
      </w:r>
      <w:proofErr w:type="gramStart"/>
      <w:r w:rsidRPr="009B3D4B">
        <w:rPr>
          <w:rFonts w:ascii="Trebuchet MS" w:hAnsi="Trebuchet MS" w:cs="Trebuchet MS"/>
          <w:color w:val="595959"/>
          <w:w w:val="0"/>
          <w:sz w:val="20"/>
          <w:szCs w:val="20"/>
          <w:lang w:val="en-US"/>
        </w:rPr>
        <w:t>economic</w:t>
      </w:r>
      <w:proofErr w:type="gramEnd"/>
      <w:r w:rsidRPr="009B3D4B">
        <w:rPr>
          <w:rFonts w:ascii="Trebuchet MS" w:hAnsi="Trebuchet MS" w:cs="Trebuchet MS"/>
          <w:color w:val="595959"/>
          <w:w w:val="0"/>
          <w:sz w:val="20"/>
          <w:szCs w:val="20"/>
          <w:lang w:val="en-US"/>
        </w:rPr>
        <w:t xml:space="preserve"> and social sustainability.</w:t>
      </w:r>
    </w:p>
    <w:p w14:paraId="4ED7FFA1" w14:textId="77777777" w:rsidR="00517E9A" w:rsidRPr="009B3D4B" w:rsidRDefault="00517E9A" w:rsidP="00517E9A">
      <w:pPr>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The interventions of the PSP, for which a more extensive description-which we refer to-is available in the Yearbook of Italian Agriculture 2021 (Ch. 12, CREA 2021), follow an integrated logic that works in synergy with the PNRR in order to achieve the Union's strategic objectives (defined in the </w:t>
      </w:r>
      <w:r w:rsidRPr="009B3D4B">
        <w:rPr>
          <w:rFonts w:ascii="Trebuchet MS" w:hAnsi="Trebuchet MS" w:cs="Trebuchet MS"/>
          <w:i/>
          <w:iCs/>
          <w:color w:val="595959"/>
          <w:w w:val="0"/>
          <w:sz w:val="20"/>
          <w:szCs w:val="20"/>
          <w:lang w:val="en-US"/>
        </w:rPr>
        <w:t>Green deal</w:t>
      </w:r>
      <w:r w:rsidRPr="009B3D4B">
        <w:rPr>
          <w:rFonts w:ascii="Trebuchet MS" w:hAnsi="Trebuchet MS" w:cs="Trebuchet MS"/>
          <w:color w:val="595959"/>
          <w:w w:val="0"/>
          <w:sz w:val="20"/>
          <w:szCs w:val="20"/>
          <w:lang w:val="en-US"/>
        </w:rPr>
        <w:t xml:space="preserve">, </w:t>
      </w:r>
      <w:r w:rsidRPr="009B3D4B">
        <w:rPr>
          <w:rFonts w:ascii="Trebuchet MS" w:hAnsi="Trebuchet MS" w:cs="Trebuchet MS"/>
          <w:i/>
          <w:iCs/>
          <w:color w:val="595959"/>
          <w:w w:val="0"/>
          <w:sz w:val="20"/>
          <w:szCs w:val="20"/>
          <w:lang w:val="en-US"/>
        </w:rPr>
        <w:t>Farm to Fork</w:t>
      </w:r>
      <w:r w:rsidRPr="009B3D4B">
        <w:rPr>
          <w:rFonts w:ascii="Trebuchet MS" w:hAnsi="Trebuchet MS" w:cs="Trebuchet MS"/>
          <w:color w:val="595959"/>
          <w:w w:val="0"/>
          <w:sz w:val="20"/>
          <w:szCs w:val="20"/>
          <w:lang w:val="en-US"/>
        </w:rPr>
        <w:t xml:space="preserve">, Biodiversity 2030 and new CAP documents), meeting the needs and priorities of sectors and rural areas, in line with the Commission's recommendations. In fact, the NRRP finances projects that represent necessary steps to improve the competitiveness and sustainability of the </w:t>
      </w:r>
      <w:proofErr w:type="spellStart"/>
      <w:r w:rsidRPr="009B3D4B">
        <w:rPr>
          <w:rFonts w:ascii="Trebuchet MS" w:hAnsi="Trebuchet MS" w:cs="Trebuchet MS"/>
          <w:color w:val="595959"/>
          <w:w w:val="0"/>
          <w:sz w:val="20"/>
          <w:szCs w:val="20"/>
          <w:lang w:val="en-US"/>
        </w:rPr>
        <w:t>agrifood</w:t>
      </w:r>
      <w:proofErr w:type="spellEnd"/>
      <w:r w:rsidRPr="009B3D4B">
        <w:rPr>
          <w:rFonts w:ascii="Trebuchet MS" w:hAnsi="Trebuchet MS" w:cs="Trebuchet MS"/>
          <w:color w:val="595959"/>
          <w:w w:val="0"/>
          <w:sz w:val="20"/>
          <w:szCs w:val="20"/>
          <w:lang w:val="en-US"/>
        </w:rPr>
        <w:t xml:space="preserve"> system, to foster the organization of supply chains, and to strengthen connections between producers and consumers, making a major contribution to meeting needs and priorities identified in the preparation of the Italian PSP.</w:t>
      </w:r>
    </w:p>
    <w:p w14:paraId="1426074E" w14:textId="4F7696CF" w:rsidR="00624CD7" w:rsidRPr="00517E9A" w:rsidRDefault="00517E9A" w:rsidP="00517E9A">
      <w:pPr>
        <w:spacing w:after="80"/>
        <w:jc w:val="both"/>
        <w:rPr>
          <w:rFonts w:ascii="Trebuchet MS" w:hAnsi="Trebuchet MS"/>
          <w:color w:val="595959" w:themeColor="text1" w:themeTint="A6"/>
          <w:sz w:val="20"/>
          <w:szCs w:val="20"/>
          <w:lang w:val="en-US"/>
        </w:rPr>
      </w:pPr>
      <w:r w:rsidRPr="009B3D4B">
        <w:rPr>
          <w:rFonts w:ascii="Trebuchet MS" w:hAnsi="Trebuchet MS" w:cs="Trebuchet MS"/>
          <w:color w:val="595959"/>
          <w:w w:val="0"/>
          <w:sz w:val="20"/>
          <w:szCs w:val="20"/>
          <w:lang w:val="en-US"/>
        </w:rPr>
        <w:t xml:space="preserve">The following table summarizes the main interventions in which the two Plans complement each other, </w:t>
      </w:r>
      <w:proofErr w:type="gramStart"/>
      <w:r w:rsidRPr="009B3D4B">
        <w:rPr>
          <w:rFonts w:ascii="Trebuchet MS" w:hAnsi="Trebuchet MS" w:cs="Trebuchet MS"/>
          <w:color w:val="595959"/>
          <w:w w:val="0"/>
          <w:sz w:val="20"/>
          <w:szCs w:val="20"/>
          <w:lang w:val="en-US"/>
        </w:rPr>
        <w:t>taking into account</w:t>
      </w:r>
      <w:proofErr w:type="gramEnd"/>
      <w:r w:rsidRPr="009B3D4B">
        <w:rPr>
          <w:rFonts w:ascii="Trebuchet MS" w:hAnsi="Trebuchet MS" w:cs="Trebuchet MS"/>
          <w:color w:val="595959"/>
          <w:w w:val="0"/>
          <w:sz w:val="20"/>
          <w:szCs w:val="20"/>
          <w:lang w:val="en-US"/>
        </w:rPr>
        <w:t>, both the specific objectives (SOs), EC recommendations and CAP requirements and the investments envisaged in the NRRP.</w:t>
      </w:r>
    </w:p>
    <w:p w14:paraId="048CA755" w14:textId="77777777" w:rsidR="003F7923" w:rsidRDefault="003F7923" w:rsidP="005376DF">
      <w:pPr>
        <w:spacing w:after="120"/>
        <w:jc w:val="both"/>
        <w:rPr>
          <w:rFonts w:ascii="Trebuchet MS" w:hAnsi="Trebuchet MS"/>
          <w:color w:val="595959" w:themeColor="text1" w:themeTint="A6"/>
          <w:sz w:val="20"/>
          <w:szCs w:val="20"/>
          <w:lang w:val="en-US"/>
        </w:rPr>
      </w:pPr>
    </w:p>
    <w:p w14:paraId="0BAE672E" w14:textId="77777777" w:rsidR="004F4B10" w:rsidRDefault="004F4B10" w:rsidP="005376DF">
      <w:pPr>
        <w:spacing w:after="120"/>
        <w:jc w:val="both"/>
        <w:rPr>
          <w:rFonts w:ascii="Trebuchet MS" w:hAnsi="Trebuchet MS"/>
          <w:color w:val="595959" w:themeColor="text1" w:themeTint="A6"/>
          <w:sz w:val="20"/>
          <w:szCs w:val="20"/>
          <w:lang w:val="en-US"/>
        </w:rPr>
      </w:pPr>
    </w:p>
    <w:p w14:paraId="3CB909B5" w14:textId="77777777" w:rsidR="004F4B10" w:rsidRPr="00517E9A" w:rsidRDefault="004F4B10" w:rsidP="005376DF">
      <w:pPr>
        <w:spacing w:after="120"/>
        <w:jc w:val="both"/>
        <w:rPr>
          <w:rFonts w:ascii="Trebuchet MS" w:hAnsi="Trebuchet MS"/>
          <w:color w:val="595959" w:themeColor="text1" w:themeTint="A6"/>
          <w:sz w:val="20"/>
          <w:szCs w:val="20"/>
          <w:lang w:val="en-US"/>
        </w:rPr>
      </w:pPr>
    </w:p>
    <w:p w14:paraId="11F3084A" w14:textId="4851F846" w:rsidR="00624CD7" w:rsidRPr="00517E9A" w:rsidRDefault="004F4B10" w:rsidP="00624CD7">
      <w:pPr>
        <w:spacing w:before="120" w:line="288" w:lineRule="auto"/>
        <w:jc w:val="both"/>
        <w:rPr>
          <w:rFonts w:ascii="Arial Narrow" w:hAnsi="Arial Narrow" w:cs="Arial"/>
          <w:b/>
          <w:iCs/>
          <w:noProof/>
          <w:color w:val="595959" w:themeColor="text1" w:themeTint="A6"/>
          <w:lang w:val="en-US"/>
        </w:rPr>
      </w:pPr>
      <w:r>
        <w:rPr>
          <w:rFonts w:ascii="Arial Narrow" w:hAnsi="Arial Narrow" w:cs="Arial"/>
          <w:b/>
          <w:iCs/>
          <w:noProof/>
          <w:color w:val="595959" w:themeColor="text1" w:themeTint="A6"/>
          <w:lang w:val="en-US"/>
        </w:rPr>
        <w:lastRenderedPageBreak/>
        <w:t>TABLE</w:t>
      </w:r>
      <w:r w:rsidR="00517E9A" w:rsidRPr="00517E9A">
        <w:rPr>
          <w:rFonts w:ascii="Arial Narrow" w:hAnsi="Arial Narrow" w:cs="Arial"/>
          <w:b/>
          <w:iCs/>
          <w:noProof/>
          <w:color w:val="595959" w:themeColor="text1" w:themeTint="A6"/>
          <w:lang w:val="en-US"/>
        </w:rPr>
        <w:t xml:space="preserve"> 12. COMPLEMENTARITY BETWEEN THE CAP 2023-2027 AND THE NRRP</w:t>
      </w:r>
    </w:p>
    <w:tbl>
      <w:tblPr>
        <w:tblW w:w="9781" w:type="dxa"/>
        <w:tblInd w:w="-1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500"/>
        <w:gridCol w:w="1657"/>
        <w:gridCol w:w="646"/>
        <w:gridCol w:w="1675"/>
        <w:gridCol w:w="1561"/>
        <w:gridCol w:w="1594"/>
        <w:gridCol w:w="2148"/>
      </w:tblGrid>
      <w:tr w:rsidR="00517E9A" w14:paraId="475452A9" w14:textId="77777777" w:rsidTr="00517E9A">
        <w:trPr>
          <w:trHeight w:val="255"/>
        </w:trPr>
        <w:tc>
          <w:tcPr>
            <w:tcW w:w="6039" w:type="dxa"/>
            <w:gridSpan w:val="5"/>
            <w:tcBorders>
              <w:top w:val="single" w:sz="4" w:space="0" w:color="auto"/>
              <w:left w:val="nil"/>
              <w:bottom w:val="single" w:sz="4" w:space="0" w:color="auto"/>
              <w:right w:val="nil"/>
            </w:tcBorders>
            <w:shd w:val="clear" w:color="auto" w:fill="D9D9D9"/>
            <w:vAlign w:val="center"/>
          </w:tcPr>
          <w:p w14:paraId="15B182AD" w14:textId="77777777" w:rsidR="00517E9A" w:rsidRDefault="00517E9A" w:rsidP="00AA41E7">
            <w:pPr>
              <w:widowControl/>
              <w:spacing w:before="40" w:after="20"/>
              <w:jc w:val="center"/>
              <w:rPr>
                <w:rFonts w:ascii="Arial Narrow" w:hAnsi="Arial Narrow" w:cs="Arial Narrow"/>
                <w:b/>
                <w:bCs/>
                <w:w w:val="0"/>
                <w:sz w:val="18"/>
                <w:szCs w:val="18"/>
              </w:rPr>
            </w:pPr>
            <w:r>
              <w:rPr>
                <w:rFonts w:ascii="Arial Narrow" w:hAnsi="Arial Narrow" w:cs="Arial Narrow"/>
                <w:b/>
                <w:bCs/>
                <w:w w:val="0"/>
                <w:sz w:val="18"/>
                <w:szCs w:val="18"/>
              </w:rPr>
              <w:t>CAP</w:t>
            </w:r>
          </w:p>
        </w:tc>
        <w:tc>
          <w:tcPr>
            <w:tcW w:w="3742" w:type="dxa"/>
            <w:gridSpan w:val="2"/>
            <w:tcBorders>
              <w:top w:val="single" w:sz="4" w:space="0" w:color="auto"/>
              <w:left w:val="nil"/>
              <w:bottom w:val="single" w:sz="4" w:space="0" w:color="auto"/>
              <w:right w:val="nil"/>
            </w:tcBorders>
            <w:shd w:val="clear" w:color="auto" w:fill="FFFFFF"/>
            <w:vAlign w:val="center"/>
          </w:tcPr>
          <w:p w14:paraId="55EEDAFF" w14:textId="77777777" w:rsidR="00517E9A" w:rsidRDefault="00517E9A" w:rsidP="00AA41E7">
            <w:pPr>
              <w:widowControl/>
              <w:spacing w:before="40" w:after="20"/>
              <w:jc w:val="center"/>
              <w:rPr>
                <w:rFonts w:ascii="Arial Narrow" w:hAnsi="Arial Narrow" w:cs="Arial Narrow"/>
                <w:b/>
                <w:bCs/>
                <w:w w:val="0"/>
                <w:sz w:val="18"/>
                <w:szCs w:val="18"/>
              </w:rPr>
            </w:pPr>
            <w:r>
              <w:rPr>
                <w:rFonts w:ascii="Arial Narrow" w:hAnsi="Arial Narrow" w:cs="Arial Narrow"/>
                <w:b/>
                <w:bCs/>
                <w:w w:val="0"/>
                <w:sz w:val="18"/>
                <w:szCs w:val="18"/>
              </w:rPr>
              <w:t xml:space="preserve">NRRP and </w:t>
            </w:r>
            <w:proofErr w:type="spellStart"/>
            <w:r>
              <w:rPr>
                <w:rFonts w:ascii="Arial Narrow" w:hAnsi="Arial Narrow" w:cs="Arial Narrow"/>
                <w:b/>
                <w:bCs/>
                <w:w w:val="0"/>
                <w:sz w:val="18"/>
                <w:szCs w:val="18"/>
              </w:rPr>
              <w:t>Supplementary</w:t>
            </w:r>
            <w:proofErr w:type="spellEnd"/>
            <w:r>
              <w:rPr>
                <w:rFonts w:ascii="Arial Narrow" w:hAnsi="Arial Narrow" w:cs="Arial Narrow"/>
                <w:b/>
                <w:bCs/>
                <w:w w:val="0"/>
                <w:sz w:val="18"/>
                <w:szCs w:val="18"/>
              </w:rPr>
              <w:t xml:space="preserve"> Fund</w:t>
            </w:r>
          </w:p>
        </w:tc>
      </w:tr>
      <w:tr w:rsidR="00517E9A" w14:paraId="06638BBF" w14:textId="77777777" w:rsidTr="00517E9A">
        <w:trPr>
          <w:trHeight w:val="255"/>
        </w:trPr>
        <w:tc>
          <w:tcPr>
            <w:tcW w:w="2157" w:type="dxa"/>
            <w:gridSpan w:val="2"/>
            <w:tcBorders>
              <w:top w:val="single" w:sz="4" w:space="0" w:color="auto"/>
              <w:left w:val="nil"/>
              <w:bottom w:val="single" w:sz="4" w:space="0" w:color="auto"/>
              <w:right w:val="nil"/>
            </w:tcBorders>
            <w:shd w:val="clear" w:color="auto" w:fill="FFFFFF"/>
            <w:vAlign w:val="center"/>
          </w:tcPr>
          <w:p w14:paraId="08F3F810" w14:textId="77777777" w:rsidR="00517E9A" w:rsidRDefault="00517E9A" w:rsidP="00AA41E7">
            <w:pPr>
              <w:widowControl/>
              <w:spacing w:before="40" w:after="20"/>
              <w:jc w:val="center"/>
              <w:rPr>
                <w:rFonts w:ascii="Arial Narrow" w:hAnsi="Arial Narrow" w:cs="Arial Narrow"/>
                <w:b/>
                <w:bCs/>
                <w:w w:val="0"/>
                <w:sz w:val="18"/>
                <w:szCs w:val="18"/>
              </w:rPr>
            </w:pPr>
            <w:proofErr w:type="spellStart"/>
            <w:r>
              <w:rPr>
                <w:rFonts w:ascii="Arial Narrow" w:hAnsi="Arial Narrow" w:cs="Arial Narrow"/>
                <w:b/>
                <w:bCs/>
                <w:w w:val="0"/>
                <w:sz w:val="18"/>
                <w:szCs w:val="18"/>
              </w:rPr>
              <w:t>Specific</w:t>
            </w:r>
            <w:proofErr w:type="spellEnd"/>
            <w:r>
              <w:rPr>
                <w:rFonts w:ascii="Arial Narrow" w:hAnsi="Arial Narrow" w:cs="Arial Narrow"/>
                <w:b/>
                <w:bCs/>
                <w:w w:val="0"/>
                <w:sz w:val="18"/>
                <w:szCs w:val="18"/>
              </w:rPr>
              <w:t xml:space="preserve"> goals</w:t>
            </w:r>
          </w:p>
        </w:tc>
        <w:tc>
          <w:tcPr>
            <w:tcW w:w="2321" w:type="dxa"/>
            <w:gridSpan w:val="2"/>
            <w:tcBorders>
              <w:top w:val="single" w:sz="4" w:space="0" w:color="auto"/>
              <w:left w:val="nil"/>
              <w:bottom w:val="single" w:sz="4" w:space="0" w:color="auto"/>
              <w:right w:val="nil"/>
            </w:tcBorders>
            <w:shd w:val="clear" w:color="auto" w:fill="FFFFFF"/>
            <w:vAlign w:val="center"/>
          </w:tcPr>
          <w:p w14:paraId="1280290D" w14:textId="77777777" w:rsidR="00517E9A" w:rsidRDefault="00517E9A" w:rsidP="00AA41E7">
            <w:pPr>
              <w:widowControl/>
              <w:spacing w:before="40" w:after="20"/>
              <w:jc w:val="center"/>
              <w:rPr>
                <w:rFonts w:ascii="Arial Narrow" w:hAnsi="Arial Narrow" w:cs="Arial Narrow"/>
                <w:b/>
                <w:bCs/>
                <w:w w:val="0"/>
                <w:sz w:val="18"/>
                <w:szCs w:val="18"/>
              </w:rPr>
            </w:pPr>
            <w:proofErr w:type="spellStart"/>
            <w:r>
              <w:rPr>
                <w:rFonts w:ascii="Arial Narrow" w:hAnsi="Arial Narrow" w:cs="Arial Narrow"/>
                <w:b/>
                <w:bCs/>
                <w:w w:val="0"/>
                <w:sz w:val="18"/>
                <w:szCs w:val="18"/>
              </w:rPr>
              <w:t>Recommendation</w:t>
            </w:r>
            <w:proofErr w:type="spellEnd"/>
          </w:p>
        </w:tc>
        <w:tc>
          <w:tcPr>
            <w:tcW w:w="1561" w:type="dxa"/>
            <w:tcBorders>
              <w:top w:val="single" w:sz="4" w:space="0" w:color="auto"/>
              <w:left w:val="nil"/>
              <w:bottom w:val="single" w:sz="4" w:space="0" w:color="auto"/>
              <w:right w:val="nil"/>
            </w:tcBorders>
            <w:shd w:val="clear" w:color="auto" w:fill="FFFFFF"/>
            <w:vAlign w:val="center"/>
          </w:tcPr>
          <w:p w14:paraId="59B383C7" w14:textId="77777777" w:rsidR="00517E9A" w:rsidRDefault="00517E9A" w:rsidP="00AA41E7">
            <w:pPr>
              <w:widowControl/>
              <w:spacing w:before="40" w:after="20"/>
              <w:jc w:val="center"/>
              <w:rPr>
                <w:rFonts w:ascii="Arial Narrow" w:hAnsi="Arial Narrow" w:cs="Arial Narrow"/>
                <w:b/>
                <w:bCs/>
                <w:w w:val="0"/>
                <w:sz w:val="18"/>
                <w:szCs w:val="18"/>
              </w:rPr>
            </w:pPr>
            <w:proofErr w:type="spellStart"/>
            <w:r>
              <w:rPr>
                <w:rFonts w:ascii="Arial Narrow" w:hAnsi="Arial Narrow" w:cs="Arial Narrow"/>
                <w:b/>
                <w:bCs/>
                <w:w w:val="0"/>
                <w:sz w:val="18"/>
                <w:szCs w:val="18"/>
              </w:rPr>
              <w:t>Requirement</w:t>
            </w:r>
            <w:proofErr w:type="spellEnd"/>
          </w:p>
        </w:tc>
        <w:tc>
          <w:tcPr>
            <w:tcW w:w="3742" w:type="dxa"/>
            <w:gridSpan w:val="2"/>
            <w:tcBorders>
              <w:top w:val="single" w:sz="4" w:space="0" w:color="auto"/>
              <w:left w:val="nil"/>
              <w:bottom w:val="single" w:sz="4" w:space="0" w:color="auto"/>
              <w:right w:val="nil"/>
            </w:tcBorders>
            <w:shd w:val="clear" w:color="auto" w:fill="D9D9D9"/>
            <w:vAlign w:val="center"/>
          </w:tcPr>
          <w:p w14:paraId="56D36200" w14:textId="77777777" w:rsidR="00517E9A" w:rsidRDefault="00517E9A" w:rsidP="00AA41E7">
            <w:pPr>
              <w:widowControl/>
              <w:spacing w:before="40" w:after="20"/>
              <w:jc w:val="center"/>
              <w:rPr>
                <w:rFonts w:ascii="Arial Narrow" w:hAnsi="Arial Narrow" w:cs="Arial Narrow"/>
                <w:b/>
                <w:bCs/>
                <w:w w:val="0"/>
                <w:sz w:val="18"/>
                <w:szCs w:val="18"/>
              </w:rPr>
            </w:pPr>
            <w:r>
              <w:rPr>
                <w:rFonts w:ascii="Arial Narrow" w:hAnsi="Arial Narrow" w:cs="Arial Narrow"/>
                <w:b/>
                <w:bCs/>
                <w:w w:val="0"/>
                <w:sz w:val="18"/>
                <w:szCs w:val="18"/>
              </w:rPr>
              <w:t>Investments</w:t>
            </w:r>
          </w:p>
        </w:tc>
      </w:tr>
      <w:tr w:rsidR="00517E9A" w:rsidRPr="00463EB5" w14:paraId="06D5603A" w14:textId="77777777" w:rsidTr="00517E9A">
        <w:trPr>
          <w:trHeight w:val="255"/>
        </w:trPr>
        <w:tc>
          <w:tcPr>
            <w:tcW w:w="500" w:type="dxa"/>
            <w:tcBorders>
              <w:top w:val="single" w:sz="4" w:space="0" w:color="auto"/>
              <w:left w:val="nil"/>
              <w:bottom w:val="single" w:sz="4" w:space="0" w:color="auto"/>
              <w:right w:val="nil"/>
            </w:tcBorders>
            <w:shd w:val="clear" w:color="auto" w:fill="FFFFFF"/>
            <w:vAlign w:val="center"/>
          </w:tcPr>
          <w:p w14:paraId="33F4C786" w14:textId="77777777" w:rsidR="00517E9A" w:rsidRDefault="00517E9A" w:rsidP="00AA41E7">
            <w:pPr>
              <w:widowControl/>
              <w:spacing w:before="40" w:after="20"/>
              <w:jc w:val="center"/>
              <w:rPr>
                <w:rFonts w:ascii="Arial Narrow" w:hAnsi="Arial Narrow" w:cs="Arial Narrow"/>
                <w:w w:val="0"/>
                <w:sz w:val="18"/>
                <w:szCs w:val="18"/>
              </w:rPr>
            </w:pPr>
            <w:r>
              <w:rPr>
                <w:rFonts w:ascii="Arial Narrow" w:hAnsi="Arial Narrow" w:cs="Arial Narrow"/>
                <w:w w:val="0"/>
                <w:sz w:val="18"/>
                <w:szCs w:val="18"/>
              </w:rPr>
              <w:t>OS3</w:t>
            </w:r>
          </w:p>
        </w:tc>
        <w:tc>
          <w:tcPr>
            <w:tcW w:w="1657" w:type="dxa"/>
            <w:tcBorders>
              <w:top w:val="single" w:sz="4" w:space="0" w:color="auto"/>
              <w:left w:val="nil"/>
              <w:bottom w:val="single" w:sz="4" w:space="0" w:color="auto"/>
              <w:right w:val="nil"/>
            </w:tcBorders>
            <w:shd w:val="clear" w:color="auto" w:fill="FFFFFF"/>
            <w:vAlign w:val="center"/>
          </w:tcPr>
          <w:p w14:paraId="50972ECE"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Improve the position of farmers in the value chain</w:t>
            </w:r>
          </w:p>
        </w:tc>
        <w:tc>
          <w:tcPr>
            <w:tcW w:w="646" w:type="dxa"/>
            <w:tcBorders>
              <w:top w:val="single" w:sz="4" w:space="0" w:color="auto"/>
              <w:left w:val="nil"/>
              <w:bottom w:val="single" w:sz="4" w:space="0" w:color="auto"/>
              <w:right w:val="nil"/>
            </w:tcBorders>
            <w:shd w:val="clear" w:color="auto" w:fill="D9D9D9"/>
            <w:vAlign w:val="center"/>
          </w:tcPr>
          <w:p w14:paraId="52EB677B" w14:textId="77777777" w:rsidR="00517E9A" w:rsidRDefault="00517E9A" w:rsidP="00AA41E7">
            <w:pPr>
              <w:widowControl/>
              <w:spacing w:before="40" w:after="20"/>
              <w:jc w:val="center"/>
              <w:rPr>
                <w:rFonts w:ascii="Arial Narrow" w:hAnsi="Arial Narrow" w:cs="Arial Narrow"/>
                <w:w w:val="0"/>
                <w:sz w:val="18"/>
                <w:szCs w:val="18"/>
              </w:rPr>
            </w:pPr>
            <w:r>
              <w:rPr>
                <w:rFonts w:ascii="Arial Narrow" w:hAnsi="Arial Narrow" w:cs="Arial Narrow"/>
                <w:w w:val="0"/>
                <w:sz w:val="18"/>
                <w:szCs w:val="18"/>
              </w:rPr>
              <w:t>CE1.3</w:t>
            </w:r>
          </w:p>
        </w:tc>
        <w:tc>
          <w:tcPr>
            <w:tcW w:w="1675" w:type="dxa"/>
            <w:tcBorders>
              <w:top w:val="single" w:sz="4" w:space="0" w:color="auto"/>
              <w:left w:val="nil"/>
              <w:bottom w:val="single" w:sz="4" w:space="0" w:color="auto"/>
              <w:right w:val="nil"/>
            </w:tcBorders>
            <w:shd w:val="clear" w:color="auto" w:fill="D9D9D9"/>
            <w:vAlign w:val="center"/>
          </w:tcPr>
          <w:p w14:paraId="2BEDC0F0"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Improve the position of farmers in the food supply chain</w:t>
            </w:r>
          </w:p>
        </w:tc>
        <w:tc>
          <w:tcPr>
            <w:tcW w:w="1561" w:type="dxa"/>
            <w:tcBorders>
              <w:top w:val="single" w:sz="4" w:space="0" w:color="auto"/>
              <w:left w:val="nil"/>
              <w:bottom w:val="single" w:sz="4" w:space="0" w:color="auto"/>
              <w:right w:val="nil"/>
            </w:tcBorders>
            <w:shd w:val="clear" w:color="auto" w:fill="FFFFFF"/>
            <w:vAlign w:val="center"/>
          </w:tcPr>
          <w:p w14:paraId="5B0F7633"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Promote the processes of business and supply integration and aggregation</w:t>
            </w:r>
          </w:p>
        </w:tc>
        <w:tc>
          <w:tcPr>
            <w:tcW w:w="1594" w:type="dxa"/>
            <w:tcBorders>
              <w:top w:val="single" w:sz="4" w:space="0" w:color="auto"/>
              <w:left w:val="nil"/>
              <w:bottom w:val="single" w:sz="4" w:space="0" w:color="auto"/>
              <w:right w:val="nil"/>
            </w:tcBorders>
            <w:shd w:val="clear" w:color="auto" w:fill="D9D9D9"/>
            <w:vAlign w:val="center"/>
          </w:tcPr>
          <w:p w14:paraId="7B367983" w14:textId="77777777" w:rsidR="00517E9A" w:rsidRDefault="00517E9A" w:rsidP="00AA41E7">
            <w:pPr>
              <w:widowControl/>
              <w:spacing w:before="40" w:after="20"/>
              <w:jc w:val="center"/>
              <w:rPr>
                <w:rFonts w:ascii="Arial Narrow" w:hAnsi="Arial Narrow" w:cs="Arial Narrow"/>
                <w:w w:val="0"/>
                <w:sz w:val="18"/>
                <w:szCs w:val="18"/>
              </w:rPr>
            </w:pPr>
            <w:proofErr w:type="spellStart"/>
            <w:r>
              <w:rPr>
                <w:rFonts w:ascii="Arial Narrow" w:hAnsi="Arial Narrow" w:cs="Arial Narrow"/>
                <w:w w:val="0"/>
                <w:sz w:val="18"/>
                <w:szCs w:val="18"/>
              </w:rPr>
              <w:t>Supplementary</w:t>
            </w:r>
            <w:proofErr w:type="spellEnd"/>
            <w:r>
              <w:rPr>
                <w:rFonts w:ascii="Arial Narrow" w:hAnsi="Arial Narrow" w:cs="Arial Narrow"/>
                <w:w w:val="0"/>
                <w:sz w:val="18"/>
                <w:szCs w:val="18"/>
              </w:rPr>
              <w:t xml:space="preserve"> Fund</w:t>
            </w:r>
          </w:p>
        </w:tc>
        <w:tc>
          <w:tcPr>
            <w:tcW w:w="2148" w:type="dxa"/>
            <w:tcBorders>
              <w:top w:val="single" w:sz="4" w:space="0" w:color="auto"/>
              <w:left w:val="nil"/>
              <w:bottom w:val="single" w:sz="4" w:space="0" w:color="auto"/>
              <w:right w:val="nil"/>
            </w:tcBorders>
            <w:shd w:val="clear" w:color="auto" w:fill="FFFFFF"/>
            <w:vAlign w:val="center"/>
          </w:tcPr>
          <w:p w14:paraId="73E08182"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Supply chain and district contracts for sustainable production</w:t>
            </w:r>
          </w:p>
        </w:tc>
      </w:tr>
      <w:tr w:rsidR="00517E9A" w:rsidRPr="00463EB5" w14:paraId="7DDF397F" w14:textId="77777777" w:rsidTr="00517E9A">
        <w:trPr>
          <w:trHeight w:val="255"/>
        </w:trPr>
        <w:tc>
          <w:tcPr>
            <w:tcW w:w="500" w:type="dxa"/>
            <w:tcBorders>
              <w:top w:val="single" w:sz="4" w:space="0" w:color="auto"/>
              <w:left w:val="nil"/>
              <w:bottom w:val="single" w:sz="4" w:space="0" w:color="auto"/>
              <w:right w:val="nil"/>
            </w:tcBorders>
            <w:shd w:val="clear" w:color="auto" w:fill="FFFFFF"/>
            <w:vAlign w:val="center"/>
          </w:tcPr>
          <w:p w14:paraId="42D93842" w14:textId="77777777" w:rsidR="00517E9A" w:rsidRDefault="00517E9A" w:rsidP="00AA41E7">
            <w:pPr>
              <w:widowControl/>
              <w:spacing w:before="40" w:after="20"/>
              <w:jc w:val="center"/>
              <w:rPr>
                <w:rFonts w:ascii="Arial Narrow" w:hAnsi="Arial Narrow" w:cs="Arial Narrow"/>
                <w:w w:val="0"/>
                <w:sz w:val="18"/>
                <w:szCs w:val="18"/>
              </w:rPr>
            </w:pPr>
            <w:r>
              <w:rPr>
                <w:rFonts w:ascii="Arial Narrow" w:hAnsi="Arial Narrow" w:cs="Arial Narrow"/>
                <w:w w:val="0"/>
                <w:sz w:val="18"/>
                <w:szCs w:val="18"/>
              </w:rPr>
              <w:t>OS2</w:t>
            </w:r>
          </w:p>
        </w:tc>
        <w:tc>
          <w:tcPr>
            <w:tcW w:w="1657" w:type="dxa"/>
            <w:tcBorders>
              <w:top w:val="single" w:sz="4" w:space="0" w:color="auto"/>
              <w:left w:val="nil"/>
              <w:bottom w:val="single" w:sz="4" w:space="0" w:color="auto"/>
              <w:right w:val="nil"/>
            </w:tcBorders>
            <w:shd w:val="clear" w:color="auto" w:fill="FFFFFF"/>
            <w:vAlign w:val="center"/>
          </w:tcPr>
          <w:p w14:paraId="225015BE" w14:textId="77777777" w:rsidR="00517E9A" w:rsidRDefault="00517E9A" w:rsidP="00AA41E7">
            <w:pPr>
              <w:widowControl/>
              <w:spacing w:before="40" w:after="20"/>
              <w:rPr>
                <w:rFonts w:ascii="Arial Narrow" w:hAnsi="Arial Narrow" w:cs="Arial Narrow"/>
                <w:w w:val="0"/>
                <w:sz w:val="18"/>
                <w:szCs w:val="18"/>
              </w:rPr>
            </w:pPr>
            <w:proofErr w:type="spellStart"/>
            <w:r>
              <w:rPr>
                <w:rFonts w:ascii="Arial Narrow" w:hAnsi="Arial Narrow" w:cs="Arial Narrow"/>
                <w:w w:val="0"/>
                <w:sz w:val="18"/>
                <w:szCs w:val="18"/>
              </w:rPr>
              <w:t>Increasing</w:t>
            </w:r>
            <w:proofErr w:type="spellEnd"/>
            <w:r>
              <w:rPr>
                <w:rFonts w:ascii="Arial Narrow" w:hAnsi="Arial Narrow" w:cs="Arial Narrow"/>
                <w:w w:val="0"/>
                <w:sz w:val="18"/>
                <w:szCs w:val="18"/>
              </w:rPr>
              <w:t xml:space="preserve"> </w:t>
            </w:r>
            <w:proofErr w:type="spellStart"/>
            <w:r>
              <w:rPr>
                <w:rFonts w:ascii="Arial Narrow" w:hAnsi="Arial Narrow" w:cs="Arial Narrow"/>
                <w:w w:val="0"/>
                <w:sz w:val="18"/>
                <w:szCs w:val="18"/>
              </w:rPr>
              <w:t>competitiveness</w:t>
            </w:r>
            <w:proofErr w:type="spellEnd"/>
          </w:p>
        </w:tc>
        <w:tc>
          <w:tcPr>
            <w:tcW w:w="646" w:type="dxa"/>
            <w:tcBorders>
              <w:top w:val="single" w:sz="4" w:space="0" w:color="auto"/>
              <w:left w:val="nil"/>
              <w:bottom w:val="single" w:sz="4" w:space="0" w:color="auto"/>
              <w:right w:val="nil"/>
            </w:tcBorders>
            <w:shd w:val="clear" w:color="auto" w:fill="D9D9D9"/>
            <w:vAlign w:val="center"/>
          </w:tcPr>
          <w:p w14:paraId="755EE4B9" w14:textId="77777777" w:rsidR="00517E9A" w:rsidRDefault="00517E9A" w:rsidP="00AA41E7">
            <w:pPr>
              <w:widowControl/>
              <w:spacing w:before="40" w:after="20"/>
              <w:jc w:val="center"/>
              <w:rPr>
                <w:rFonts w:ascii="Arial Narrow" w:hAnsi="Arial Narrow" w:cs="Arial Narrow"/>
                <w:w w:val="0"/>
                <w:sz w:val="18"/>
                <w:szCs w:val="18"/>
              </w:rPr>
            </w:pPr>
            <w:r>
              <w:rPr>
                <w:rFonts w:ascii="Arial Narrow" w:hAnsi="Arial Narrow" w:cs="Arial Narrow"/>
                <w:w w:val="0"/>
                <w:sz w:val="18"/>
                <w:szCs w:val="18"/>
              </w:rPr>
              <w:t>CE1.3</w:t>
            </w:r>
          </w:p>
        </w:tc>
        <w:tc>
          <w:tcPr>
            <w:tcW w:w="1675" w:type="dxa"/>
            <w:tcBorders>
              <w:top w:val="single" w:sz="4" w:space="0" w:color="auto"/>
              <w:left w:val="nil"/>
              <w:bottom w:val="single" w:sz="4" w:space="0" w:color="auto"/>
              <w:right w:val="nil"/>
            </w:tcBorders>
            <w:shd w:val="clear" w:color="auto" w:fill="D9D9D9"/>
            <w:vAlign w:val="center"/>
          </w:tcPr>
          <w:p w14:paraId="54799114"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Improve the position of farmers in the food supply chain</w:t>
            </w:r>
          </w:p>
        </w:tc>
        <w:tc>
          <w:tcPr>
            <w:tcW w:w="1561" w:type="dxa"/>
            <w:tcBorders>
              <w:top w:val="single" w:sz="4" w:space="0" w:color="auto"/>
              <w:left w:val="nil"/>
              <w:bottom w:val="single" w:sz="4" w:space="0" w:color="auto"/>
              <w:right w:val="nil"/>
            </w:tcBorders>
            <w:shd w:val="clear" w:color="auto" w:fill="FFFFFF"/>
            <w:vAlign w:val="center"/>
          </w:tcPr>
          <w:p w14:paraId="56BFA07A"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Strengthening the quality and accessibility of infrastructure networks</w:t>
            </w:r>
          </w:p>
        </w:tc>
        <w:tc>
          <w:tcPr>
            <w:tcW w:w="1594" w:type="dxa"/>
            <w:tcBorders>
              <w:top w:val="single" w:sz="4" w:space="0" w:color="auto"/>
              <w:left w:val="nil"/>
              <w:bottom w:val="single" w:sz="4" w:space="0" w:color="auto"/>
              <w:right w:val="nil"/>
            </w:tcBorders>
            <w:shd w:val="clear" w:color="auto" w:fill="D9D9D9"/>
            <w:vAlign w:val="center"/>
          </w:tcPr>
          <w:p w14:paraId="107C5DF6" w14:textId="77777777" w:rsidR="00517E9A" w:rsidRDefault="00517E9A" w:rsidP="00AA41E7">
            <w:pPr>
              <w:widowControl/>
              <w:spacing w:before="40" w:after="20"/>
              <w:jc w:val="center"/>
              <w:rPr>
                <w:rFonts w:ascii="Arial Narrow" w:hAnsi="Arial Narrow" w:cs="Arial Narrow"/>
                <w:w w:val="0"/>
                <w:sz w:val="18"/>
                <w:szCs w:val="18"/>
              </w:rPr>
            </w:pPr>
            <w:r>
              <w:rPr>
                <w:rFonts w:ascii="Arial Narrow" w:hAnsi="Arial Narrow" w:cs="Arial Narrow"/>
                <w:w w:val="0"/>
                <w:sz w:val="18"/>
                <w:szCs w:val="18"/>
              </w:rPr>
              <w:t>M2C1 I.2.1</w:t>
            </w:r>
          </w:p>
        </w:tc>
        <w:tc>
          <w:tcPr>
            <w:tcW w:w="2148" w:type="dxa"/>
            <w:tcBorders>
              <w:top w:val="single" w:sz="4" w:space="0" w:color="auto"/>
              <w:left w:val="nil"/>
              <w:bottom w:val="single" w:sz="4" w:space="0" w:color="auto"/>
              <w:right w:val="nil"/>
            </w:tcBorders>
            <w:shd w:val="clear" w:color="auto" w:fill="FFFFFF"/>
            <w:vAlign w:val="center"/>
          </w:tcPr>
          <w:p w14:paraId="0E2D6097"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 xml:space="preserve">Logistics development for agribusiness, fisheries and aquaculture, forestry, </w:t>
            </w:r>
            <w:proofErr w:type="gramStart"/>
            <w:r w:rsidRPr="009B3D4B">
              <w:rPr>
                <w:rFonts w:ascii="Arial Narrow" w:hAnsi="Arial Narrow" w:cs="Arial Narrow"/>
                <w:w w:val="0"/>
                <w:sz w:val="18"/>
                <w:szCs w:val="18"/>
                <w:lang w:val="en-US"/>
              </w:rPr>
              <w:t>floriculture</w:t>
            </w:r>
            <w:proofErr w:type="gramEnd"/>
            <w:r w:rsidRPr="009B3D4B">
              <w:rPr>
                <w:rFonts w:ascii="Arial Narrow" w:hAnsi="Arial Narrow" w:cs="Arial Narrow"/>
                <w:w w:val="0"/>
                <w:sz w:val="18"/>
                <w:szCs w:val="18"/>
                <w:lang w:val="en-US"/>
              </w:rPr>
              <w:t xml:space="preserve"> and nursery sectors</w:t>
            </w:r>
          </w:p>
        </w:tc>
      </w:tr>
      <w:tr w:rsidR="00517E9A" w14:paraId="3CA45911" w14:textId="77777777" w:rsidTr="00517E9A">
        <w:trPr>
          <w:trHeight w:val="255"/>
        </w:trPr>
        <w:tc>
          <w:tcPr>
            <w:tcW w:w="500" w:type="dxa"/>
            <w:vMerge w:val="restart"/>
            <w:tcBorders>
              <w:top w:val="single" w:sz="4" w:space="0" w:color="auto"/>
              <w:left w:val="nil"/>
              <w:bottom w:val="single" w:sz="4" w:space="0" w:color="auto"/>
              <w:right w:val="nil"/>
            </w:tcBorders>
            <w:shd w:val="clear" w:color="auto" w:fill="FFFFFF"/>
            <w:vAlign w:val="center"/>
          </w:tcPr>
          <w:p w14:paraId="77ADC9A0" w14:textId="77777777" w:rsidR="00517E9A" w:rsidRDefault="00517E9A" w:rsidP="00AA41E7">
            <w:pPr>
              <w:widowControl/>
              <w:spacing w:before="40" w:after="20"/>
              <w:jc w:val="center"/>
              <w:rPr>
                <w:rFonts w:ascii="Arial Narrow" w:hAnsi="Arial Narrow" w:cs="Arial Narrow"/>
                <w:w w:val="0"/>
                <w:sz w:val="18"/>
                <w:szCs w:val="18"/>
              </w:rPr>
            </w:pPr>
            <w:r>
              <w:rPr>
                <w:rFonts w:ascii="Arial Narrow" w:hAnsi="Arial Narrow" w:cs="Arial Narrow"/>
                <w:w w:val="0"/>
                <w:sz w:val="18"/>
                <w:szCs w:val="18"/>
              </w:rPr>
              <w:t>OS4</w:t>
            </w:r>
          </w:p>
        </w:tc>
        <w:tc>
          <w:tcPr>
            <w:tcW w:w="1657" w:type="dxa"/>
            <w:vMerge w:val="restart"/>
            <w:tcBorders>
              <w:top w:val="single" w:sz="4" w:space="0" w:color="auto"/>
              <w:left w:val="nil"/>
              <w:bottom w:val="single" w:sz="4" w:space="0" w:color="auto"/>
              <w:right w:val="nil"/>
            </w:tcBorders>
            <w:shd w:val="clear" w:color="auto" w:fill="FFFFFF"/>
            <w:vAlign w:val="center"/>
          </w:tcPr>
          <w:p w14:paraId="611CEF24"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Taking action to combat climate change</w:t>
            </w:r>
          </w:p>
        </w:tc>
        <w:tc>
          <w:tcPr>
            <w:tcW w:w="646" w:type="dxa"/>
            <w:vMerge w:val="restart"/>
            <w:tcBorders>
              <w:top w:val="single" w:sz="4" w:space="0" w:color="auto"/>
              <w:left w:val="nil"/>
              <w:bottom w:val="single" w:sz="4" w:space="0" w:color="auto"/>
              <w:right w:val="nil"/>
            </w:tcBorders>
            <w:shd w:val="clear" w:color="auto" w:fill="D9D9D9"/>
            <w:vAlign w:val="center"/>
          </w:tcPr>
          <w:p w14:paraId="2E0F2733" w14:textId="77777777" w:rsidR="00517E9A" w:rsidRDefault="00517E9A" w:rsidP="00AA41E7">
            <w:pPr>
              <w:widowControl/>
              <w:spacing w:before="40" w:after="20"/>
              <w:jc w:val="center"/>
              <w:rPr>
                <w:rFonts w:ascii="Arial Narrow" w:hAnsi="Arial Narrow" w:cs="Arial Narrow"/>
                <w:w w:val="0"/>
                <w:sz w:val="18"/>
                <w:szCs w:val="18"/>
              </w:rPr>
            </w:pPr>
            <w:r>
              <w:rPr>
                <w:rFonts w:ascii="Arial Narrow" w:hAnsi="Arial Narrow" w:cs="Arial Narrow"/>
                <w:w w:val="0"/>
                <w:sz w:val="18"/>
                <w:szCs w:val="18"/>
              </w:rPr>
              <w:t>CE2.2</w:t>
            </w:r>
          </w:p>
        </w:tc>
        <w:tc>
          <w:tcPr>
            <w:tcW w:w="1675" w:type="dxa"/>
            <w:vMerge w:val="restart"/>
            <w:tcBorders>
              <w:top w:val="single" w:sz="4" w:space="0" w:color="auto"/>
              <w:left w:val="nil"/>
              <w:bottom w:val="single" w:sz="4" w:space="0" w:color="auto"/>
              <w:right w:val="nil"/>
            </w:tcBorders>
            <w:shd w:val="clear" w:color="auto" w:fill="D9D9D9"/>
            <w:vAlign w:val="center"/>
          </w:tcPr>
          <w:p w14:paraId="165F9151"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Slowing climate change and reducing emissions of greenhouse gases and air pollutants</w:t>
            </w:r>
          </w:p>
        </w:tc>
        <w:tc>
          <w:tcPr>
            <w:tcW w:w="1561" w:type="dxa"/>
            <w:tcBorders>
              <w:top w:val="single" w:sz="4" w:space="0" w:color="auto"/>
              <w:left w:val="nil"/>
              <w:bottom w:val="single" w:sz="4" w:space="0" w:color="auto"/>
              <w:right w:val="nil"/>
            </w:tcBorders>
            <w:shd w:val="clear" w:color="auto" w:fill="FFFFFF"/>
            <w:vAlign w:val="center"/>
          </w:tcPr>
          <w:p w14:paraId="6B569655"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 xml:space="preserve">Incentivize the production and use of energy from renewable sources </w:t>
            </w:r>
          </w:p>
        </w:tc>
        <w:tc>
          <w:tcPr>
            <w:tcW w:w="1594" w:type="dxa"/>
            <w:tcBorders>
              <w:top w:val="single" w:sz="4" w:space="0" w:color="auto"/>
              <w:left w:val="nil"/>
              <w:bottom w:val="single" w:sz="4" w:space="0" w:color="auto"/>
              <w:right w:val="nil"/>
            </w:tcBorders>
            <w:shd w:val="clear" w:color="auto" w:fill="D9D9D9"/>
            <w:vAlign w:val="center"/>
          </w:tcPr>
          <w:p w14:paraId="73D226C6" w14:textId="77777777" w:rsidR="00517E9A" w:rsidRDefault="00517E9A" w:rsidP="00AA41E7">
            <w:pPr>
              <w:widowControl/>
              <w:spacing w:before="40" w:after="20"/>
              <w:jc w:val="center"/>
              <w:rPr>
                <w:rFonts w:ascii="Arial Narrow" w:hAnsi="Arial Narrow" w:cs="Arial Narrow"/>
                <w:w w:val="0"/>
                <w:sz w:val="18"/>
                <w:szCs w:val="18"/>
              </w:rPr>
            </w:pPr>
            <w:r>
              <w:rPr>
                <w:rFonts w:ascii="Arial Narrow" w:hAnsi="Arial Narrow" w:cs="Arial Narrow"/>
                <w:w w:val="0"/>
                <w:sz w:val="18"/>
                <w:szCs w:val="18"/>
              </w:rPr>
              <w:t>M2C1 I.2.2</w:t>
            </w:r>
          </w:p>
        </w:tc>
        <w:tc>
          <w:tcPr>
            <w:tcW w:w="2148" w:type="dxa"/>
            <w:tcBorders>
              <w:top w:val="single" w:sz="4" w:space="0" w:color="auto"/>
              <w:left w:val="nil"/>
              <w:bottom w:val="single" w:sz="4" w:space="0" w:color="auto"/>
              <w:right w:val="nil"/>
            </w:tcBorders>
            <w:shd w:val="clear" w:color="auto" w:fill="FFFFFF"/>
            <w:vAlign w:val="center"/>
          </w:tcPr>
          <w:p w14:paraId="60266959" w14:textId="77777777" w:rsidR="00517E9A" w:rsidRDefault="00517E9A" w:rsidP="00AA41E7">
            <w:pPr>
              <w:widowControl/>
              <w:spacing w:before="40" w:after="20"/>
              <w:rPr>
                <w:rFonts w:ascii="Arial Narrow" w:hAnsi="Arial Narrow" w:cs="Arial Narrow"/>
                <w:w w:val="0"/>
                <w:sz w:val="18"/>
                <w:szCs w:val="18"/>
              </w:rPr>
            </w:pPr>
            <w:proofErr w:type="spellStart"/>
            <w:r>
              <w:rPr>
                <w:rFonts w:ascii="Arial Narrow" w:hAnsi="Arial Narrow" w:cs="Arial Narrow"/>
                <w:w w:val="0"/>
                <w:sz w:val="18"/>
                <w:szCs w:val="18"/>
              </w:rPr>
              <w:t>Agrisolar</w:t>
            </w:r>
            <w:proofErr w:type="spellEnd"/>
            <w:r>
              <w:rPr>
                <w:rFonts w:ascii="Arial Narrow" w:hAnsi="Arial Narrow" w:cs="Arial Narrow"/>
                <w:w w:val="0"/>
                <w:sz w:val="18"/>
                <w:szCs w:val="18"/>
              </w:rPr>
              <w:t xml:space="preserve"> Park</w:t>
            </w:r>
          </w:p>
        </w:tc>
      </w:tr>
      <w:tr w:rsidR="00517E9A" w:rsidRPr="00463EB5" w14:paraId="78FBD64F" w14:textId="77777777" w:rsidTr="00517E9A">
        <w:trPr>
          <w:trHeight w:val="255"/>
        </w:trPr>
        <w:tc>
          <w:tcPr>
            <w:tcW w:w="500" w:type="dxa"/>
            <w:vMerge/>
            <w:tcBorders>
              <w:top w:val="single" w:sz="4" w:space="0" w:color="auto"/>
              <w:left w:val="nil"/>
              <w:bottom w:val="single" w:sz="4" w:space="0" w:color="auto"/>
              <w:right w:val="nil"/>
            </w:tcBorders>
            <w:shd w:val="clear" w:color="auto" w:fill="FFFFFF"/>
            <w:vAlign w:val="center"/>
          </w:tcPr>
          <w:p w14:paraId="07F9C3EF" w14:textId="77777777" w:rsidR="00517E9A" w:rsidRDefault="00517E9A" w:rsidP="00AA41E7">
            <w:pPr>
              <w:widowControl/>
              <w:spacing w:before="40" w:after="20"/>
              <w:rPr>
                <w:rFonts w:ascii="Arial Narrow" w:hAnsi="Arial Narrow" w:cs="Arial Narrow"/>
                <w:w w:val="0"/>
                <w:sz w:val="18"/>
                <w:szCs w:val="18"/>
              </w:rPr>
            </w:pPr>
          </w:p>
        </w:tc>
        <w:tc>
          <w:tcPr>
            <w:tcW w:w="1657" w:type="dxa"/>
            <w:vMerge/>
            <w:tcBorders>
              <w:top w:val="single" w:sz="4" w:space="0" w:color="auto"/>
              <w:left w:val="nil"/>
              <w:bottom w:val="single" w:sz="4" w:space="0" w:color="auto"/>
              <w:right w:val="nil"/>
            </w:tcBorders>
            <w:shd w:val="clear" w:color="auto" w:fill="FFFFFF"/>
            <w:vAlign w:val="center"/>
          </w:tcPr>
          <w:p w14:paraId="13DE6ABD" w14:textId="77777777" w:rsidR="00517E9A" w:rsidRDefault="00517E9A" w:rsidP="00AA41E7">
            <w:pPr>
              <w:widowControl/>
              <w:spacing w:before="40" w:after="20"/>
              <w:rPr>
                <w:rFonts w:ascii="Arial Narrow" w:hAnsi="Arial Narrow" w:cs="Arial Narrow"/>
                <w:w w:val="0"/>
                <w:sz w:val="18"/>
                <w:szCs w:val="18"/>
              </w:rPr>
            </w:pPr>
          </w:p>
        </w:tc>
        <w:tc>
          <w:tcPr>
            <w:tcW w:w="646" w:type="dxa"/>
            <w:vMerge/>
            <w:tcBorders>
              <w:top w:val="single" w:sz="4" w:space="0" w:color="auto"/>
              <w:left w:val="nil"/>
              <w:bottom w:val="single" w:sz="4" w:space="0" w:color="auto"/>
              <w:right w:val="nil"/>
            </w:tcBorders>
            <w:shd w:val="clear" w:color="auto" w:fill="D9D9D9"/>
            <w:vAlign w:val="center"/>
          </w:tcPr>
          <w:p w14:paraId="56B19001" w14:textId="77777777" w:rsidR="00517E9A" w:rsidRDefault="00517E9A" w:rsidP="00AA41E7">
            <w:pPr>
              <w:widowControl/>
              <w:spacing w:before="40" w:after="20"/>
              <w:rPr>
                <w:rFonts w:ascii="Arial Narrow" w:hAnsi="Arial Narrow" w:cs="Arial Narrow"/>
                <w:w w:val="0"/>
                <w:sz w:val="18"/>
                <w:szCs w:val="18"/>
              </w:rPr>
            </w:pPr>
          </w:p>
        </w:tc>
        <w:tc>
          <w:tcPr>
            <w:tcW w:w="1675" w:type="dxa"/>
            <w:vMerge/>
            <w:tcBorders>
              <w:top w:val="single" w:sz="4" w:space="0" w:color="auto"/>
              <w:left w:val="nil"/>
              <w:bottom w:val="single" w:sz="4" w:space="0" w:color="auto"/>
              <w:right w:val="nil"/>
            </w:tcBorders>
            <w:shd w:val="clear" w:color="auto" w:fill="D9D9D9"/>
            <w:vAlign w:val="center"/>
          </w:tcPr>
          <w:p w14:paraId="74EE4ACE" w14:textId="77777777" w:rsidR="00517E9A" w:rsidRDefault="00517E9A" w:rsidP="00AA41E7">
            <w:pPr>
              <w:widowControl/>
              <w:spacing w:before="40" w:after="20"/>
              <w:rPr>
                <w:rFonts w:ascii="Arial Narrow" w:hAnsi="Arial Narrow" w:cs="Arial Narrow"/>
                <w:w w:val="0"/>
                <w:sz w:val="18"/>
                <w:szCs w:val="18"/>
              </w:rPr>
            </w:pPr>
          </w:p>
        </w:tc>
        <w:tc>
          <w:tcPr>
            <w:tcW w:w="1561" w:type="dxa"/>
            <w:tcBorders>
              <w:top w:val="single" w:sz="4" w:space="0" w:color="auto"/>
              <w:left w:val="nil"/>
              <w:bottom w:val="single" w:sz="4" w:space="0" w:color="auto"/>
              <w:right w:val="nil"/>
            </w:tcBorders>
            <w:shd w:val="clear" w:color="auto" w:fill="FFFFFF"/>
            <w:vAlign w:val="center"/>
          </w:tcPr>
          <w:p w14:paraId="74B8B5DF"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Promoting the sustainable use of plant protection products.</w:t>
            </w:r>
          </w:p>
        </w:tc>
        <w:tc>
          <w:tcPr>
            <w:tcW w:w="1594" w:type="dxa"/>
            <w:tcBorders>
              <w:top w:val="single" w:sz="4" w:space="0" w:color="auto"/>
              <w:left w:val="nil"/>
              <w:bottom w:val="single" w:sz="4" w:space="0" w:color="auto"/>
              <w:right w:val="nil"/>
            </w:tcBorders>
            <w:shd w:val="clear" w:color="auto" w:fill="D9D9D9"/>
            <w:vAlign w:val="center"/>
          </w:tcPr>
          <w:p w14:paraId="6D2621B9" w14:textId="77777777" w:rsidR="00517E9A" w:rsidRDefault="00517E9A" w:rsidP="00AA41E7">
            <w:pPr>
              <w:widowControl/>
              <w:spacing w:before="40" w:after="20"/>
              <w:jc w:val="center"/>
              <w:rPr>
                <w:rFonts w:ascii="Arial Narrow" w:hAnsi="Arial Narrow" w:cs="Arial Narrow"/>
                <w:w w:val="0"/>
                <w:sz w:val="18"/>
                <w:szCs w:val="18"/>
              </w:rPr>
            </w:pPr>
            <w:r>
              <w:rPr>
                <w:rFonts w:ascii="Arial Narrow" w:hAnsi="Arial Narrow" w:cs="Arial Narrow"/>
                <w:w w:val="0"/>
                <w:sz w:val="18"/>
                <w:szCs w:val="18"/>
              </w:rPr>
              <w:t>M2C1 I.2.3</w:t>
            </w:r>
          </w:p>
        </w:tc>
        <w:tc>
          <w:tcPr>
            <w:tcW w:w="2148" w:type="dxa"/>
            <w:tcBorders>
              <w:top w:val="single" w:sz="4" w:space="0" w:color="auto"/>
              <w:left w:val="nil"/>
              <w:bottom w:val="single" w:sz="4" w:space="0" w:color="auto"/>
              <w:right w:val="nil"/>
            </w:tcBorders>
            <w:shd w:val="clear" w:color="auto" w:fill="FFFFFF"/>
            <w:vAlign w:val="center"/>
          </w:tcPr>
          <w:p w14:paraId="6AE89DD5"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Innovation and mechanization in agriculture and food sector</w:t>
            </w:r>
          </w:p>
        </w:tc>
      </w:tr>
      <w:tr w:rsidR="00517E9A" w:rsidRPr="00463EB5" w14:paraId="499A57CB" w14:textId="77777777" w:rsidTr="00517E9A">
        <w:trPr>
          <w:trHeight w:val="255"/>
        </w:trPr>
        <w:tc>
          <w:tcPr>
            <w:tcW w:w="500" w:type="dxa"/>
            <w:vMerge/>
            <w:tcBorders>
              <w:top w:val="single" w:sz="4" w:space="0" w:color="auto"/>
              <w:left w:val="nil"/>
              <w:bottom w:val="single" w:sz="4" w:space="0" w:color="auto"/>
              <w:right w:val="nil"/>
            </w:tcBorders>
            <w:shd w:val="clear" w:color="auto" w:fill="FFFFFF"/>
            <w:vAlign w:val="center"/>
          </w:tcPr>
          <w:p w14:paraId="70597E1F" w14:textId="77777777" w:rsidR="00517E9A" w:rsidRPr="009B3D4B" w:rsidRDefault="00517E9A" w:rsidP="00AA41E7">
            <w:pPr>
              <w:widowControl/>
              <w:spacing w:before="40" w:after="20"/>
              <w:rPr>
                <w:rFonts w:ascii="Arial Narrow" w:hAnsi="Arial Narrow" w:cs="Arial Narrow"/>
                <w:w w:val="0"/>
                <w:sz w:val="18"/>
                <w:szCs w:val="18"/>
                <w:lang w:val="en-US"/>
              </w:rPr>
            </w:pPr>
          </w:p>
        </w:tc>
        <w:tc>
          <w:tcPr>
            <w:tcW w:w="1657" w:type="dxa"/>
            <w:vMerge/>
            <w:tcBorders>
              <w:top w:val="single" w:sz="4" w:space="0" w:color="auto"/>
              <w:left w:val="nil"/>
              <w:bottom w:val="single" w:sz="4" w:space="0" w:color="auto"/>
              <w:right w:val="nil"/>
            </w:tcBorders>
            <w:shd w:val="clear" w:color="auto" w:fill="FFFFFF"/>
            <w:vAlign w:val="center"/>
          </w:tcPr>
          <w:p w14:paraId="34485AFB" w14:textId="77777777" w:rsidR="00517E9A" w:rsidRPr="009B3D4B" w:rsidRDefault="00517E9A" w:rsidP="00AA41E7">
            <w:pPr>
              <w:widowControl/>
              <w:spacing w:before="40" w:after="20"/>
              <w:rPr>
                <w:rFonts w:ascii="Arial Narrow" w:hAnsi="Arial Narrow" w:cs="Arial Narrow"/>
                <w:w w:val="0"/>
                <w:sz w:val="18"/>
                <w:szCs w:val="18"/>
                <w:lang w:val="en-US"/>
              </w:rPr>
            </w:pPr>
          </w:p>
        </w:tc>
        <w:tc>
          <w:tcPr>
            <w:tcW w:w="646" w:type="dxa"/>
            <w:tcBorders>
              <w:top w:val="single" w:sz="4" w:space="0" w:color="auto"/>
              <w:left w:val="nil"/>
              <w:bottom w:val="single" w:sz="4" w:space="0" w:color="auto"/>
              <w:right w:val="nil"/>
            </w:tcBorders>
            <w:shd w:val="clear" w:color="auto" w:fill="D9D9D9"/>
            <w:vAlign w:val="center"/>
          </w:tcPr>
          <w:p w14:paraId="56D7226E" w14:textId="77777777" w:rsidR="00517E9A" w:rsidRDefault="00517E9A" w:rsidP="00AA41E7">
            <w:pPr>
              <w:widowControl/>
              <w:spacing w:before="40" w:after="20"/>
              <w:jc w:val="center"/>
              <w:rPr>
                <w:rFonts w:ascii="Arial Narrow" w:hAnsi="Arial Narrow" w:cs="Arial Narrow"/>
                <w:w w:val="0"/>
                <w:sz w:val="18"/>
                <w:szCs w:val="18"/>
              </w:rPr>
            </w:pPr>
            <w:r>
              <w:rPr>
                <w:rFonts w:ascii="Arial Narrow" w:hAnsi="Arial Narrow" w:cs="Arial Narrow"/>
                <w:w w:val="0"/>
                <w:sz w:val="18"/>
                <w:szCs w:val="18"/>
              </w:rPr>
              <w:t>CE2.3</w:t>
            </w:r>
          </w:p>
        </w:tc>
        <w:tc>
          <w:tcPr>
            <w:tcW w:w="1675" w:type="dxa"/>
            <w:tcBorders>
              <w:top w:val="single" w:sz="4" w:space="0" w:color="auto"/>
              <w:left w:val="nil"/>
              <w:bottom w:val="single" w:sz="4" w:space="0" w:color="auto"/>
              <w:right w:val="nil"/>
            </w:tcBorders>
            <w:shd w:val="clear" w:color="auto" w:fill="D9D9D9"/>
            <w:vAlign w:val="center"/>
          </w:tcPr>
          <w:p w14:paraId="1650A83C"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Promote climate change adaptation and resilience by encouraging sustainable management of agricultural and forest land</w:t>
            </w:r>
          </w:p>
        </w:tc>
        <w:tc>
          <w:tcPr>
            <w:tcW w:w="1561" w:type="dxa"/>
            <w:tcBorders>
              <w:top w:val="single" w:sz="4" w:space="0" w:color="auto"/>
              <w:left w:val="nil"/>
              <w:bottom w:val="single" w:sz="4" w:space="0" w:color="auto"/>
              <w:right w:val="nil"/>
            </w:tcBorders>
            <w:shd w:val="clear" w:color="auto" w:fill="FFFFFF"/>
            <w:vAlign w:val="center"/>
          </w:tcPr>
          <w:p w14:paraId="2F52CA35"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Efficient and sustainable use of water resources</w:t>
            </w:r>
          </w:p>
        </w:tc>
        <w:tc>
          <w:tcPr>
            <w:tcW w:w="1594" w:type="dxa"/>
            <w:tcBorders>
              <w:top w:val="single" w:sz="4" w:space="0" w:color="auto"/>
              <w:left w:val="nil"/>
              <w:bottom w:val="single" w:sz="4" w:space="0" w:color="auto"/>
              <w:right w:val="nil"/>
            </w:tcBorders>
            <w:shd w:val="clear" w:color="auto" w:fill="D9D9D9"/>
            <w:vAlign w:val="center"/>
          </w:tcPr>
          <w:p w14:paraId="162426E0" w14:textId="77777777" w:rsidR="00517E9A" w:rsidRDefault="00517E9A" w:rsidP="00AA41E7">
            <w:pPr>
              <w:widowControl/>
              <w:spacing w:before="40" w:after="20"/>
              <w:jc w:val="center"/>
              <w:rPr>
                <w:rFonts w:ascii="Arial Narrow" w:hAnsi="Arial Narrow" w:cs="Arial Narrow"/>
                <w:w w:val="0"/>
                <w:sz w:val="18"/>
                <w:szCs w:val="18"/>
              </w:rPr>
            </w:pPr>
            <w:r>
              <w:rPr>
                <w:rFonts w:ascii="Arial Narrow" w:hAnsi="Arial Narrow" w:cs="Arial Narrow"/>
                <w:w w:val="0"/>
                <w:sz w:val="18"/>
                <w:szCs w:val="18"/>
              </w:rPr>
              <w:t>M2C4 I.4.3</w:t>
            </w:r>
          </w:p>
        </w:tc>
        <w:tc>
          <w:tcPr>
            <w:tcW w:w="2148" w:type="dxa"/>
            <w:tcBorders>
              <w:top w:val="single" w:sz="4" w:space="0" w:color="auto"/>
              <w:left w:val="nil"/>
              <w:bottom w:val="single" w:sz="4" w:space="0" w:color="auto"/>
              <w:right w:val="nil"/>
            </w:tcBorders>
            <w:shd w:val="clear" w:color="auto" w:fill="FFFFFF"/>
            <w:vAlign w:val="center"/>
          </w:tcPr>
          <w:p w14:paraId="03F42E21" w14:textId="77777777" w:rsidR="00517E9A" w:rsidRPr="009B3D4B" w:rsidRDefault="00517E9A" w:rsidP="00AA41E7">
            <w:pPr>
              <w:widowControl/>
              <w:spacing w:before="40" w:after="20"/>
              <w:rPr>
                <w:rFonts w:ascii="Arial Narrow" w:hAnsi="Arial Narrow" w:cs="Arial Narrow"/>
                <w:w w:val="0"/>
                <w:sz w:val="18"/>
                <w:szCs w:val="18"/>
                <w:lang w:val="en-US"/>
              </w:rPr>
            </w:pPr>
            <w:r w:rsidRPr="009B3D4B">
              <w:rPr>
                <w:rFonts w:ascii="Arial Narrow" w:hAnsi="Arial Narrow" w:cs="Arial Narrow"/>
                <w:w w:val="0"/>
                <w:sz w:val="18"/>
                <w:szCs w:val="18"/>
                <w:lang w:val="en-US"/>
              </w:rPr>
              <w:t xml:space="preserve">Investments in irrigated </w:t>
            </w:r>
            <w:proofErr w:type="spellStart"/>
            <w:r w:rsidRPr="009B3D4B">
              <w:rPr>
                <w:rFonts w:ascii="Arial Narrow" w:hAnsi="Arial Narrow" w:cs="Arial Narrow"/>
                <w:w w:val="0"/>
                <w:sz w:val="18"/>
                <w:szCs w:val="18"/>
                <w:lang w:val="en-US"/>
              </w:rPr>
              <w:t>agrosystem</w:t>
            </w:r>
            <w:proofErr w:type="spellEnd"/>
            <w:r w:rsidRPr="009B3D4B">
              <w:rPr>
                <w:rFonts w:ascii="Arial Narrow" w:hAnsi="Arial Narrow" w:cs="Arial Narrow"/>
                <w:w w:val="0"/>
                <w:sz w:val="18"/>
                <w:szCs w:val="18"/>
                <w:lang w:val="en-US"/>
              </w:rPr>
              <w:t xml:space="preserve"> resilience for better water resource management</w:t>
            </w:r>
          </w:p>
        </w:tc>
      </w:tr>
    </w:tbl>
    <w:p w14:paraId="76E3B911" w14:textId="331FA2FD" w:rsidR="00624CD7" w:rsidRPr="00517E9A" w:rsidRDefault="00517E9A" w:rsidP="003F7923">
      <w:pPr>
        <w:suppressAutoHyphens/>
        <w:spacing w:before="60"/>
        <w:jc w:val="both"/>
        <w:rPr>
          <w:rFonts w:ascii="Arial" w:hAnsi="Arial" w:cs="Arial"/>
          <w:sz w:val="15"/>
          <w:szCs w:val="15"/>
          <w:lang w:val="en-US"/>
        </w:rPr>
      </w:pPr>
      <w:r w:rsidRPr="009B3D4B">
        <w:rPr>
          <w:rFonts w:ascii="Arial" w:hAnsi="Arial" w:cs="Arial"/>
          <w:w w:val="0"/>
          <w:sz w:val="15"/>
          <w:szCs w:val="15"/>
          <w:lang w:val="en-US"/>
        </w:rPr>
        <w:t xml:space="preserve">Source: </w:t>
      </w:r>
      <w:proofErr w:type="spellStart"/>
      <w:r w:rsidRPr="009B3D4B">
        <w:rPr>
          <w:rFonts w:ascii="Arial" w:hAnsi="Arial" w:cs="Arial"/>
          <w:w w:val="0"/>
          <w:sz w:val="15"/>
          <w:szCs w:val="15"/>
          <w:lang w:val="en-US"/>
        </w:rPr>
        <w:t>Crea</w:t>
      </w:r>
      <w:proofErr w:type="spellEnd"/>
      <w:r w:rsidRPr="009B3D4B">
        <w:rPr>
          <w:rFonts w:ascii="Arial" w:hAnsi="Arial" w:cs="Arial"/>
          <w:w w:val="0"/>
          <w:sz w:val="15"/>
          <w:szCs w:val="15"/>
          <w:lang w:val="en-US"/>
        </w:rPr>
        <w:t>, 2021</w:t>
      </w:r>
      <w:r w:rsidR="00624CD7" w:rsidRPr="00517E9A">
        <w:rPr>
          <w:rFonts w:ascii="Arial" w:hAnsi="Arial" w:cs="Arial"/>
          <w:sz w:val="15"/>
          <w:szCs w:val="15"/>
          <w:lang w:val="en-US"/>
        </w:rPr>
        <w:t>.</w:t>
      </w:r>
    </w:p>
    <w:p w14:paraId="193FBF48" w14:textId="77777777" w:rsidR="00624CD7" w:rsidRPr="00517E9A" w:rsidRDefault="00624CD7" w:rsidP="00624CD7">
      <w:pPr>
        <w:suppressAutoHyphens/>
        <w:jc w:val="both"/>
        <w:rPr>
          <w:rFonts w:ascii="Times New Roman" w:hAnsi="Times New Roman"/>
          <w:iCs/>
          <w:lang w:val="en-US"/>
        </w:rPr>
      </w:pPr>
    </w:p>
    <w:p w14:paraId="3D99FB9B" w14:textId="72534DEF" w:rsidR="00624CD7" w:rsidRPr="00517E9A" w:rsidRDefault="00517E9A" w:rsidP="0003038B">
      <w:pPr>
        <w:suppressAutoHyphens/>
        <w:spacing w:after="80"/>
        <w:jc w:val="both"/>
        <w:rPr>
          <w:rFonts w:ascii="Trebuchet MS" w:hAnsi="Trebuchet MS"/>
          <w:iCs/>
          <w:color w:val="595959" w:themeColor="text1" w:themeTint="A6"/>
          <w:sz w:val="20"/>
          <w:szCs w:val="20"/>
          <w:lang w:val="en-US"/>
        </w:rPr>
      </w:pPr>
      <w:r w:rsidRPr="009B3D4B">
        <w:rPr>
          <w:rFonts w:ascii="Trebuchet MS" w:hAnsi="Trebuchet MS" w:cs="Trebuchet MS"/>
          <w:color w:val="595959"/>
          <w:w w:val="0"/>
          <w:sz w:val="20"/>
          <w:szCs w:val="20"/>
          <w:lang w:val="en-US"/>
        </w:rPr>
        <w:t xml:space="preserve">As described, the interventions envisaged in the NRRP aim to contribute to the twin transitions (green and digital) by targeting an increase in renewable energy production and the competitiveness of the agri-food sectors with a view to sustainability and resilience. These aims also highlight their importance </w:t>
      </w:r>
      <w:proofErr w:type="gramStart"/>
      <w:r w:rsidRPr="009B3D4B">
        <w:rPr>
          <w:rFonts w:ascii="Trebuchet MS" w:hAnsi="Trebuchet MS" w:cs="Trebuchet MS"/>
          <w:color w:val="595959"/>
          <w:w w:val="0"/>
          <w:sz w:val="20"/>
          <w:szCs w:val="20"/>
          <w:lang w:val="en-US"/>
        </w:rPr>
        <w:t>in light of</w:t>
      </w:r>
      <w:proofErr w:type="gramEnd"/>
      <w:r w:rsidRPr="009B3D4B">
        <w:rPr>
          <w:rFonts w:ascii="Trebuchet MS" w:hAnsi="Trebuchet MS" w:cs="Trebuchet MS"/>
          <w:color w:val="595959"/>
          <w:w w:val="0"/>
          <w:sz w:val="20"/>
          <w:szCs w:val="20"/>
          <w:lang w:val="en-US"/>
        </w:rPr>
        <w:t xml:space="preserve"> the changed international situation, linked to the conflict in Ukraine, which has highlighted the need to achieve greater food and energy security within the EU.</w:t>
      </w:r>
    </w:p>
    <w:p w14:paraId="21B62EDC" w14:textId="77777777" w:rsidR="004F4B10" w:rsidRDefault="004F4B10" w:rsidP="004F4B10">
      <w:pPr>
        <w:pStyle w:val="Titolo1"/>
        <w:spacing w:after="80"/>
        <w:ind w:left="0"/>
        <w:rPr>
          <w:rFonts w:ascii="Trebuchet MS" w:eastAsia="Arial MT" w:hAnsi="Trebuchet MS" w:cs="Arial MT"/>
          <w:b w:val="0"/>
          <w:bCs w:val="0"/>
          <w:iCs/>
          <w:color w:val="595959" w:themeColor="text1" w:themeTint="A6"/>
          <w:sz w:val="20"/>
          <w:szCs w:val="20"/>
          <w:lang w:val="en-US"/>
        </w:rPr>
      </w:pPr>
    </w:p>
    <w:p w14:paraId="4B5FAEC0" w14:textId="77777777" w:rsidR="00517E9A" w:rsidRPr="009B3D4B" w:rsidRDefault="00517E9A" w:rsidP="004F4B10">
      <w:pPr>
        <w:pStyle w:val="Titolo1"/>
        <w:spacing w:after="80"/>
        <w:ind w:left="0"/>
        <w:rPr>
          <w:rFonts w:ascii="Trebuchet MS" w:hAnsi="Trebuchet MS" w:cs="Trebuchet MS"/>
          <w:b w:val="0"/>
          <w:bCs w:val="0"/>
          <w:color w:val="595959"/>
          <w:w w:val="0"/>
          <w:lang w:val="en-US"/>
        </w:rPr>
      </w:pPr>
      <w:r w:rsidRPr="009B3D4B">
        <w:rPr>
          <w:rFonts w:ascii="Trebuchet MS" w:hAnsi="Trebuchet MS" w:cs="Trebuchet MS"/>
          <w:b w:val="0"/>
          <w:bCs w:val="0"/>
          <w:color w:val="595959"/>
          <w:w w:val="0"/>
          <w:lang w:val="en-US"/>
        </w:rPr>
        <w:t>New measures to respond to the crisis in Ukraine</w:t>
      </w:r>
    </w:p>
    <w:p w14:paraId="30BFE434" w14:textId="77777777" w:rsidR="00517E9A" w:rsidRPr="009B3D4B" w:rsidRDefault="00517E9A" w:rsidP="00517E9A">
      <w:pPr>
        <w:suppressAutoHyphens/>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The conflict in Ukraine has</w:t>
      </w:r>
      <w:r>
        <w:rPr>
          <w:rFonts w:ascii="Trebuchet MS" w:hAnsi="Trebuchet MS" w:cs="Trebuchet MS"/>
          <w:color w:val="595959"/>
          <w:w w:val="0"/>
          <w:sz w:val="20"/>
          <w:szCs w:val="20"/>
          <w:lang w:val="en-US"/>
        </w:rPr>
        <w:t xml:space="preserve"> severe</w:t>
      </w:r>
      <w:r w:rsidRPr="009B3D4B">
        <w:rPr>
          <w:rFonts w:ascii="Trebuchet MS" w:hAnsi="Trebuchet MS" w:cs="Trebuchet MS"/>
          <w:color w:val="595959"/>
          <w:w w:val="0"/>
          <w:sz w:val="20"/>
          <w:szCs w:val="20"/>
          <w:lang w:val="en-US"/>
        </w:rPr>
        <w:t xml:space="preserve"> repercussions on the business activities of the Italian primary sector, especially </w:t>
      </w:r>
      <w:proofErr w:type="gramStart"/>
      <w:r w:rsidRPr="009B3D4B">
        <w:rPr>
          <w:rFonts w:ascii="Trebuchet MS" w:hAnsi="Trebuchet MS" w:cs="Trebuchet MS"/>
          <w:color w:val="595959"/>
          <w:w w:val="0"/>
          <w:sz w:val="20"/>
          <w:szCs w:val="20"/>
          <w:lang w:val="en-US"/>
        </w:rPr>
        <w:t>with regard to</w:t>
      </w:r>
      <w:proofErr w:type="gramEnd"/>
      <w:r w:rsidRPr="009B3D4B">
        <w:rPr>
          <w:rFonts w:ascii="Trebuchet MS" w:hAnsi="Trebuchet MS" w:cs="Trebuchet MS"/>
          <w:color w:val="595959"/>
          <w:w w:val="0"/>
          <w:sz w:val="20"/>
          <w:szCs w:val="20"/>
          <w:lang w:val="en-US"/>
        </w:rPr>
        <w:t xml:space="preserve"> the increase in production costs (fuels, fuels, fertilizers, seeds and seedlings, plant protection products, animal feed and passive rentals). Russia represents</w:t>
      </w:r>
      <w:r>
        <w:rPr>
          <w:rFonts w:ascii="Trebuchet MS" w:hAnsi="Trebuchet MS" w:cs="Trebuchet MS"/>
          <w:color w:val="595959"/>
          <w:w w:val="0"/>
          <w:sz w:val="20"/>
          <w:szCs w:val="20"/>
          <w:lang w:val="en-US"/>
        </w:rPr>
        <w:t>,</w:t>
      </w:r>
      <w:r w:rsidRPr="009B3D4B">
        <w:rPr>
          <w:rFonts w:ascii="Trebuchet MS" w:hAnsi="Trebuchet MS" w:cs="Trebuchet MS"/>
          <w:color w:val="595959"/>
          <w:w w:val="0"/>
          <w:sz w:val="20"/>
          <w:szCs w:val="20"/>
          <w:lang w:val="en-US"/>
        </w:rPr>
        <w:t xml:space="preserve"> for our country</w:t>
      </w:r>
      <w:r>
        <w:rPr>
          <w:rFonts w:ascii="Trebuchet MS" w:hAnsi="Trebuchet MS" w:cs="Trebuchet MS"/>
          <w:color w:val="595959"/>
          <w:w w:val="0"/>
          <w:sz w:val="20"/>
          <w:szCs w:val="20"/>
          <w:lang w:val="en-US"/>
        </w:rPr>
        <w:t>,</w:t>
      </w:r>
      <w:r w:rsidRPr="009B3D4B">
        <w:rPr>
          <w:rFonts w:ascii="Trebuchet MS" w:hAnsi="Trebuchet MS" w:cs="Trebuchet MS"/>
          <w:color w:val="595959"/>
          <w:w w:val="0"/>
          <w:sz w:val="20"/>
          <w:szCs w:val="20"/>
          <w:lang w:val="en-US"/>
        </w:rPr>
        <w:t xml:space="preserve"> one of the main suppliers of crude oil and gas, which, due to sanctions, have suffered a substantial increase in prices, affecting the markets for both food products and technical means used in agriculture. </w:t>
      </w:r>
    </w:p>
    <w:p w14:paraId="4CA25A4F" w14:textId="77777777" w:rsidR="00517E9A" w:rsidRPr="009B3D4B" w:rsidRDefault="00517E9A" w:rsidP="00517E9A">
      <w:pPr>
        <w:suppressAutoHyphens/>
        <w:jc w:val="both"/>
        <w:rPr>
          <w:rFonts w:ascii="Trebuchet MS" w:hAnsi="Trebuchet MS" w:cs="Trebuchet MS"/>
          <w:color w:val="595959"/>
          <w:w w:val="0"/>
          <w:sz w:val="20"/>
          <w:szCs w:val="20"/>
          <w:lang w:val="en-US"/>
        </w:rPr>
      </w:pPr>
    </w:p>
    <w:p w14:paraId="0B6F641E" w14:textId="77777777" w:rsidR="00517E9A" w:rsidRPr="009B3D4B" w:rsidRDefault="00517E9A" w:rsidP="00517E9A">
      <w:pPr>
        <w:suppressAutoHyphens/>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For the first time in many years, critical supply issues are being added for some agricultural inputs from the Central and Eastern part of Europe (cereals and oilseeds). The livestock sector, especially </w:t>
      </w:r>
      <w:proofErr w:type="gramStart"/>
      <w:r w:rsidRPr="009B3D4B">
        <w:rPr>
          <w:rFonts w:ascii="Trebuchet MS" w:hAnsi="Trebuchet MS" w:cs="Trebuchet MS"/>
          <w:color w:val="595959"/>
          <w:w w:val="0"/>
          <w:sz w:val="20"/>
          <w:szCs w:val="20"/>
          <w:lang w:val="en-US"/>
        </w:rPr>
        <w:t>with regard to</w:t>
      </w:r>
      <w:proofErr w:type="gramEnd"/>
      <w:r w:rsidRPr="009B3D4B">
        <w:rPr>
          <w:rFonts w:ascii="Trebuchet MS" w:hAnsi="Trebuchet MS" w:cs="Trebuchet MS"/>
          <w:color w:val="595959"/>
          <w:w w:val="0"/>
          <w:sz w:val="20"/>
          <w:szCs w:val="20"/>
          <w:lang w:val="en-US"/>
        </w:rPr>
        <w:t xml:space="preserve"> livestock feed, appears to </w:t>
      </w:r>
      <w:r>
        <w:rPr>
          <w:rFonts w:ascii="Trebuchet MS" w:hAnsi="Trebuchet MS" w:cs="Trebuchet MS"/>
          <w:color w:val="595959"/>
          <w:w w:val="0"/>
          <w:sz w:val="20"/>
          <w:szCs w:val="20"/>
          <w:lang w:val="en-US"/>
        </w:rPr>
        <w:t xml:space="preserve">have suffered the most </w:t>
      </w:r>
      <w:r w:rsidRPr="009B3D4B">
        <w:rPr>
          <w:rFonts w:ascii="Trebuchet MS" w:hAnsi="Trebuchet MS" w:cs="Trebuchet MS"/>
          <w:color w:val="595959"/>
          <w:w w:val="0"/>
          <w:sz w:val="20"/>
          <w:szCs w:val="20"/>
          <w:lang w:val="en-US"/>
        </w:rPr>
        <w:t>the current situation</w:t>
      </w:r>
      <w:r>
        <w:rPr>
          <w:rFonts w:ascii="Trebuchet MS" w:hAnsi="Trebuchet MS" w:cs="Trebuchet MS"/>
          <w:color w:val="595959"/>
          <w:w w:val="0"/>
          <w:sz w:val="20"/>
          <w:szCs w:val="20"/>
          <w:lang w:val="en-US"/>
        </w:rPr>
        <w:t>, more</w:t>
      </w:r>
      <w:r w:rsidRPr="009B3D4B">
        <w:rPr>
          <w:rFonts w:ascii="Trebuchet MS" w:hAnsi="Trebuchet MS" w:cs="Trebuchet MS"/>
          <w:color w:val="595959"/>
          <w:w w:val="0"/>
          <w:sz w:val="20"/>
          <w:szCs w:val="20"/>
          <w:lang w:val="en-US"/>
        </w:rPr>
        <w:t xml:space="preserve"> than the rest of the agribusiness sector. </w:t>
      </w:r>
    </w:p>
    <w:p w14:paraId="4B607717" w14:textId="77777777" w:rsidR="00517E9A" w:rsidRPr="009B3D4B" w:rsidRDefault="00517E9A" w:rsidP="00517E9A">
      <w:pPr>
        <w:suppressAutoHyphens/>
        <w:jc w:val="both"/>
        <w:rPr>
          <w:rFonts w:ascii="Trebuchet MS" w:hAnsi="Trebuchet MS" w:cs="Trebuchet MS"/>
          <w:color w:val="595959"/>
          <w:w w:val="0"/>
          <w:sz w:val="8"/>
          <w:szCs w:val="8"/>
          <w:lang w:val="en-US"/>
        </w:rPr>
      </w:pPr>
    </w:p>
    <w:p w14:paraId="4EC57CEE" w14:textId="77777777" w:rsidR="00517E9A" w:rsidRPr="009B3D4B" w:rsidRDefault="00517E9A" w:rsidP="00517E9A">
      <w:pPr>
        <w:suppressAutoHyphens/>
        <w:spacing w:after="80"/>
        <w:jc w:val="both"/>
        <w:rPr>
          <w:rFonts w:ascii="Trebuchet MS" w:hAnsi="Trebuchet MS" w:cs="Trebuchet MS"/>
          <w:color w:val="595959"/>
          <w:w w:val="0"/>
          <w:sz w:val="20"/>
          <w:szCs w:val="20"/>
          <w:lang w:val="en-US"/>
        </w:rPr>
      </w:pPr>
      <w:proofErr w:type="gramStart"/>
      <w:r>
        <w:rPr>
          <w:rFonts w:ascii="Trebuchet MS" w:hAnsi="Trebuchet MS" w:cs="Trebuchet MS"/>
          <w:color w:val="595959"/>
          <w:w w:val="0"/>
          <w:sz w:val="20"/>
          <w:szCs w:val="20"/>
          <w:lang w:val="en-US"/>
        </w:rPr>
        <w:t xml:space="preserve">As a consequence </w:t>
      </w:r>
      <w:r w:rsidRPr="009B3D4B">
        <w:rPr>
          <w:rFonts w:ascii="Trebuchet MS" w:hAnsi="Trebuchet MS" w:cs="Trebuchet MS"/>
          <w:color w:val="595959"/>
          <w:w w:val="0"/>
          <w:sz w:val="20"/>
          <w:szCs w:val="20"/>
          <w:lang w:val="en-US"/>
        </w:rPr>
        <w:t>of</w:t>
      </w:r>
      <w:proofErr w:type="gramEnd"/>
      <w:r w:rsidRPr="009B3D4B">
        <w:rPr>
          <w:rFonts w:ascii="Trebuchet MS" w:hAnsi="Trebuchet MS" w:cs="Trebuchet MS"/>
          <w:color w:val="595959"/>
          <w:w w:val="0"/>
          <w:sz w:val="20"/>
          <w:szCs w:val="20"/>
          <w:lang w:val="en-US"/>
        </w:rPr>
        <w:t xml:space="preserve"> the serious situation, the European Commission has stressed the need to implement agro-ecological practices, develop precision agriculture (which ensures a decrease in dependence on imported pesticides by reducing their use), enhance renewable energy production and reduce the import of livestock-related raw materials. </w:t>
      </w:r>
    </w:p>
    <w:p w14:paraId="09568C8F" w14:textId="77777777" w:rsidR="00517E9A" w:rsidRPr="009B3D4B" w:rsidRDefault="00517E9A" w:rsidP="00517E9A">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In addition, the invasion of Ukraine has necessitated the adoption of a series of exceptional measures at the Union level, </w:t>
      </w:r>
      <w:r>
        <w:rPr>
          <w:rFonts w:ascii="Trebuchet MS" w:hAnsi="Trebuchet MS" w:cs="Trebuchet MS"/>
          <w:color w:val="595959"/>
          <w:w w:val="0"/>
          <w:sz w:val="20"/>
          <w:szCs w:val="20"/>
          <w:lang w:val="en-US"/>
        </w:rPr>
        <w:t>addressed</w:t>
      </w:r>
      <w:r w:rsidRPr="009B3D4B">
        <w:rPr>
          <w:rFonts w:ascii="Trebuchet MS" w:hAnsi="Trebuchet MS" w:cs="Trebuchet MS"/>
          <w:color w:val="595959"/>
          <w:w w:val="0"/>
          <w:sz w:val="20"/>
          <w:szCs w:val="20"/>
          <w:lang w:val="en-US"/>
        </w:rPr>
        <w:t xml:space="preserve"> primarily </w:t>
      </w:r>
      <w:r>
        <w:rPr>
          <w:rFonts w:ascii="Trebuchet MS" w:hAnsi="Trebuchet MS" w:cs="Trebuchet MS"/>
          <w:color w:val="595959"/>
          <w:w w:val="0"/>
          <w:sz w:val="20"/>
          <w:szCs w:val="20"/>
          <w:lang w:val="en-US"/>
        </w:rPr>
        <w:t>to</w:t>
      </w:r>
      <w:r w:rsidRPr="009B3D4B">
        <w:rPr>
          <w:rFonts w:ascii="Trebuchet MS" w:hAnsi="Trebuchet MS" w:cs="Trebuchet MS"/>
          <w:color w:val="595959"/>
          <w:w w:val="0"/>
          <w:sz w:val="20"/>
          <w:szCs w:val="20"/>
          <w:lang w:val="en-US"/>
        </w:rPr>
        <w:t xml:space="preserve"> the sectors most affected by the increase in production costs, which for Italy are the livestock and dairy sectors. These are both crisis measures and derogations from ordinary rules. In the first case, to counter market disruptions, the use of funds from assigned </w:t>
      </w:r>
      <w:r w:rsidRPr="009B3D4B">
        <w:rPr>
          <w:rFonts w:ascii="Trebuchet MS" w:hAnsi="Trebuchet MS" w:cs="Trebuchet MS"/>
          <w:i/>
          <w:iCs/>
          <w:color w:val="595959"/>
          <w:w w:val="0"/>
          <w:sz w:val="20"/>
          <w:szCs w:val="20"/>
          <w:lang w:val="en-US"/>
        </w:rPr>
        <w:t xml:space="preserve">revenue </w:t>
      </w:r>
      <w:r w:rsidRPr="009B3D4B">
        <w:rPr>
          <w:rFonts w:ascii="Trebuchet MS" w:hAnsi="Trebuchet MS" w:cs="Trebuchet MS"/>
          <w:color w:val="595959"/>
          <w:w w:val="0"/>
          <w:sz w:val="20"/>
          <w:szCs w:val="20"/>
          <w:lang w:val="en-US"/>
        </w:rPr>
        <w:t xml:space="preserve">and a part of the crisis reserve has been proposed. Under this mechanism, 500 million euros will be made available to </w:t>
      </w:r>
      <w:r>
        <w:rPr>
          <w:rFonts w:ascii="Trebuchet MS" w:hAnsi="Trebuchet MS" w:cs="Trebuchet MS"/>
          <w:color w:val="595959"/>
          <w:w w:val="0"/>
          <w:sz w:val="20"/>
          <w:szCs w:val="20"/>
          <w:lang w:val="en-US"/>
        </w:rPr>
        <w:t>M</w:t>
      </w:r>
      <w:r w:rsidRPr="009B3D4B">
        <w:rPr>
          <w:rFonts w:ascii="Trebuchet MS" w:hAnsi="Trebuchet MS" w:cs="Trebuchet MS"/>
          <w:color w:val="595959"/>
          <w:w w:val="0"/>
          <w:sz w:val="20"/>
          <w:szCs w:val="20"/>
          <w:lang w:val="en-US"/>
        </w:rPr>
        <w:t xml:space="preserve">ember States, of which about 48 million euros will be allocated to our country. These are funds to be used by September 2022, to which can be added up to 96 million euros of national co-financing, </w:t>
      </w:r>
      <w:r>
        <w:rPr>
          <w:rFonts w:ascii="Trebuchet MS" w:hAnsi="Trebuchet MS" w:cs="Trebuchet MS"/>
          <w:color w:val="595959"/>
          <w:w w:val="0"/>
          <w:sz w:val="20"/>
          <w:szCs w:val="20"/>
          <w:lang w:val="en-US"/>
        </w:rPr>
        <w:t>equal to</w:t>
      </w:r>
      <w:r w:rsidRPr="009B3D4B">
        <w:rPr>
          <w:rFonts w:ascii="Trebuchet MS" w:hAnsi="Trebuchet MS" w:cs="Trebuchet MS"/>
          <w:color w:val="595959"/>
          <w:w w:val="0"/>
          <w:sz w:val="20"/>
          <w:szCs w:val="20"/>
          <w:lang w:val="en-US"/>
        </w:rPr>
        <w:t xml:space="preserve"> +200%.</w:t>
      </w:r>
    </w:p>
    <w:p w14:paraId="585AF21C" w14:textId="77777777" w:rsidR="00517E9A" w:rsidRPr="009B3D4B" w:rsidRDefault="00517E9A" w:rsidP="00517E9A">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Regarding the Common Agricultural Policy (CAP), </w:t>
      </w:r>
      <w:r>
        <w:rPr>
          <w:rFonts w:ascii="Trebuchet MS" w:hAnsi="Trebuchet MS" w:cs="Trebuchet MS"/>
          <w:color w:val="595959"/>
          <w:w w:val="0"/>
          <w:sz w:val="20"/>
          <w:szCs w:val="20"/>
          <w:lang w:val="en-US"/>
        </w:rPr>
        <w:t xml:space="preserve">as from </w:t>
      </w:r>
      <w:r w:rsidRPr="009B3D4B">
        <w:rPr>
          <w:rFonts w:ascii="Trebuchet MS" w:hAnsi="Trebuchet MS" w:cs="Trebuchet MS"/>
          <w:color w:val="595959"/>
          <w:w w:val="0"/>
          <w:sz w:val="20"/>
          <w:szCs w:val="20"/>
          <w:lang w:val="en-US"/>
        </w:rPr>
        <w:t xml:space="preserve">October 2022, each EU country will be able to </w:t>
      </w:r>
      <w:r w:rsidRPr="009B3D4B">
        <w:rPr>
          <w:rFonts w:ascii="Trebuchet MS" w:hAnsi="Trebuchet MS" w:cs="Trebuchet MS"/>
          <w:color w:val="595959"/>
          <w:w w:val="0"/>
          <w:sz w:val="20"/>
          <w:szCs w:val="20"/>
          <w:lang w:val="en-US"/>
        </w:rPr>
        <w:lastRenderedPageBreak/>
        <w:t xml:space="preserve">provide a higher level of advances (up to 70 percent of the amount due to each beneficiary) in direct payments and area-based rural development measures to make up for the liquidity crisis of farms. In addition, the agricultural sector will be able to benefit, within the limit of 35,000 euros per farm, from the so-called Temporary Framework, which is an exceptional and temporary framework that allows </w:t>
      </w:r>
      <w:r>
        <w:rPr>
          <w:rFonts w:ascii="Trebuchet MS" w:hAnsi="Trebuchet MS" w:cs="Trebuchet MS"/>
          <w:color w:val="595959"/>
          <w:w w:val="0"/>
          <w:sz w:val="20"/>
          <w:szCs w:val="20"/>
          <w:lang w:val="en-US"/>
        </w:rPr>
        <w:t>M</w:t>
      </w:r>
      <w:r w:rsidRPr="009B3D4B">
        <w:rPr>
          <w:rFonts w:ascii="Trebuchet MS" w:hAnsi="Trebuchet MS" w:cs="Trebuchet MS"/>
          <w:color w:val="595959"/>
          <w:w w:val="0"/>
          <w:sz w:val="20"/>
          <w:szCs w:val="20"/>
          <w:lang w:val="en-US"/>
        </w:rPr>
        <w:t xml:space="preserve">ember </w:t>
      </w:r>
      <w:r>
        <w:rPr>
          <w:rFonts w:ascii="Trebuchet MS" w:hAnsi="Trebuchet MS" w:cs="Trebuchet MS"/>
          <w:color w:val="595959"/>
          <w:w w:val="0"/>
          <w:sz w:val="20"/>
          <w:szCs w:val="20"/>
          <w:lang w:val="en-US"/>
        </w:rPr>
        <w:t>S</w:t>
      </w:r>
      <w:r w:rsidRPr="009B3D4B">
        <w:rPr>
          <w:rFonts w:ascii="Trebuchet MS" w:hAnsi="Trebuchet MS" w:cs="Trebuchet MS"/>
          <w:color w:val="595959"/>
          <w:w w:val="0"/>
          <w:sz w:val="20"/>
          <w:szCs w:val="20"/>
          <w:lang w:val="en-US"/>
        </w:rPr>
        <w:t xml:space="preserve">tates to take intervention measures by way of derogation from the ordinary state aid framework. </w:t>
      </w:r>
    </w:p>
    <w:p w14:paraId="340703CC" w14:textId="77777777" w:rsidR="00517E9A" w:rsidRPr="009B3D4B" w:rsidRDefault="00517E9A" w:rsidP="00517E9A">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 xml:space="preserve">Italy's Budget Law 2022 includes measures to support certain crops, through the refinancing of the Competitiveness Fund, which provides specific support for producers of corn and vegetable proteins (legumes and soybeans). Resources from the Supply Chain Fund, established to support agricultural, fisheries and aquaculture production sectors, may also be used. With Bill No. 2564 of 2022 is granted to agricultural and fishing enterprises partial compensation for the higher charges actually incurred for the purchase of diesel fuel and gasoline for the traction of vehicles used for the exercise of the activity, an extraordinary contribution in the form of a tax credit equal to 20 percent of the expenditure for the purchase of fuel made in the first calendar quarter of the year 2022. </w:t>
      </w:r>
    </w:p>
    <w:p w14:paraId="0C298AF8" w14:textId="77777777" w:rsidR="00517E9A" w:rsidRPr="009B3D4B" w:rsidRDefault="00517E9A" w:rsidP="00517E9A">
      <w:pPr>
        <w:suppressAutoHyphens/>
        <w:spacing w:after="80"/>
        <w:jc w:val="both"/>
        <w:rPr>
          <w:rFonts w:ascii="Trebuchet MS" w:hAnsi="Trebuchet MS" w:cs="Trebuchet MS"/>
          <w:color w:val="595959"/>
          <w:w w:val="0"/>
          <w:sz w:val="20"/>
          <w:szCs w:val="20"/>
          <w:lang w:val="en-US"/>
        </w:rPr>
      </w:pPr>
      <w:r w:rsidRPr="009B3D4B">
        <w:rPr>
          <w:rFonts w:ascii="Trebuchet MS" w:hAnsi="Trebuchet MS" w:cs="Trebuchet MS"/>
          <w:color w:val="595959"/>
          <w:w w:val="0"/>
          <w:sz w:val="20"/>
          <w:szCs w:val="20"/>
          <w:lang w:val="en-US"/>
        </w:rPr>
        <w:t>The current situation requires, on the one hand, the need to implement a series of emergency measures to support liquidity and reduce companies' costs and, on the other hand, to accelerate</w:t>
      </w:r>
      <w:r>
        <w:rPr>
          <w:rFonts w:ascii="Trebuchet MS" w:hAnsi="Trebuchet MS" w:cs="Trebuchet MS"/>
          <w:color w:val="595959"/>
          <w:w w:val="0"/>
          <w:sz w:val="20"/>
          <w:szCs w:val="20"/>
          <w:lang w:val="en-US"/>
        </w:rPr>
        <w:t xml:space="preserve"> (boost)</w:t>
      </w:r>
      <w:r w:rsidRPr="009B3D4B">
        <w:rPr>
          <w:rFonts w:ascii="Trebuchet MS" w:hAnsi="Trebuchet MS" w:cs="Trebuchet MS"/>
          <w:color w:val="595959"/>
          <w:w w:val="0"/>
          <w:sz w:val="20"/>
          <w:szCs w:val="20"/>
          <w:lang w:val="en-US"/>
        </w:rPr>
        <w:t xml:space="preserve"> the implementation of the </w:t>
      </w:r>
      <w:r>
        <w:rPr>
          <w:rFonts w:ascii="Trebuchet MS" w:hAnsi="Trebuchet MS" w:cs="Trebuchet MS"/>
          <w:color w:val="595959"/>
          <w:w w:val="0"/>
          <w:sz w:val="20"/>
          <w:szCs w:val="20"/>
          <w:lang w:val="en-US"/>
        </w:rPr>
        <w:t>NRRP</w:t>
      </w:r>
      <w:r w:rsidRPr="009B3D4B">
        <w:rPr>
          <w:rFonts w:ascii="Trebuchet MS" w:hAnsi="Trebuchet MS" w:cs="Trebuchet MS"/>
          <w:color w:val="595959"/>
          <w:w w:val="0"/>
          <w:sz w:val="20"/>
          <w:szCs w:val="20"/>
          <w:lang w:val="en-US"/>
        </w:rPr>
        <w:t xml:space="preserve"> to ensure energy diversification of companies and strengthen the efficiency of supply chains. The NRRP, which was created with the aim of supporting </w:t>
      </w:r>
      <w:r>
        <w:rPr>
          <w:rFonts w:ascii="Trebuchet MS" w:hAnsi="Trebuchet MS" w:cs="Trebuchet MS"/>
          <w:color w:val="595959"/>
          <w:w w:val="0"/>
          <w:sz w:val="20"/>
          <w:szCs w:val="20"/>
          <w:lang w:val="en-US"/>
        </w:rPr>
        <w:t>M</w:t>
      </w:r>
      <w:r w:rsidRPr="009B3D4B">
        <w:rPr>
          <w:rFonts w:ascii="Trebuchet MS" w:hAnsi="Trebuchet MS" w:cs="Trebuchet MS"/>
          <w:color w:val="595959"/>
          <w:w w:val="0"/>
          <w:sz w:val="20"/>
          <w:szCs w:val="20"/>
          <w:lang w:val="en-US"/>
        </w:rPr>
        <w:t xml:space="preserve">ember </w:t>
      </w:r>
      <w:r>
        <w:rPr>
          <w:rFonts w:ascii="Trebuchet MS" w:hAnsi="Trebuchet MS" w:cs="Trebuchet MS"/>
          <w:color w:val="595959"/>
          <w:w w:val="0"/>
          <w:sz w:val="20"/>
          <w:szCs w:val="20"/>
          <w:lang w:val="en-US"/>
        </w:rPr>
        <w:t>S</w:t>
      </w:r>
      <w:r w:rsidRPr="009B3D4B">
        <w:rPr>
          <w:rFonts w:ascii="Trebuchet MS" w:hAnsi="Trebuchet MS" w:cs="Trebuchet MS"/>
          <w:color w:val="595959"/>
          <w:w w:val="0"/>
          <w:sz w:val="20"/>
          <w:szCs w:val="20"/>
          <w:lang w:val="en-US"/>
        </w:rPr>
        <w:t xml:space="preserve">tates to emerge from the global pandemic crisis, is also a valuable opportunity to overcome the socio-economic effects brought about by the war. </w:t>
      </w:r>
    </w:p>
    <w:p w14:paraId="34ECC503" w14:textId="30C5081D" w:rsidR="00624CD7" w:rsidRPr="00517E9A" w:rsidRDefault="00517E9A" w:rsidP="00517E9A">
      <w:pPr>
        <w:suppressAutoHyphens/>
        <w:spacing w:after="80"/>
        <w:jc w:val="both"/>
        <w:rPr>
          <w:rFonts w:ascii="Trebuchet MS" w:eastAsia="Times New Roman" w:hAnsi="Trebuchet MS" w:cs="Times New Roman"/>
          <w:color w:val="595959" w:themeColor="text1" w:themeTint="A6"/>
          <w:sz w:val="20"/>
          <w:szCs w:val="20"/>
          <w:lang w:val="en-US"/>
        </w:rPr>
      </w:pPr>
      <w:r w:rsidRPr="009B3D4B">
        <w:rPr>
          <w:rFonts w:ascii="Trebuchet MS" w:hAnsi="Trebuchet MS" w:cs="Trebuchet MS"/>
          <w:color w:val="595959"/>
          <w:w w:val="0"/>
          <w:sz w:val="20"/>
          <w:szCs w:val="20"/>
          <w:lang w:val="en-US"/>
        </w:rPr>
        <w:t xml:space="preserve">The investments being made fit perfectly not only with the goals of the </w:t>
      </w:r>
      <w:r w:rsidRPr="009B3D4B">
        <w:rPr>
          <w:rFonts w:ascii="Trebuchet MS" w:hAnsi="Trebuchet MS" w:cs="Trebuchet MS"/>
          <w:i/>
          <w:iCs/>
          <w:color w:val="595959"/>
          <w:w w:val="0"/>
          <w:sz w:val="20"/>
          <w:szCs w:val="20"/>
          <w:lang w:val="en-US"/>
        </w:rPr>
        <w:t xml:space="preserve">Green Deal </w:t>
      </w:r>
      <w:r w:rsidRPr="009B3D4B">
        <w:rPr>
          <w:rFonts w:ascii="Trebuchet MS" w:hAnsi="Trebuchet MS" w:cs="Trebuchet MS"/>
          <w:color w:val="595959"/>
          <w:w w:val="0"/>
          <w:sz w:val="20"/>
          <w:szCs w:val="20"/>
          <w:lang w:val="en-US"/>
        </w:rPr>
        <w:t xml:space="preserve">and </w:t>
      </w:r>
      <w:r w:rsidRPr="009B3D4B">
        <w:rPr>
          <w:rFonts w:ascii="Trebuchet MS" w:hAnsi="Trebuchet MS" w:cs="Trebuchet MS"/>
          <w:i/>
          <w:iCs/>
          <w:color w:val="595959"/>
          <w:w w:val="0"/>
          <w:sz w:val="20"/>
          <w:szCs w:val="20"/>
          <w:lang w:val="en-US"/>
        </w:rPr>
        <w:t xml:space="preserve">Farm to fork </w:t>
      </w:r>
      <w:proofErr w:type="gramStart"/>
      <w:r w:rsidRPr="009B3D4B">
        <w:rPr>
          <w:rFonts w:ascii="Trebuchet MS" w:hAnsi="Trebuchet MS" w:cs="Trebuchet MS"/>
          <w:color w:val="595959"/>
          <w:w w:val="0"/>
          <w:sz w:val="20"/>
          <w:szCs w:val="20"/>
          <w:lang w:val="en-US"/>
        </w:rPr>
        <w:t>strategy, but</w:t>
      </w:r>
      <w:proofErr w:type="gramEnd"/>
      <w:r w:rsidRPr="009B3D4B">
        <w:rPr>
          <w:rFonts w:ascii="Trebuchet MS" w:hAnsi="Trebuchet MS" w:cs="Trebuchet MS"/>
          <w:color w:val="595959"/>
          <w:w w:val="0"/>
          <w:sz w:val="20"/>
          <w:szCs w:val="20"/>
          <w:lang w:val="en-US"/>
        </w:rPr>
        <w:t xml:space="preserve"> are more relevant and responsive than ever to the Union's aims to support the national agricultural sector. The </w:t>
      </w:r>
      <w:proofErr w:type="spellStart"/>
      <w:r w:rsidRPr="009B3D4B">
        <w:rPr>
          <w:rFonts w:ascii="Trebuchet MS" w:hAnsi="Trebuchet MS" w:cs="Trebuchet MS"/>
          <w:color w:val="595959"/>
          <w:w w:val="0"/>
          <w:sz w:val="20"/>
          <w:szCs w:val="20"/>
          <w:lang w:val="en-US"/>
        </w:rPr>
        <w:t>Agrisolare</w:t>
      </w:r>
      <w:proofErr w:type="spellEnd"/>
      <w:r w:rsidRPr="009B3D4B">
        <w:rPr>
          <w:rFonts w:ascii="Trebuchet MS" w:hAnsi="Trebuchet MS" w:cs="Trebuchet MS"/>
          <w:color w:val="595959"/>
          <w:w w:val="0"/>
          <w:sz w:val="20"/>
          <w:szCs w:val="20"/>
          <w:lang w:val="en-US"/>
        </w:rPr>
        <w:t xml:space="preserve"> Park investment involving the installation of photovoltaic panels is, in fact, aimed precisely at reducing the high energy consumption of the agribusiness sector by upgrading production facilities; innovation and mechanization in the agriculture and food sector allow companies to reduce the use of pesticides, use </w:t>
      </w:r>
      <w:proofErr w:type="gramStart"/>
      <w:r w:rsidRPr="009B3D4B">
        <w:rPr>
          <w:rFonts w:ascii="Trebuchet MS" w:hAnsi="Trebuchet MS" w:cs="Trebuchet MS"/>
          <w:color w:val="595959"/>
          <w:w w:val="0"/>
          <w:sz w:val="20"/>
          <w:szCs w:val="20"/>
          <w:lang w:val="en-US"/>
        </w:rPr>
        <w:t>less</w:t>
      </w:r>
      <w:proofErr w:type="gramEnd"/>
      <w:r w:rsidRPr="009B3D4B">
        <w:rPr>
          <w:rFonts w:ascii="Trebuchet MS" w:hAnsi="Trebuchet MS" w:cs="Trebuchet MS"/>
          <w:color w:val="595959"/>
          <w:w w:val="0"/>
          <w:sz w:val="20"/>
          <w:szCs w:val="20"/>
          <w:lang w:val="en-US"/>
        </w:rPr>
        <w:t xml:space="preserve"> polluting vehicles, produce less waste and reuse waste for energy purposes according to a circular economy perspective.</w:t>
      </w:r>
      <w:r w:rsidR="00624CD7" w:rsidRPr="00517E9A">
        <w:rPr>
          <w:rFonts w:ascii="Trebuchet MS" w:eastAsia="Times New Roman" w:hAnsi="Trebuchet MS" w:cs="Times New Roman"/>
          <w:color w:val="595959" w:themeColor="text1" w:themeTint="A6"/>
          <w:sz w:val="20"/>
          <w:szCs w:val="20"/>
          <w:lang w:val="en-US"/>
        </w:rPr>
        <w:t xml:space="preserve"> </w:t>
      </w:r>
    </w:p>
    <w:p w14:paraId="497D3512" w14:textId="03AB2D60" w:rsidR="00624CD7" w:rsidRPr="00517E9A" w:rsidRDefault="00624CD7" w:rsidP="0003038B">
      <w:pPr>
        <w:pStyle w:val="Titolo1"/>
        <w:spacing w:after="80"/>
        <w:ind w:left="0"/>
        <w:rPr>
          <w:rFonts w:ascii="Trebuchet MS" w:hAnsi="Trebuchet MS"/>
          <w:color w:val="595959" w:themeColor="text1" w:themeTint="A6"/>
          <w:sz w:val="20"/>
          <w:szCs w:val="20"/>
          <w:lang w:val="en-US"/>
        </w:rPr>
      </w:pPr>
      <w:r w:rsidRPr="00517E9A">
        <w:rPr>
          <w:rFonts w:ascii="Trebuchet MS" w:hAnsi="Trebuchet MS"/>
          <w:color w:val="595959" w:themeColor="text1" w:themeTint="A6"/>
          <w:sz w:val="20"/>
          <w:szCs w:val="20"/>
          <w:lang w:val="en-US"/>
        </w:rPr>
        <w:br w:type="page"/>
      </w:r>
    </w:p>
    <w:p w14:paraId="58F860D0" w14:textId="77777777" w:rsidR="00D22E01" w:rsidRPr="00517E9A" w:rsidRDefault="00D22E01" w:rsidP="00624CD7">
      <w:pPr>
        <w:pStyle w:val="Titolo1"/>
        <w:spacing w:before="94"/>
        <w:ind w:left="0"/>
        <w:rPr>
          <w:sz w:val="26"/>
          <w:szCs w:val="26"/>
          <w:lang w:val="en-US"/>
        </w:rPr>
      </w:pPr>
    </w:p>
    <w:p w14:paraId="25C7C9CF" w14:textId="3FDDAF99" w:rsidR="00B103F7" w:rsidRPr="002F49E7" w:rsidRDefault="00B13BC6" w:rsidP="00624CD7">
      <w:pPr>
        <w:pStyle w:val="Paragrafoelenco"/>
        <w:ind w:left="0" w:firstLine="0"/>
        <w:jc w:val="both"/>
        <w:rPr>
          <w:rFonts w:ascii="Trebuchet MS" w:hAnsi="Trebuchet MS"/>
          <w:color w:val="595959" w:themeColor="text1" w:themeTint="A6"/>
          <w:sz w:val="26"/>
          <w:szCs w:val="26"/>
          <w:lang w:val="en-US"/>
        </w:rPr>
      </w:pPr>
      <w:r w:rsidRPr="002F49E7">
        <w:rPr>
          <w:rFonts w:ascii="Trebuchet MS" w:hAnsi="Trebuchet MS"/>
          <w:b/>
          <w:color w:val="595959" w:themeColor="text1" w:themeTint="A6"/>
          <w:sz w:val="26"/>
          <w:szCs w:val="26"/>
          <w:lang w:val="en-US"/>
        </w:rPr>
        <w:t>GLOSSAR</w:t>
      </w:r>
      <w:r w:rsidR="00BB5574" w:rsidRPr="002F49E7">
        <w:rPr>
          <w:rFonts w:ascii="Trebuchet MS" w:hAnsi="Trebuchet MS"/>
          <w:b/>
          <w:color w:val="595959" w:themeColor="text1" w:themeTint="A6"/>
          <w:sz w:val="26"/>
          <w:szCs w:val="26"/>
          <w:lang w:val="en-US"/>
        </w:rPr>
        <w:t>Y</w:t>
      </w:r>
      <w:r w:rsidR="00C87184" w:rsidRPr="002F49E7">
        <w:rPr>
          <w:rFonts w:ascii="Trebuchet MS" w:hAnsi="Trebuchet MS"/>
          <w:b/>
          <w:color w:val="595959" w:themeColor="text1" w:themeTint="A6"/>
          <w:sz w:val="26"/>
          <w:szCs w:val="26"/>
          <w:lang w:val="en-US"/>
        </w:rPr>
        <w:t xml:space="preserve"> </w:t>
      </w:r>
    </w:p>
    <w:p w14:paraId="0CE1C2EC" w14:textId="77777777" w:rsidR="00085C4C" w:rsidRPr="002F49E7" w:rsidRDefault="00085C4C" w:rsidP="00253432">
      <w:pPr>
        <w:spacing w:after="120"/>
        <w:jc w:val="both"/>
        <w:rPr>
          <w:rFonts w:ascii="Trebuchet MS" w:hAnsi="Trebuchet MS"/>
          <w:spacing w:val="14"/>
          <w:w w:val="80"/>
          <w:sz w:val="21"/>
          <w:szCs w:val="21"/>
          <w:lang w:val="en-US"/>
        </w:rPr>
      </w:pPr>
    </w:p>
    <w:p w14:paraId="4BFF9254" w14:textId="60BFFDD1" w:rsidR="00085C4C" w:rsidRPr="00BB5574" w:rsidRDefault="00BB5574" w:rsidP="00253432">
      <w:pPr>
        <w:spacing w:after="120"/>
        <w:jc w:val="both"/>
        <w:rPr>
          <w:rFonts w:ascii="Trebuchet MS" w:eastAsia="Times New Roman" w:hAnsi="Trebuchet MS" w:cs="Arial"/>
          <w:color w:val="595959" w:themeColor="text1" w:themeTint="A6"/>
          <w:sz w:val="20"/>
          <w:szCs w:val="20"/>
          <w:lang w:val="en-US" w:eastAsia="it-IT"/>
        </w:rPr>
      </w:pPr>
      <w:r w:rsidRPr="00BB5574">
        <w:rPr>
          <w:rStyle w:val="fontstyle01"/>
          <w:rFonts w:ascii="Trebuchet MS" w:hAnsi="Trebuchet MS"/>
          <w:iCs/>
          <w:color w:val="595959" w:themeColor="text1" w:themeTint="A6"/>
          <w:sz w:val="20"/>
          <w:szCs w:val="20"/>
          <w:lang w:val="en-US"/>
        </w:rPr>
        <w:t>Support activities for agriculture and post-harvest activities</w:t>
      </w:r>
      <w:r w:rsidR="00085C4C" w:rsidRPr="00BB5574">
        <w:rPr>
          <w:rStyle w:val="fontstyle01"/>
          <w:rFonts w:ascii="Trebuchet MS" w:hAnsi="Trebuchet MS"/>
          <w:iCs/>
          <w:color w:val="595959" w:themeColor="text1" w:themeTint="A6"/>
          <w:sz w:val="20"/>
          <w:szCs w:val="20"/>
          <w:lang w:val="en-US"/>
        </w:rPr>
        <w:t>:</w:t>
      </w:r>
      <w:r w:rsidR="00085C4C" w:rsidRPr="00BB5574">
        <w:rPr>
          <w:rFonts w:ascii="Trebuchet MS" w:eastAsia="Times New Roman" w:hAnsi="Trebuchet MS" w:cs="Arial"/>
          <w:color w:val="595959" w:themeColor="text1" w:themeTint="A6"/>
          <w:sz w:val="20"/>
          <w:szCs w:val="20"/>
          <w:lang w:val="en-US" w:eastAsia="it-IT"/>
        </w:rPr>
        <w:t xml:space="preserve"> </w:t>
      </w:r>
      <w:r w:rsidRPr="00BB5574">
        <w:rPr>
          <w:rFonts w:ascii="Trebuchet MS" w:eastAsia="Times New Roman" w:hAnsi="Trebuchet MS" w:cs="Arial"/>
          <w:color w:val="595959" w:themeColor="text1" w:themeTint="A6"/>
          <w:sz w:val="20"/>
          <w:szCs w:val="20"/>
          <w:lang w:val="en-US" w:eastAsia="it-IT"/>
        </w:rPr>
        <w:t xml:space="preserve">they are activities related to agricultural production, not aimed at the collection of agricultural products, carried out on behalf of third parties. Also included are activities that follow the harvest, aimed at preparing agricultural products for the primary market. Agriculture support activities are identified with the code 01.6 in the Classification of economic activities </w:t>
      </w:r>
      <w:proofErr w:type="spellStart"/>
      <w:r w:rsidRPr="00BB5574">
        <w:rPr>
          <w:rFonts w:ascii="Trebuchet MS" w:eastAsia="Times New Roman" w:hAnsi="Trebuchet MS" w:cs="Arial"/>
          <w:color w:val="595959" w:themeColor="text1" w:themeTint="A6"/>
          <w:sz w:val="20"/>
          <w:szCs w:val="20"/>
          <w:lang w:val="en-US" w:eastAsia="it-IT"/>
        </w:rPr>
        <w:t>Ateco</w:t>
      </w:r>
      <w:proofErr w:type="spellEnd"/>
      <w:r w:rsidRPr="00BB5574">
        <w:rPr>
          <w:rFonts w:ascii="Trebuchet MS" w:eastAsia="Times New Roman" w:hAnsi="Trebuchet MS" w:cs="Arial"/>
          <w:color w:val="595959" w:themeColor="text1" w:themeTint="A6"/>
          <w:sz w:val="20"/>
          <w:szCs w:val="20"/>
          <w:lang w:val="en-US" w:eastAsia="it-IT"/>
        </w:rPr>
        <w:t xml:space="preserve"> 2007 (derived from the </w:t>
      </w:r>
      <w:proofErr w:type="spellStart"/>
      <w:r w:rsidRPr="00BB5574">
        <w:rPr>
          <w:rFonts w:ascii="Trebuchet MS" w:eastAsia="Times New Roman" w:hAnsi="Trebuchet MS" w:cs="Arial"/>
          <w:color w:val="595959" w:themeColor="text1" w:themeTint="A6"/>
          <w:sz w:val="20"/>
          <w:szCs w:val="20"/>
          <w:lang w:val="en-US" w:eastAsia="it-IT"/>
        </w:rPr>
        <w:t>Nace</w:t>
      </w:r>
      <w:proofErr w:type="spellEnd"/>
      <w:r w:rsidRPr="00BB5574">
        <w:rPr>
          <w:rFonts w:ascii="Trebuchet MS" w:eastAsia="Times New Roman" w:hAnsi="Trebuchet MS" w:cs="Arial"/>
          <w:color w:val="595959" w:themeColor="text1" w:themeTint="A6"/>
          <w:sz w:val="20"/>
          <w:szCs w:val="20"/>
          <w:lang w:val="en-US" w:eastAsia="it-IT"/>
        </w:rPr>
        <w:t xml:space="preserve"> Rev.2).</w:t>
      </w:r>
    </w:p>
    <w:p w14:paraId="7513C121" w14:textId="7298019F" w:rsidR="001B1350" w:rsidRPr="00BB5574" w:rsidRDefault="00BB5574" w:rsidP="00253432">
      <w:pPr>
        <w:spacing w:after="120"/>
        <w:jc w:val="both"/>
        <w:rPr>
          <w:rFonts w:ascii="Trebuchet MS" w:eastAsia="Times New Roman" w:hAnsi="Trebuchet MS" w:cs="Arial"/>
          <w:color w:val="595959" w:themeColor="text1" w:themeTint="A6"/>
          <w:sz w:val="20"/>
          <w:szCs w:val="20"/>
          <w:lang w:val="en-US" w:eastAsia="it-IT"/>
        </w:rPr>
      </w:pPr>
      <w:r w:rsidRPr="00BB5574">
        <w:rPr>
          <w:rStyle w:val="fontstyle01"/>
          <w:rFonts w:ascii="Trebuchet MS" w:hAnsi="Trebuchet MS"/>
          <w:iCs/>
          <w:color w:val="595959" w:themeColor="text1" w:themeTint="A6"/>
          <w:sz w:val="20"/>
          <w:szCs w:val="20"/>
          <w:lang w:val="en-US"/>
        </w:rPr>
        <w:t>Secondary activities of agriculture</w:t>
      </w:r>
      <w:r w:rsidR="001B1350" w:rsidRPr="00BB5574">
        <w:rPr>
          <w:rStyle w:val="fontstyle01"/>
          <w:rFonts w:ascii="Trebuchet MS" w:hAnsi="Trebuchet MS"/>
          <w:iCs/>
          <w:color w:val="595959" w:themeColor="text1" w:themeTint="A6"/>
          <w:sz w:val="20"/>
          <w:szCs w:val="20"/>
          <w:lang w:val="en-US"/>
        </w:rPr>
        <w:t>:</w:t>
      </w:r>
      <w:r w:rsidR="001B1350" w:rsidRPr="00BB5574">
        <w:rPr>
          <w:rFonts w:ascii="Trebuchet MS" w:eastAsia="Times New Roman" w:hAnsi="Trebuchet MS" w:cs="Arial"/>
          <w:color w:val="595959" w:themeColor="text1" w:themeTint="A6"/>
          <w:sz w:val="20"/>
          <w:szCs w:val="20"/>
          <w:lang w:val="en-US" w:eastAsia="it-IT"/>
        </w:rPr>
        <w:t xml:space="preserve"> </w:t>
      </w:r>
      <w:r w:rsidRPr="00BB5574">
        <w:rPr>
          <w:rFonts w:ascii="Trebuchet MS" w:eastAsia="Times New Roman" w:hAnsi="Trebuchet MS" w:cs="Arial"/>
          <w:color w:val="595959" w:themeColor="text1" w:themeTint="A6"/>
          <w:sz w:val="20"/>
          <w:szCs w:val="20"/>
          <w:lang w:val="en-US" w:eastAsia="it-IT"/>
        </w:rPr>
        <w:t xml:space="preserve">are the activities of production of non-agricultural goods and services (i.e. not </w:t>
      </w:r>
      <w:proofErr w:type="gramStart"/>
      <w:r w:rsidRPr="00BB5574">
        <w:rPr>
          <w:rFonts w:ascii="Trebuchet MS" w:eastAsia="Times New Roman" w:hAnsi="Trebuchet MS" w:cs="Arial"/>
          <w:color w:val="595959" w:themeColor="text1" w:themeTint="A6"/>
          <w:sz w:val="20"/>
          <w:szCs w:val="20"/>
          <w:lang w:val="en-US" w:eastAsia="it-IT"/>
        </w:rPr>
        <w:t>belonging  to</w:t>
      </w:r>
      <w:proofErr w:type="gramEnd"/>
      <w:r w:rsidRPr="00BB5574">
        <w:rPr>
          <w:rFonts w:ascii="Trebuchet MS" w:eastAsia="Times New Roman" w:hAnsi="Trebuchet MS" w:cs="Arial"/>
          <w:color w:val="595959" w:themeColor="text1" w:themeTint="A6"/>
          <w:sz w:val="20"/>
          <w:szCs w:val="20"/>
          <w:lang w:val="en-US" w:eastAsia="it-IT"/>
        </w:rPr>
        <w:t xml:space="preserve">  the  </w:t>
      </w:r>
      <w:proofErr w:type="spellStart"/>
      <w:r w:rsidRPr="00BB5574">
        <w:rPr>
          <w:rFonts w:ascii="Trebuchet MS" w:eastAsia="Times New Roman" w:hAnsi="Trebuchet MS" w:cs="Arial"/>
          <w:color w:val="595959" w:themeColor="text1" w:themeTint="A6"/>
          <w:sz w:val="20"/>
          <w:szCs w:val="20"/>
          <w:lang w:val="en-US" w:eastAsia="it-IT"/>
        </w:rPr>
        <w:t>Nace</w:t>
      </w:r>
      <w:proofErr w:type="spellEnd"/>
      <w:r w:rsidRPr="00BB5574">
        <w:rPr>
          <w:rFonts w:ascii="Trebuchet MS" w:eastAsia="Times New Roman" w:hAnsi="Trebuchet MS" w:cs="Arial"/>
          <w:color w:val="595959" w:themeColor="text1" w:themeTint="A6"/>
          <w:sz w:val="20"/>
          <w:szCs w:val="20"/>
          <w:lang w:val="en-US" w:eastAsia="it-IT"/>
        </w:rPr>
        <w:t xml:space="preserve">  codes  01,  02  and  03)  carried  out  within  the  agricultural  sector  or  referable  to  it  (mainly agricultural tourism, processing of milk, fruit and meat, renewable energy production).</w:t>
      </w:r>
    </w:p>
    <w:p w14:paraId="269D7C01" w14:textId="226DE1F5" w:rsidR="00085C4C" w:rsidRPr="00BB5574" w:rsidRDefault="00BB5574" w:rsidP="00253432">
      <w:pPr>
        <w:spacing w:after="120"/>
        <w:jc w:val="both"/>
        <w:rPr>
          <w:rFonts w:ascii="Trebuchet MS" w:eastAsia="Times New Roman" w:hAnsi="Trebuchet MS" w:cs="Arial"/>
          <w:color w:val="595959" w:themeColor="text1" w:themeTint="A6"/>
          <w:sz w:val="20"/>
          <w:szCs w:val="20"/>
          <w:lang w:val="en-US" w:eastAsia="it-IT"/>
        </w:rPr>
      </w:pPr>
      <w:r w:rsidRPr="00BB5574">
        <w:rPr>
          <w:rStyle w:val="fontstyle01"/>
          <w:rFonts w:ascii="Trebuchet MS" w:hAnsi="Trebuchet MS"/>
          <w:iCs/>
          <w:color w:val="595959" w:themeColor="text1" w:themeTint="A6"/>
          <w:sz w:val="20"/>
          <w:szCs w:val="20"/>
          <w:lang w:val="en-US"/>
        </w:rPr>
        <w:t>Deflator</w:t>
      </w:r>
      <w:r w:rsidR="00085C4C" w:rsidRPr="00BB5574">
        <w:rPr>
          <w:rFonts w:ascii="Trebuchet MS" w:eastAsia="Times New Roman" w:hAnsi="Trebuchet MS" w:cs="Arial"/>
          <w:color w:val="595959" w:themeColor="text1" w:themeTint="A6"/>
          <w:sz w:val="20"/>
          <w:szCs w:val="20"/>
          <w:lang w:val="en-US" w:eastAsia="it-IT"/>
        </w:rPr>
        <w:t xml:space="preserve">: </w:t>
      </w:r>
      <w:r w:rsidRPr="00BB5574">
        <w:rPr>
          <w:rFonts w:ascii="Trebuchet MS" w:eastAsia="Times New Roman" w:hAnsi="Trebuchet MS" w:cs="Arial"/>
          <w:color w:val="595959" w:themeColor="text1" w:themeTint="A6"/>
          <w:sz w:val="20"/>
          <w:szCs w:val="20"/>
          <w:lang w:val="en-US" w:eastAsia="it-IT"/>
        </w:rPr>
        <w:t>is the ratio between an aggregate expressed in nominal terms and the same expressed in real terms. It indicates how much of the growth of the aggregate, expressed in nominal terms, i</w:t>
      </w:r>
      <w:r>
        <w:rPr>
          <w:rFonts w:ascii="Trebuchet MS" w:eastAsia="Times New Roman" w:hAnsi="Trebuchet MS" w:cs="Arial"/>
          <w:color w:val="595959" w:themeColor="text1" w:themeTint="A6"/>
          <w:sz w:val="20"/>
          <w:szCs w:val="20"/>
          <w:lang w:val="en-US" w:eastAsia="it-IT"/>
        </w:rPr>
        <w:t>s attributable to price changes</w:t>
      </w:r>
      <w:r w:rsidR="00085C4C" w:rsidRPr="00BB5574">
        <w:rPr>
          <w:rFonts w:ascii="Trebuchet MS" w:eastAsia="Times New Roman" w:hAnsi="Trebuchet MS" w:cs="Arial"/>
          <w:color w:val="595959" w:themeColor="text1" w:themeTint="A6"/>
          <w:sz w:val="20"/>
          <w:szCs w:val="20"/>
          <w:lang w:val="en-US" w:eastAsia="it-IT"/>
        </w:rPr>
        <w:t>.</w:t>
      </w:r>
    </w:p>
    <w:p w14:paraId="02AB03E4" w14:textId="744FFAFF" w:rsidR="00085C4C" w:rsidRPr="00BB5574" w:rsidRDefault="00BB5574" w:rsidP="00253432">
      <w:pPr>
        <w:spacing w:after="120"/>
        <w:jc w:val="both"/>
        <w:rPr>
          <w:rFonts w:ascii="Trebuchet MS" w:eastAsia="Times New Roman" w:hAnsi="Trebuchet MS" w:cs="Arial"/>
          <w:color w:val="595959" w:themeColor="text1" w:themeTint="A6"/>
          <w:sz w:val="20"/>
          <w:szCs w:val="20"/>
          <w:lang w:val="en-US" w:eastAsia="it-IT"/>
        </w:rPr>
      </w:pPr>
      <w:r w:rsidRPr="00BB5574">
        <w:rPr>
          <w:rStyle w:val="fontstyle01"/>
          <w:rFonts w:ascii="Trebuchet MS" w:hAnsi="Trebuchet MS"/>
          <w:iCs/>
          <w:color w:val="595959" w:themeColor="text1" w:themeTint="A6"/>
          <w:sz w:val="20"/>
          <w:szCs w:val="20"/>
          <w:lang w:val="en-US"/>
        </w:rPr>
        <w:t xml:space="preserve">Agricultural income </w:t>
      </w:r>
      <w:proofErr w:type="gramStart"/>
      <w:r w:rsidRPr="00BB5574">
        <w:rPr>
          <w:rStyle w:val="fontstyle01"/>
          <w:rFonts w:ascii="Trebuchet MS" w:hAnsi="Trebuchet MS"/>
          <w:iCs/>
          <w:color w:val="595959" w:themeColor="text1" w:themeTint="A6"/>
          <w:sz w:val="20"/>
          <w:szCs w:val="20"/>
          <w:lang w:val="en-US"/>
        </w:rPr>
        <w:t>indicator</w:t>
      </w:r>
      <w:r w:rsidR="00085C4C" w:rsidRPr="00BB5574">
        <w:rPr>
          <w:rStyle w:val="fontstyle01"/>
          <w:rFonts w:ascii="Trebuchet MS" w:hAnsi="Trebuchet MS"/>
          <w:iCs/>
          <w:color w:val="595959" w:themeColor="text1" w:themeTint="A6"/>
          <w:sz w:val="20"/>
          <w:szCs w:val="20"/>
          <w:lang w:val="en-US"/>
        </w:rPr>
        <w:t>:</w:t>
      </w:r>
      <w:proofErr w:type="gramEnd"/>
      <w:r w:rsidR="00085C4C" w:rsidRPr="00BB5574">
        <w:rPr>
          <w:rFonts w:ascii="Trebuchet MS" w:eastAsia="Times New Roman" w:hAnsi="Trebuchet MS" w:cs="Arial"/>
          <w:color w:val="595959" w:themeColor="text1" w:themeTint="A6"/>
          <w:sz w:val="20"/>
          <w:szCs w:val="20"/>
          <w:lang w:val="en-US" w:eastAsia="it-IT"/>
        </w:rPr>
        <w:t xml:space="preserve"> </w:t>
      </w:r>
      <w:r w:rsidRPr="00BB5574">
        <w:rPr>
          <w:rFonts w:ascii="Trebuchet MS" w:eastAsia="Times New Roman" w:hAnsi="Trebuchet MS" w:cs="Arial"/>
          <w:color w:val="595959" w:themeColor="text1" w:themeTint="A6"/>
          <w:sz w:val="20"/>
          <w:szCs w:val="20"/>
          <w:lang w:val="en-US" w:eastAsia="it-IT"/>
        </w:rPr>
        <w:t>is the so-called indicator A, defined by Eurostat as the value added at the cost of factors in real terms of agriculture per unit of work. The deflator used is that of GDP.</w:t>
      </w:r>
    </w:p>
    <w:p w14:paraId="75C0E6EA" w14:textId="697ACBA1" w:rsidR="00085C4C" w:rsidRPr="00BB5574" w:rsidRDefault="00BB5574" w:rsidP="00253432">
      <w:pPr>
        <w:spacing w:after="120"/>
        <w:jc w:val="both"/>
        <w:rPr>
          <w:rFonts w:ascii="Trebuchet MS" w:eastAsia="Times New Roman" w:hAnsi="Trebuchet MS" w:cs="Arial"/>
          <w:color w:val="595959" w:themeColor="text1" w:themeTint="A6"/>
          <w:sz w:val="20"/>
          <w:szCs w:val="20"/>
          <w:lang w:val="en-US" w:eastAsia="it-IT"/>
        </w:rPr>
      </w:pPr>
      <w:r w:rsidRPr="00BB5574">
        <w:rPr>
          <w:rStyle w:val="fontstyle01"/>
          <w:rFonts w:ascii="Trebuchet MS" w:hAnsi="Trebuchet MS"/>
          <w:iCs/>
          <w:color w:val="595959" w:themeColor="text1" w:themeTint="A6"/>
          <w:sz w:val="20"/>
          <w:szCs w:val="20"/>
          <w:lang w:val="en-US"/>
        </w:rPr>
        <w:t>Base price</w:t>
      </w:r>
      <w:r w:rsidR="00085C4C" w:rsidRPr="00BB5574">
        <w:rPr>
          <w:rStyle w:val="fontstyle01"/>
          <w:rFonts w:ascii="Trebuchet MS" w:hAnsi="Trebuchet MS"/>
          <w:iCs/>
          <w:color w:val="595959" w:themeColor="text1" w:themeTint="A6"/>
          <w:sz w:val="20"/>
          <w:szCs w:val="20"/>
          <w:lang w:val="en-US"/>
        </w:rPr>
        <w:t>:</w:t>
      </w:r>
      <w:r w:rsidR="00085C4C" w:rsidRPr="00BB5574">
        <w:rPr>
          <w:rFonts w:ascii="Trebuchet MS" w:eastAsia="Times New Roman" w:hAnsi="Trebuchet MS" w:cs="Arial"/>
          <w:color w:val="595959" w:themeColor="text1" w:themeTint="A6"/>
          <w:sz w:val="20"/>
          <w:szCs w:val="20"/>
          <w:lang w:val="en-US" w:eastAsia="it-IT"/>
        </w:rPr>
        <w:t xml:space="preserve"> </w:t>
      </w:r>
      <w:r w:rsidRPr="00BB5574">
        <w:rPr>
          <w:rFonts w:ascii="Trebuchet MS" w:eastAsia="Times New Roman" w:hAnsi="Trebuchet MS" w:cs="Arial"/>
          <w:color w:val="595959" w:themeColor="text1" w:themeTint="A6"/>
          <w:sz w:val="20"/>
          <w:szCs w:val="20"/>
          <w:lang w:val="en-US" w:eastAsia="it-IT"/>
        </w:rPr>
        <w:t>is the measure of the actual amount received by the manufacturer. Includes contributions on products and excludes product taxes and any trade and transport margins invoiced separately by the manufacturer.</w:t>
      </w:r>
    </w:p>
    <w:p w14:paraId="04679BD8" w14:textId="6A06B021" w:rsidR="00085C4C" w:rsidRPr="00BB5574" w:rsidRDefault="00BB5574" w:rsidP="00253432">
      <w:pPr>
        <w:spacing w:after="120"/>
        <w:jc w:val="both"/>
        <w:rPr>
          <w:rFonts w:ascii="Trebuchet MS" w:eastAsia="Times New Roman" w:hAnsi="Trebuchet MS" w:cs="Arial"/>
          <w:color w:val="595959" w:themeColor="text1" w:themeTint="A6"/>
          <w:sz w:val="20"/>
          <w:szCs w:val="20"/>
          <w:lang w:val="en-US" w:eastAsia="it-IT"/>
        </w:rPr>
      </w:pPr>
      <w:r w:rsidRPr="00BB5574">
        <w:rPr>
          <w:rStyle w:val="fontstyle01"/>
          <w:rFonts w:ascii="Trebuchet MS" w:hAnsi="Trebuchet MS"/>
          <w:iCs/>
          <w:color w:val="595959" w:themeColor="text1" w:themeTint="A6"/>
          <w:sz w:val="20"/>
          <w:szCs w:val="20"/>
          <w:lang w:val="en-US"/>
        </w:rPr>
        <w:t>Market ratio</w:t>
      </w:r>
      <w:r w:rsidR="00085C4C" w:rsidRPr="00BB5574">
        <w:rPr>
          <w:rStyle w:val="fontstyle01"/>
          <w:rFonts w:ascii="Trebuchet MS" w:hAnsi="Trebuchet MS"/>
          <w:iCs/>
          <w:color w:val="595959" w:themeColor="text1" w:themeTint="A6"/>
          <w:sz w:val="20"/>
          <w:szCs w:val="20"/>
          <w:lang w:val="en-US"/>
        </w:rPr>
        <w:t>:</w:t>
      </w:r>
      <w:r w:rsidR="00085C4C" w:rsidRPr="00BB5574">
        <w:rPr>
          <w:rFonts w:ascii="Trebuchet MS" w:eastAsia="Times New Roman" w:hAnsi="Trebuchet MS" w:cs="Arial"/>
          <w:color w:val="595959" w:themeColor="text1" w:themeTint="A6"/>
          <w:sz w:val="20"/>
          <w:szCs w:val="20"/>
          <w:lang w:val="en-US" w:eastAsia="it-IT"/>
        </w:rPr>
        <w:t xml:space="preserve"> </w:t>
      </w:r>
      <w:r w:rsidRPr="00BB5574">
        <w:rPr>
          <w:rFonts w:ascii="Trebuchet MS" w:eastAsia="Times New Roman" w:hAnsi="Trebuchet MS" w:cs="Arial"/>
          <w:color w:val="595959" w:themeColor="text1" w:themeTint="A6"/>
          <w:sz w:val="20"/>
          <w:szCs w:val="20"/>
          <w:lang w:val="en-US" w:eastAsia="it-IT"/>
        </w:rPr>
        <w:t>in this context, the market ratio of agriculture is measured by the ratio between the index of producer prices of agricultural products (output) and that of intermediate consumption prices (input) for domestic producers.</w:t>
      </w:r>
    </w:p>
    <w:p w14:paraId="15D26931" w14:textId="4B77B6E4" w:rsidR="00085C4C" w:rsidRPr="004B0884" w:rsidRDefault="004B0884" w:rsidP="00253432">
      <w:pPr>
        <w:spacing w:after="120"/>
        <w:jc w:val="both"/>
        <w:rPr>
          <w:rFonts w:ascii="Trebuchet MS" w:eastAsia="Times New Roman" w:hAnsi="Trebuchet MS" w:cs="Arial"/>
          <w:color w:val="595959" w:themeColor="text1" w:themeTint="A6"/>
          <w:sz w:val="20"/>
          <w:szCs w:val="20"/>
          <w:lang w:val="en-US" w:eastAsia="it-IT"/>
        </w:rPr>
      </w:pPr>
      <w:proofErr w:type="gramStart"/>
      <w:r w:rsidRPr="004B0884">
        <w:rPr>
          <w:rStyle w:val="fontstyle01"/>
          <w:rFonts w:ascii="Trebuchet MS" w:hAnsi="Trebuchet MS"/>
          <w:iCs/>
          <w:color w:val="595959" w:themeColor="text1" w:themeTint="A6"/>
          <w:sz w:val="20"/>
          <w:szCs w:val="20"/>
          <w:lang w:val="en-US"/>
        </w:rPr>
        <w:t>Income  from</w:t>
      </w:r>
      <w:proofErr w:type="gramEnd"/>
      <w:r w:rsidRPr="004B0884">
        <w:rPr>
          <w:rStyle w:val="fontstyle01"/>
          <w:rFonts w:ascii="Trebuchet MS" w:hAnsi="Trebuchet MS"/>
          <w:iCs/>
          <w:color w:val="595959" w:themeColor="text1" w:themeTint="A6"/>
          <w:sz w:val="20"/>
          <w:szCs w:val="20"/>
          <w:lang w:val="en-US"/>
        </w:rPr>
        <w:t xml:space="preserve">  employment</w:t>
      </w:r>
      <w:r w:rsidR="00085C4C" w:rsidRPr="004B0884">
        <w:rPr>
          <w:rStyle w:val="fontstyle01"/>
          <w:rFonts w:ascii="Trebuchet MS" w:hAnsi="Trebuchet MS"/>
          <w:iCs/>
          <w:color w:val="595959" w:themeColor="text1" w:themeTint="A6"/>
          <w:sz w:val="20"/>
          <w:szCs w:val="20"/>
          <w:lang w:val="en-US"/>
        </w:rPr>
        <w:t>:</w:t>
      </w:r>
      <w:r w:rsidR="00085C4C" w:rsidRPr="004B0884">
        <w:rPr>
          <w:rFonts w:ascii="Trebuchet MS" w:eastAsia="Times New Roman" w:hAnsi="Trebuchet MS" w:cs="Arial"/>
          <w:color w:val="595959" w:themeColor="text1" w:themeTint="A6"/>
          <w:sz w:val="20"/>
          <w:szCs w:val="20"/>
          <w:lang w:val="en-US" w:eastAsia="it-IT"/>
        </w:rPr>
        <w:t xml:space="preserve"> </w:t>
      </w:r>
      <w:r w:rsidRPr="004B0884">
        <w:rPr>
          <w:rFonts w:ascii="Trebuchet MS" w:eastAsia="Times New Roman" w:hAnsi="Trebuchet MS" w:cs="Arial"/>
          <w:color w:val="595959" w:themeColor="text1" w:themeTint="A6"/>
          <w:sz w:val="20"/>
          <w:szCs w:val="20"/>
          <w:lang w:val="en-US" w:eastAsia="it-IT"/>
        </w:rPr>
        <w:t xml:space="preserve">is  the  cost  borne  by  employers  as  remuneration  for  the  work  performed  by  workers employed  by  them.  </w:t>
      </w:r>
      <w:proofErr w:type="gramStart"/>
      <w:r w:rsidRPr="004B0884">
        <w:rPr>
          <w:rFonts w:ascii="Trebuchet MS" w:eastAsia="Times New Roman" w:hAnsi="Trebuchet MS" w:cs="Arial"/>
          <w:color w:val="595959" w:themeColor="text1" w:themeTint="A6"/>
          <w:sz w:val="20"/>
          <w:szCs w:val="20"/>
          <w:lang w:val="en-US" w:eastAsia="it-IT"/>
        </w:rPr>
        <w:t>The  aggregate</w:t>
      </w:r>
      <w:proofErr w:type="gramEnd"/>
      <w:r w:rsidRPr="004B0884">
        <w:rPr>
          <w:rFonts w:ascii="Trebuchet MS" w:eastAsia="Times New Roman" w:hAnsi="Trebuchet MS" w:cs="Arial"/>
          <w:color w:val="595959" w:themeColor="text1" w:themeTint="A6"/>
          <w:sz w:val="20"/>
          <w:szCs w:val="20"/>
          <w:lang w:val="en-US" w:eastAsia="it-IT"/>
        </w:rPr>
        <w:t xml:space="preserve">  of  compensation  of  employees  includes  both  gross  salaries  and  social contributions, both actual and/or figurative.</w:t>
      </w:r>
    </w:p>
    <w:p w14:paraId="441A275C" w14:textId="64230080" w:rsidR="00085C4C" w:rsidRPr="004B0884" w:rsidRDefault="004B0884" w:rsidP="00253432">
      <w:pPr>
        <w:spacing w:after="120"/>
        <w:jc w:val="both"/>
        <w:rPr>
          <w:rFonts w:ascii="Trebuchet MS" w:eastAsia="Times New Roman" w:hAnsi="Trebuchet MS" w:cs="Arial"/>
          <w:color w:val="595959" w:themeColor="text1" w:themeTint="A6"/>
          <w:sz w:val="20"/>
          <w:szCs w:val="20"/>
          <w:lang w:val="en-US" w:eastAsia="it-IT"/>
        </w:rPr>
      </w:pPr>
      <w:r w:rsidRPr="004B0884">
        <w:rPr>
          <w:rStyle w:val="fontstyle01"/>
          <w:rFonts w:ascii="Trebuchet MS" w:hAnsi="Trebuchet MS"/>
          <w:iCs/>
          <w:color w:val="595959" w:themeColor="text1" w:themeTint="A6"/>
          <w:sz w:val="20"/>
          <w:szCs w:val="20"/>
          <w:lang w:val="en-US"/>
        </w:rPr>
        <w:t>Gross salaries</w:t>
      </w:r>
      <w:r w:rsidR="00085C4C" w:rsidRPr="004B0884">
        <w:rPr>
          <w:rStyle w:val="fontstyle01"/>
          <w:rFonts w:ascii="Trebuchet MS" w:hAnsi="Trebuchet MS"/>
          <w:iCs/>
          <w:color w:val="595959" w:themeColor="text1" w:themeTint="A6"/>
          <w:sz w:val="20"/>
          <w:szCs w:val="20"/>
          <w:lang w:val="en-US"/>
        </w:rPr>
        <w:t>:</w:t>
      </w:r>
      <w:r w:rsidR="00085C4C" w:rsidRPr="004B0884">
        <w:rPr>
          <w:rFonts w:ascii="Trebuchet MS" w:eastAsia="Times New Roman" w:hAnsi="Trebuchet MS" w:cs="Arial"/>
          <w:color w:val="595959" w:themeColor="text1" w:themeTint="A6"/>
          <w:sz w:val="20"/>
          <w:szCs w:val="20"/>
          <w:lang w:val="en-US" w:eastAsia="it-IT"/>
        </w:rPr>
        <w:t xml:space="preserve"> </w:t>
      </w:r>
      <w:r w:rsidRPr="004B0884">
        <w:rPr>
          <w:rFonts w:ascii="Trebuchet MS" w:eastAsia="Times New Roman" w:hAnsi="Trebuchet MS" w:cs="Arial"/>
          <w:color w:val="595959" w:themeColor="text1" w:themeTint="A6"/>
          <w:sz w:val="20"/>
          <w:szCs w:val="20"/>
          <w:lang w:val="en-US" w:eastAsia="it-IT"/>
        </w:rPr>
        <w:t xml:space="preserve">include salaries, </w:t>
      </w:r>
      <w:proofErr w:type="gramStart"/>
      <w:r w:rsidRPr="004B0884">
        <w:rPr>
          <w:rFonts w:ascii="Trebuchet MS" w:eastAsia="Times New Roman" w:hAnsi="Trebuchet MS" w:cs="Arial"/>
          <w:color w:val="595959" w:themeColor="text1" w:themeTint="A6"/>
          <w:sz w:val="20"/>
          <w:szCs w:val="20"/>
          <w:lang w:val="en-US" w:eastAsia="it-IT"/>
        </w:rPr>
        <w:t>salaries</w:t>
      </w:r>
      <w:proofErr w:type="gramEnd"/>
      <w:r w:rsidRPr="004B0884">
        <w:rPr>
          <w:rFonts w:ascii="Trebuchet MS" w:eastAsia="Times New Roman" w:hAnsi="Trebuchet MS" w:cs="Arial"/>
          <w:color w:val="595959" w:themeColor="text1" w:themeTint="A6"/>
          <w:sz w:val="20"/>
          <w:szCs w:val="20"/>
          <w:lang w:val="en-US" w:eastAsia="it-IT"/>
        </w:rPr>
        <w:t xml:space="preserve"> and ancillary skills, in cash and in kind, gross of tax and social security deductions, paid to employees directly and on a regular basis, as established by contracts, company agreements and legal regulations in force.</w:t>
      </w:r>
    </w:p>
    <w:p w14:paraId="3A64D4DB" w14:textId="476D3EBB" w:rsidR="00085C4C" w:rsidRPr="004B0884" w:rsidRDefault="00D02ECC" w:rsidP="00253432">
      <w:pPr>
        <w:spacing w:after="120"/>
        <w:jc w:val="both"/>
        <w:rPr>
          <w:rFonts w:ascii="Trebuchet MS" w:eastAsia="Times New Roman" w:hAnsi="Trebuchet MS" w:cs="Arial"/>
          <w:color w:val="595959" w:themeColor="text1" w:themeTint="A6"/>
          <w:sz w:val="20"/>
          <w:szCs w:val="20"/>
          <w:lang w:val="en-US" w:eastAsia="it-IT"/>
        </w:rPr>
      </w:pPr>
      <w:r w:rsidRPr="00D02ECC">
        <w:rPr>
          <w:rStyle w:val="fontstyle01"/>
          <w:rFonts w:ascii="Trebuchet MS" w:hAnsi="Trebuchet MS"/>
          <w:iCs/>
          <w:color w:val="595959" w:themeColor="text1" w:themeTint="A6"/>
          <w:sz w:val="20"/>
          <w:szCs w:val="20"/>
          <w:lang w:val="en-US"/>
        </w:rPr>
        <w:t>Annual work unit (AWU)</w:t>
      </w:r>
      <w:r w:rsidR="00085C4C" w:rsidRPr="004B0884">
        <w:rPr>
          <w:rStyle w:val="fontstyle01"/>
          <w:rFonts w:ascii="Trebuchet MS" w:hAnsi="Trebuchet MS"/>
          <w:iCs/>
          <w:color w:val="595959" w:themeColor="text1" w:themeTint="A6"/>
          <w:sz w:val="20"/>
          <w:szCs w:val="20"/>
          <w:lang w:val="en-US"/>
        </w:rPr>
        <w:t>:</w:t>
      </w:r>
      <w:r w:rsidR="00085C4C" w:rsidRPr="004B0884">
        <w:rPr>
          <w:rFonts w:ascii="Trebuchet MS" w:eastAsia="Times New Roman" w:hAnsi="Trebuchet MS" w:cs="Arial"/>
          <w:color w:val="595959" w:themeColor="text1" w:themeTint="A6"/>
          <w:sz w:val="20"/>
          <w:szCs w:val="20"/>
          <w:lang w:val="en-US" w:eastAsia="it-IT"/>
        </w:rPr>
        <w:t xml:space="preserve"> </w:t>
      </w:r>
      <w:r w:rsidRPr="00D02ECC">
        <w:rPr>
          <w:rFonts w:ascii="Trebuchet MS" w:eastAsia="Times New Roman" w:hAnsi="Trebuchet MS" w:cs="Arial"/>
          <w:color w:val="595959" w:themeColor="text1" w:themeTint="A6"/>
          <w:sz w:val="20"/>
          <w:szCs w:val="20"/>
          <w:lang w:val="en-US" w:eastAsia="it-IT"/>
        </w:rPr>
        <w:t xml:space="preserve">is the full-time equivalent employment, </w:t>
      </w:r>
      <w:proofErr w:type="gramStart"/>
      <w:r w:rsidRPr="00D02ECC">
        <w:rPr>
          <w:rFonts w:ascii="Trebuchet MS" w:eastAsia="Times New Roman" w:hAnsi="Trebuchet MS" w:cs="Arial"/>
          <w:color w:val="595959" w:themeColor="text1" w:themeTint="A6"/>
          <w:sz w:val="20"/>
          <w:szCs w:val="20"/>
          <w:lang w:val="en-US" w:eastAsia="it-IT"/>
        </w:rPr>
        <w:t>i.e.</w:t>
      </w:r>
      <w:proofErr w:type="gramEnd"/>
      <w:r w:rsidRPr="00D02ECC">
        <w:rPr>
          <w:rFonts w:ascii="Trebuchet MS" w:eastAsia="Times New Roman" w:hAnsi="Trebuchet MS" w:cs="Arial"/>
          <w:color w:val="595959" w:themeColor="text1" w:themeTint="A6"/>
          <w:sz w:val="20"/>
          <w:szCs w:val="20"/>
          <w:lang w:val="en-US" w:eastAsia="it-IT"/>
        </w:rPr>
        <w:t xml:space="preserve"> the total hours worked divided by the average annual hours worked in full-time jobs in the country. One annual work unit corresponds to the work performed by one person who is occupied on an agricultural holding on a full-time basis.</w:t>
      </w:r>
    </w:p>
    <w:p w14:paraId="4946A6A1" w14:textId="57C2DC95" w:rsidR="00085C4C" w:rsidRPr="002F49E7" w:rsidRDefault="004B0884" w:rsidP="00253432">
      <w:pPr>
        <w:spacing w:after="120"/>
        <w:jc w:val="both"/>
        <w:rPr>
          <w:rFonts w:ascii="Trebuchet MS" w:eastAsia="Times New Roman" w:hAnsi="Trebuchet MS" w:cs="Arial"/>
          <w:color w:val="595959" w:themeColor="text1" w:themeTint="A6"/>
          <w:sz w:val="20"/>
          <w:szCs w:val="20"/>
          <w:lang w:val="en-US" w:eastAsia="it-IT"/>
        </w:rPr>
      </w:pPr>
      <w:r w:rsidRPr="004B0884">
        <w:rPr>
          <w:rStyle w:val="fontstyle01"/>
          <w:rFonts w:ascii="Trebuchet MS" w:hAnsi="Trebuchet MS"/>
          <w:iCs/>
          <w:color w:val="595959" w:themeColor="text1" w:themeTint="A6"/>
          <w:sz w:val="20"/>
          <w:szCs w:val="20"/>
          <w:lang w:val="en-US"/>
        </w:rPr>
        <w:t>Value added at basic prices</w:t>
      </w:r>
      <w:r w:rsidR="00085C4C" w:rsidRPr="004B0884">
        <w:rPr>
          <w:rStyle w:val="fontstyle01"/>
          <w:rFonts w:ascii="Trebuchet MS" w:hAnsi="Trebuchet MS"/>
          <w:iCs/>
          <w:color w:val="595959" w:themeColor="text1" w:themeTint="A6"/>
          <w:sz w:val="20"/>
          <w:szCs w:val="20"/>
          <w:lang w:val="en-US"/>
        </w:rPr>
        <w:t>:</w:t>
      </w:r>
      <w:r w:rsidR="00085C4C" w:rsidRPr="004B0884">
        <w:rPr>
          <w:rFonts w:ascii="Trebuchet MS" w:eastAsia="Times New Roman" w:hAnsi="Trebuchet MS" w:cs="Arial"/>
          <w:color w:val="595959" w:themeColor="text1" w:themeTint="A6"/>
          <w:sz w:val="20"/>
          <w:szCs w:val="20"/>
          <w:lang w:val="en-US" w:eastAsia="it-IT"/>
        </w:rPr>
        <w:t xml:space="preserve"> </w:t>
      </w:r>
      <w:r w:rsidRPr="004B0884">
        <w:rPr>
          <w:rFonts w:ascii="Trebuchet MS" w:eastAsia="Times New Roman" w:hAnsi="Trebuchet MS" w:cs="Arial"/>
          <w:color w:val="595959" w:themeColor="text1" w:themeTint="A6"/>
          <w:sz w:val="20"/>
          <w:szCs w:val="20"/>
          <w:lang w:val="en-US" w:eastAsia="it-IT"/>
        </w:rPr>
        <w:t xml:space="preserve">it is the difference between the value of the production of goods and services and the value of the intermediate costs incurred for this production. Production is valued at basic prices, </w:t>
      </w:r>
      <w:proofErr w:type="spellStart"/>
      <w:r w:rsidRPr="004B0884">
        <w:rPr>
          <w:rFonts w:ascii="Trebuchet MS" w:eastAsia="Times New Roman" w:hAnsi="Trebuchet MS" w:cs="Arial"/>
          <w:color w:val="595959" w:themeColor="text1" w:themeTint="A6"/>
          <w:sz w:val="20"/>
          <w:szCs w:val="20"/>
          <w:lang w:val="en-US" w:eastAsia="it-IT"/>
        </w:rPr>
        <w:t>ie</w:t>
      </w:r>
      <w:proofErr w:type="spellEnd"/>
      <w:r w:rsidRPr="004B0884">
        <w:rPr>
          <w:rFonts w:ascii="Trebuchet MS" w:eastAsia="Times New Roman" w:hAnsi="Trebuchet MS" w:cs="Arial"/>
          <w:color w:val="595959" w:themeColor="text1" w:themeTint="A6"/>
          <w:sz w:val="20"/>
          <w:szCs w:val="20"/>
          <w:lang w:val="en-US" w:eastAsia="it-IT"/>
        </w:rPr>
        <w:t xml:space="preserve"> net of taxes on </w:t>
      </w:r>
      <w:proofErr w:type="gramStart"/>
      <w:r w:rsidRPr="004B0884">
        <w:rPr>
          <w:rFonts w:ascii="Trebuchet MS" w:eastAsia="Times New Roman" w:hAnsi="Trebuchet MS" w:cs="Arial"/>
          <w:color w:val="595959" w:themeColor="text1" w:themeTint="A6"/>
          <w:sz w:val="20"/>
          <w:szCs w:val="20"/>
          <w:lang w:val="en-US" w:eastAsia="it-IT"/>
        </w:rPr>
        <w:t>products  and</w:t>
      </w:r>
      <w:proofErr w:type="gramEnd"/>
      <w:r w:rsidRPr="004B0884">
        <w:rPr>
          <w:rFonts w:ascii="Trebuchet MS" w:eastAsia="Times New Roman" w:hAnsi="Trebuchet MS" w:cs="Arial"/>
          <w:color w:val="595959" w:themeColor="text1" w:themeTint="A6"/>
          <w:sz w:val="20"/>
          <w:szCs w:val="20"/>
          <w:lang w:val="en-US" w:eastAsia="it-IT"/>
        </w:rPr>
        <w:t xml:space="preserve">  gross  of  product  subsidies  and  intermediate  costs  at purchase  prices. </w:t>
      </w:r>
      <w:r w:rsidRPr="002F49E7">
        <w:rPr>
          <w:rFonts w:ascii="Trebuchet MS" w:eastAsia="Times New Roman" w:hAnsi="Trebuchet MS" w:cs="Arial"/>
          <w:color w:val="595959" w:themeColor="text1" w:themeTint="A6"/>
          <w:sz w:val="20"/>
          <w:szCs w:val="20"/>
          <w:lang w:val="en-US" w:eastAsia="it-IT"/>
        </w:rPr>
        <w:t xml:space="preserve">Corresponds </w:t>
      </w:r>
      <w:r w:rsidR="00D02ECC" w:rsidRPr="002F49E7">
        <w:rPr>
          <w:rFonts w:ascii="Trebuchet MS" w:eastAsia="Times New Roman" w:hAnsi="Trebuchet MS" w:cs="Arial"/>
          <w:color w:val="595959" w:themeColor="text1" w:themeTint="A6"/>
          <w:sz w:val="20"/>
          <w:szCs w:val="20"/>
          <w:lang w:val="en-US" w:eastAsia="it-IT"/>
        </w:rPr>
        <w:t xml:space="preserve">to </w:t>
      </w:r>
      <w:r w:rsidR="00674666" w:rsidRPr="002F49E7">
        <w:rPr>
          <w:rFonts w:ascii="Trebuchet MS" w:eastAsia="Times New Roman" w:hAnsi="Trebuchet MS" w:cs="Arial"/>
          <w:color w:val="595959" w:themeColor="text1" w:themeTint="A6"/>
          <w:sz w:val="20"/>
          <w:szCs w:val="20"/>
          <w:lang w:val="en-US" w:eastAsia="it-IT"/>
        </w:rPr>
        <w:t xml:space="preserve">the </w:t>
      </w:r>
      <w:r w:rsidR="0057151B" w:rsidRPr="002F49E7">
        <w:rPr>
          <w:rFonts w:ascii="Trebuchet MS" w:eastAsia="Times New Roman" w:hAnsi="Trebuchet MS" w:cs="Arial"/>
          <w:color w:val="595959" w:themeColor="text1" w:themeTint="A6"/>
          <w:sz w:val="20"/>
          <w:szCs w:val="20"/>
          <w:lang w:val="en-US" w:eastAsia="it-IT"/>
        </w:rPr>
        <w:t>sum of</w:t>
      </w:r>
      <w:r w:rsidRPr="002F49E7">
        <w:rPr>
          <w:rFonts w:ascii="Trebuchet MS" w:eastAsia="Times New Roman" w:hAnsi="Trebuchet MS" w:cs="Arial"/>
          <w:color w:val="595959" w:themeColor="text1" w:themeTint="A6"/>
          <w:sz w:val="20"/>
          <w:szCs w:val="20"/>
          <w:lang w:val="en-US" w:eastAsia="it-IT"/>
        </w:rPr>
        <w:t xml:space="preserve"> production factors and depreciation.</w:t>
      </w:r>
    </w:p>
    <w:p w14:paraId="680DE880" w14:textId="59B10AA9" w:rsidR="00085C4C" w:rsidRPr="004B0884" w:rsidRDefault="004B0884" w:rsidP="00253432">
      <w:pPr>
        <w:spacing w:after="120"/>
        <w:jc w:val="both"/>
        <w:rPr>
          <w:rFonts w:ascii="Trebuchet MS" w:eastAsia="Times New Roman" w:hAnsi="Trebuchet MS" w:cs="Arial"/>
          <w:color w:val="595959" w:themeColor="text1" w:themeTint="A6"/>
          <w:sz w:val="20"/>
          <w:szCs w:val="20"/>
          <w:lang w:val="en-US" w:eastAsia="it-IT"/>
        </w:rPr>
      </w:pPr>
      <w:r w:rsidRPr="004B0884">
        <w:rPr>
          <w:rStyle w:val="fontstyle01"/>
          <w:rFonts w:ascii="Trebuchet MS" w:hAnsi="Trebuchet MS"/>
          <w:iCs/>
          <w:color w:val="595959" w:themeColor="text1" w:themeTint="A6"/>
          <w:sz w:val="20"/>
          <w:szCs w:val="20"/>
          <w:lang w:val="en-US"/>
        </w:rPr>
        <w:t>Concatenated values</w:t>
      </w:r>
      <w:r w:rsidR="00085C4C" w:rsidRPr="004B0884">
        <w:rPr>
          <w:rStyle w:val="fontstyle01"/>
          <w:rFonts w:ascii="Trebuchet MS" w:hAnsi="Trebuchet MS"/>
          <w:iCs/>
          <w:color w:val="595959" w:themeColor="text1" w:themeTint="A6"/>
          <w:sz w:val="20"/>
          <w:szCs w:val="20"/>
          <w:lang w:val="en-US"/>
        </w:rPr>
        <w:t>:</w:t>
      </w:r>
      <w:r w:rsidR="00085C4C" w:rsidRPr="004B0884">
        <w:rPr>
          <w:rFonts w:ascii="Trebuchet MS" w:eastAsia="Times New Roman" w:hAnsi="Trebuchet MS" w:cs="Arial"/>
          <w:color w:val="595959" w:themeColor="text1" w:themeTint="A6"/>
          <w:sz w:val="20"/>
          <w:szCs w:val="20"/>
          <w:lang w:val="en-US" w:eastAsia="it-IT"/>
        </w:rPr>
        <w:t xml:space="preserve"> </w:t>
      </w:r>
      <w:r w:rsidRPr="004B0884">
        <w:rPr>
          <w:rFonts w:ascii="Trebuchet MS" w:eastAsia="Times New Roman" w:hAnsi="Trebuchet MS" w:cs="Arial"/>
          <w:color w:val="595959" w:themeColor="text1" w:themeTint="A6"/>
          <w:sz w:val="20"/>
          <w:szCs w:val="20"/>
          <w:lang w:val="en-US" w:eastAsia="it-IT"/>
        </w:rPr>
        <w:t xml:space="preserve">it is the measure in volume of the national accounting aggregates that allows to represent the real dynamics of the economic quantities net of the price Changes. For each aggregate and for each year the ratio between the value expressed at the prices of the previous year is calculated (for example the estimates for 2009 </w:t>
      </w:r>
      <w:proofErr w:type="gramStart"/>
      <w:r w:rsidRPr="004B0884">
        <w:rPr>
          <w:rFonts w:ascii="Trebuchet MS" w:eastAsia="Times New Roman" w:hAnsi="Trebuchet MS" w:cs="Arial"/>
          <w:color w:val="595959" w:themeColor="text1" w:themeTint="A6"/>
          <w:sz w:val="20"/>
          <w:szCs w:val="20"/>
          <w:lang w:val="en-US" w:eastAsia="it-IT"/>
        </w:rPr>
        <w:t>are  expressed</w:t>
      </w:r>
      <w:proofErr w:type="gramEnd"/>
      <w:r w:rsidRPr="004B0884">
        <w:rPr>
          <w:rFonts w:ascii="Trebuchet MS" w:eastAsia="Times New Roman" w:hAnsi="Trebuchet MS" w:cs="Arial"/>
          <w:color w:val="595959" w:themeColor="text1" w:themeTint="A6"/>
          <w:sz w:val="20"/>
          <w:szCs w:val="20"/>
          <w:lang w:val="en-US" w:eastAsia="it-IT"/>
        </w:rPr>
        <w:t xml:space="preserve">  at  2008  prices)  and  the  current  value  of  the  aggregate  referred  to  the  previous  year.  The volume indices on a mobile basis thus obtained are then reported to a fixed reference base (currently 2010) giving rise to chained volume indices. Multiplying these by the current value relating to the reference year we obtain the aggregate in chained values.</w:t>
      </w:r>
    </w:p>
    <w:p w14:paraId="17669BBF" w14:textId="678FF96D" w:rsidR="00085C4C" w:rsidRPr="004B0884" w:rsidRDefault="00085C4C" w:rsidP="007B79FB">
      <w:pPr>
        <w:rPr>
          <w:rFonts w:ascii="Trebuchet MS" w:eastAsia="Arial" w:hAnsi="Trebuchet MS" w:cs="Arial"/>
          <w:b/>
          <w:bCs/>
          <w:color w:val="17365D"/>
          <w:sz w:val="26"/>
          <w:szCs w:val="26"/>
          <w:lang w:val="en-US"/>
        </w:rPr>
      </w:pPr>
      <w:r w:rsidRPr="004B0884">
        <w:rPr>
          <w:rFonts w:ascii="Trebuchet MS" w:hAnsi="Trebuchet MS"/>
          <w:color w:val="17365D"/>
          <w:sz w:val="26"/>
          <w:szCs w:val="26"/>
          <w:lang w:val="en-US"/>
        </w:rPr>
        <w:br w:type="page"/>
      </w:r>
    </w:p>
    <w:p w14:paraId="3EE29F5C" w14:textId="29ED2A39" w:rsidR="00B13BC6" w:rsidRPr="00086276" w:rsidRDefault="001E255A" w:rsidP="007B79FB">
      <w:pPr>
        <w:pStyle w:val="Titolo1"/>
        <w:spacing w:before="94"/>
        <w:ind w:left="0"/>
        <w:rPr>
          <w:rFonts w:ascii="Trebuchet MS" w:hAnsi="Trebuchet MS"/>
          <w:color w:val="595959" w:themeColor="text1" w:themeTint="A6"/>
          <w:sz w:val="26"/>
          <w:szCs w:val="26"/>
          <w:lang w:val="en-US"/>
        </w:rPr>
      </w:pPr>
      <w:r w:rsidRPr="00086276">
        <w:rPr>
          <w:rFonts w:ascii="Trebuchet MS" w:hAnsi="Trebuchet MS"/>
          <w:color w:val="595959" w:themeColor="text1" w:themeTint="A6"/>
          <w:sz w:val="26"/>
          <w:szCs w:val="26"/>
          <w:lang w:val="en-US"/>
        </w:rPr>
        <w:lastRenderedPageBreak/>
        <w:t>METHODOLOGICAL NOTE</w:t>
      </w:r>
      <w:r w:rsidR="00B13BC6" w:rsidRPr="00086276">
        <w:rPr>
          <w:rFonts w:ascii="Trebuchet MS" w:hAnsi="Trebuchet MS"/>
          <w:color w:val="595959" w:themeColor="text1" w:themeTint="A6"/>
          <w:sz w:val="26"/>
          <w:szCs w:val="26"/>
          <w:lang w:val="en-US"/>
        </w:rPr>
        <w:t xml:space="preserve"> </w:t>
      </w:r>
    </w:p>
    <w:p w14:paraId="2383847A" w14:textId="77777777" w:rsidR="00253432" w:rsidRPr="00086276" w:rsidRDefault="00253432" w:rsidP="007B79FB">
      <w:pPr>
        <w:pStyle w:val="Titolo1"/>
        <w:spacing w:before="94"/>
        <w:ind w:left="0"/>
        <w:rPr>
          <w:rFonts w:ascii="Trebuchet MS" w:hAnsi="Trebuchet MS"/>
          <w:color w:val="17365D"/>
          <w:sz w:val="6"/>
          <w:szCs w:val="6"/>
          <w:lang w:val="en-US"/>
        </w:rPr>
      </w:pPr>
    </w:p>
    <w:p w14:paraId="57D05B42" w14:textId="77777777" w:rsidR="00086276" w:rsidRPr="00086276" w:rsidRDefault="00086276" w:rsidP="007B79FB">
      <w:pPr>
        <w:pStyle w:val="Corpotesto"/>
        <w:spacing w:before="73"/>
        <w:jc w:val="both"/>
        <w:rPr>
          <w:rFonts w:ascii="Trebuchet MS" w:eastAsia="Arial" w:hAnsi="Trebuchet MS" w:cs="Arial"/>
          <w:b/>
          <w:bCs/>
          <w:color w:val="595959" w:themeColor="text1" w:themeTint="A6"/>
          <w:sz w:val="22"/>
          <w:szCs w:val="22"/>
          <w:lang w:val="en-US"/>
        </w:rPr>
      </w:pPr>
      <w:r w:rsidRPr="00086276">
        <w:rPr>
          <w:rFonts w:ascii="Trebuchet MS" w:eastAsia="Arial" w:hAnsi="Trebuchet MS" w:cs="Arial"/>
          <w:b/>
          <w:bCs/>
          <w:color w:val="595959" w:themeColor="text1" w:themeTint="A6"/>
          <w:sz w:val="22"/>
          <w:szCs w:val="22"/>
          <w:lang w:val="en-US"/>
        </w:rPr>
        <w:t>The Economic Accounts of Agriculture</w:t>
      </w:r>
    </w:p>
    <w:p w14:paraId="1F0AA299" w14:textId="0C3E2F43" w:rsidR="004C1146" w:rsidRPr="00086276" w:rsidRDefault="00086276" w:rsidP="007B79FB">
      <w:pPr>
        <w:pStyle w:val="Corpotesto"/>
        <w:spacing w:before="73"/>
        <w:jc w:val="both"/>
        <w:rPr>
          <w:rFonts w:ascii="Trebuchet MS" w:eastAsia="Times New Roman" w:hAnsi="Trebuchet MS" w:cs="Arial"/>
          <w:color w:val="595959" w:themeColor="text1" w:themeTint="A6"/>
          <w:lang w:val="en-US" w:eastAsia="it-IT"/>
        </w:rPr>
      </w:pPr>
      <w:r w:rsidRPr="00086276">
        <w:rPr>
          <w:rFonts w:ascii="Trebuchet MS" w:eastAsia="Times New Roman" w:hAnsi="Trebuchet MS" w:cs="Arial"/>
          <w:color w:val="595959" w:themeColor="text1" w:themeTint="A6"/>
          <w:lang w:val="en-US" w:eastAsia="it-IT"/>
        </w:rPr>
        <w:t>The Economic Accounts of Agriculture (CEA) provide an overview of the activity of the sector. From the agricultural accounts derive economic trends by product, changes in basic prices and production volumes by product groups and by production sector. The data are processed according to the methodologies established by the European system of national and regional accounts (Sec 2010) and concern economic aggregates such as production, intermediate consumption, value added and agricultural income. The data has a high level of detail, both territorial and product. The methodology used follows the guidelines recommended by Eurostat</w:t>
      </w:r>
      <w:r w:rsidR="004C1146" w:rsidRPr="00086276">
        <w:rPr>
          <w:rFonts w:ascii="Trebuchet MS" w:eastAsia="Times New Roman" w:hAnsi="Trebuchet MS" w:cs="Arial"/>
          <w:color w:val="595959" w:themeColor="text1" w:themeTint="A6"/>
          <w:lang w:val="en-US" w:eastAsia="it-IT"/>
        </w:rPr>
        <w:t xml:space="preserve"> </w:t>
      </w:r>
    </w:p>
    <w:p w14:paraId="760C7EBA" w14:textId="1C7DB1B5" w:rsidR="004C1146" w:rsidRPr="00086276" w:rsidRDefault="00086276" w:rsidP="007B79FB">
      <w:pPr>
        <w:pStyle w:val="Corpotesto"/>
        <w:spacing w:before="73"/>
        <w:jc w:val="both"/>
        <w:rPr>
          <w:rFonts w:ascii="Trebuchet MS" w:eastAsia="Times New Roman" w:hAnsi="Trebuchet MS" w:cs="Arial"/>
          <w:color w:val="595959" w:themeColor="text1" w:themeTint="A6"/>
          <w:lang w:val="en-US" w:eastAsia="it-IT"/>
        </w:rPr>
      </w:pPr>
      <w:r w:rsidRPr="00086276">
        <w:rPr>
          <w:rFonts w:ascii="Trebuchet MS" w:eastAsia="Times New Roman" w:hAnsi="Trebuchet MS" w:cs="Arial"/>
          <w:color w:val="595959" w:themeColor="text1" w:themeTint="A6"/>
          <w:lang w:val="en-US" w:eastAsia="it-IT"/>
        </w:rPr>
        <w:t xml:space="preserve">In </w:t>
      </w:r>
      <w:r>
        <w:rPr>
          <w:rFonts w:ascii="Trebuchet MS" w:eastAsia="Times New Roman" w:hAnsi="Trebuchet MS" w:cs="Arial"/>
          <w:color w:val="595959" w:themeColor="text1" w:themeTint="A6"/>
          <w:lang w:val="en-US" w:eastAsia="it-IT"/>
        </w:rPr>
        <w:t xml:space="preserve">this Report, in the first part </w:t>
      </w:r>
      <w:r w:rsidRPr="00086276">
        <w:rPr>
          <w:rFonts w:ascii="Trebuchet MS" w:eastAsia="Times New Roman" w:hAnsi="Trebuchet MS" w:cs="Arial"/>
          <w:color w:val="595959" w:themeColor="text1" w:themeTint="A6"/>
          <w:lang w:val="en-US" w:eastAsia="it-IT"/>
        </w:rPr>
        <w:t>are presented and analyzed the data relating to the central framework of the National Accounts,</w:t>
      </w:r>
      <w:r>
        <w:rPr>
          <w:rFonts w:ascii="Trebuchet MS" w:eastAsia="Times New Roman" w:hAnsi="Trebuchet MS" w:cs="Arial"/>
          <w:color w:val="595959" w:themeColor="text1" w:themeTint="A6"/>
          <w:lang w:val="en-US" w:eastAsia="it-IT"/>
        </w:rPr>
        <w:t xml:space="preserve"> </w:t>
      </w:r>
      <w:r w:rsidRPr="00086276">
        <w:rPr>
          <w:rFonts w:ascii="Trebuchet MS" w:eastAsia="Times New Roman" w:hAnsi="Trebuchet MS" w:cs="Arial"/>
          <w:color w:val="595959" w:themeColor="text1" w:themeTint="A6"/>
          <w:lang w:val="en-US" w:eastAsia="it-IT"/>
        </w:rPr>
        <w:t xml:space="preserve">while in the part of the analysis of the European context </w:t>
      </w:r>
      <w:proofErr w:type="gramStart"/>
      <w:r w:rsidRPr="00086276">
        <w:rPr>
          <w:rFonts w:ascii="Trebuchet MS" w:eastAsia="Times New Roman" w:hAnsi="Trebuchet MS" w:cs="Arial"/>
          <w:color w:val="595959" w:themeColor="text1" w:themeTint="A6"/>
          <w:lang w:val="en-US" w:eastAsia="it-IT"/>
        </w:rPr>
        <w:t>those  relating</w:t>
      </w:r>
      <w:proofErr w:type="gramEnd"/>
      <w:r w:rsidRPr="00086276">
        <w:rPr>
          <w:rFonts w:ascii="Trebuchet MS" w:eastAsia="Times New Roman" w:hAnsi="Trebuchet MS" w:cs="Arial"/>
          <w:color w:val="595959" w:themeColor="text1" w:themeTint="A6"/>
          <w:lang w:val="en-US" w:eastAsia="it-IT"/>
        </w:rPr>
        <w:t xml:space="preserve">  to  the  Account  Satellite  of  Agriculture  prepared  for  Eurostat  for international comparisons (UE27).</w:t>
      </w:r>
      <w:r w:rsidR="004C1146" w:rsidRPr="00086276">
        <w:rPr>
          <w:rFonts w:ascii="Trebuchet MS" w:eastAsia="Times New Roman" w:hAnsi="Trebuchet MS" w:cs="Arial"/>
          <w:color w:val="595959" w:themeColor="text1" w:themeTint="A6"/>
          <w:lang w:val="en-US" w:eastAsia="it-IT"/>
        </w:rPr>
        <w:t xml:space="preserve"> </w:t>
      </w:r>
      <w:r w:rsidRPr="00086276">
        <w:rPr>
          <w:rFonts w:ascii="Trebuchet MS" w:eastAsia="Times New Roman" w:hAnsi="Trebuchet MS" w:cs="Arial"/>
          <w:color w:val="595959" w:themeColor="text1" w:themeTint="A6"/>
          <w:lang w:val="en-US" w:eastAsia="it-IT"/>
        </w:rPr>
        <w:t xml:space="preserve">The two accounts present some differences: the Agriculture Satellite Account does not include the activities of family gardens, small </w:t>
      </w:r>
      <w:proofErr w:type="gramStart"/>
      <w:r w:rsidRPr="00086276">
        <w:rPr>
          <w:rFonts w:ascii="Trebuchet MS" w:eastAsia="Times New Roman" w:hAnsi="Trebuchet MS" w:cs="Arial"/>
          <w:color w:val="595959" w:themeColor="text1" w:themeTint="A6"/>
          <w:lang w:val="en-US" w:eastAsia="it-IT"/>
        </w:rPr>
        <w:t>farms</w:t>
      </w:r>
      <w:proofErr w:type="gramEnd"/>
      <w:r w:rsidRPr="00086276">
        <w:rPr>
          <w:rFonts w:ascii="Trebuchet MS" w:eastAsia="Times New Roman" w:hAnsi="Trebuchet MS" w:cs="Arial"/>
          <w:color w:val="595959" w:themeColor="text1" w:themeTint="A6"/>
          <w:lang w:val="en-US" w:eastAsia="it-IT"/>
        </w:rPr>
        <w:t xml:space="preserve"> and some service activities while it provides for the inclusion, among agricultural activities, of the production of wine and olive oil transformed by cooperatives (which, instead, is not included in the National Accounts as it is attributed to the beverage industry). In the case of wine, for example, he economic value of production is divided between </w:t>
      </w:r>
      <w:proofErr w:type="spellStart"/>
      <w:r w:rsidRPr="00086276">
        <w:rPr>
          <w:rFonts w:ascii="Trebuchet MS" w:eastAsia="Times New Roman" w:hAnsi="Trebuchet MS" w:cs="Arial"/>
          <w:color w:val="595959" w:themeColor="text1" w:themeTint="A6"/>
          <w:lang w:val="en-US" w:eastAsia="it-IT"/>
        </w:rPr>
        <w:t>Ateco</w:t>
      </w:r>
      <w:proofErr w:type="spellEnd"/>
      <w:r w:rsidRPr="00086276">
        <w:rPr>
          <w:rFonts w:ascii="Trebuchet MS" w:eastAsia="Times New Roman" w:hAnsi="Trebuchet MS" w:cs="Arial"/>
          <w:color w:val="595959" w:themeColor="text1" w:themeTint="A6"/>
          <w:lang w:val="en-US" w:eastAsia="it-IT"/>
        </w:rPr>
        <w:t xml:space="preserve"> 01.21.00 (cultivation of grapes and production of wine from own grapes) and </w:t>
      </w:r>
      <w:proofErr w:type="spellStart"/>
      <w:r w:rsidRPr="00086276">
        <w:rPr>
          <w:rFonts w:ascii="Trebuchet MS" w:eastAsia="Times New Roman" w:hAnsi="Trebuchet MS" w:cs="Arial"/>
          <w:color w:val="595959" w:themeColor="text1" w:themeTint="A6"/>
          <w:lang w:val="en-US" w:eastAsia="it-IT"/>
        </w:rPr>
        <w:t>Ateco</w:t>
      </w:r>
      <w:proofErr w:type="spellEnd"/>
      <w:r w:rsidRPr="00086276">
        <w:rPr>
          <w:rFonts w:ascii="Trebuchet MS" w:eastAsia="Times New Roman" w:hAnsi="Trebuchet MS" w:cs="Arial"/>
          <w:color w:val="595959" w:themeColor="text1" w:themeTint="A6"/>
          <w:lang w:val="en-US" w:eastAsia="it-IT"/>
        </w:rPr>
        <w:t xml:space="preserve"> 11.02.10 (production of table wine and quality wines produced in specific regions) where wine cooperatives and the wine industry are included.</w:t>
      </w:r>
    </w:p>
    <w:p w14:paraId="586699C8" w14:textId="77777777" w:rsidR="004C1146" w:rsidRPr="00086276" w:rsidRDefault="004C1146" w:rsidP="007B79FB">
      <w:pPr>
        <w:pStyle w:val="Corpotesto"/>
        <w:spacing w:before="73"/>
        <w:jc w:val="both"/>
        <w:rPr>
          <w:rFonts w:ascii="Trebuchet MS" w:eastAsia="Times New Roman" w:hAnsi="Trebuchet MS" w:cs="Arial"/>
          <w:color w:val="595959" w:themeColor="text1" w:themeTint="A6"/>
          <w:sz w:val="10"/>
          <w:szCs w:val="10"/>
          <w:lang w:val="en-US" w:eastAsia="it-IT"/>
        </w:rPr>
      </w:pPr>
    </w:p>
    <w:p w14:paraId="7326835E" w14:textId="1910ED10" w:rsidR="004C1146" w:rsidRPr="00CE684D" w:rsidRDefault="00CE684D" w:rsidP="007B79FB">
      <w:pPr>
        <w:pStyle w:val="Corpotesto"/>
        <w:spacing w:before="73"/>
        <w:jc w:val="both"/>
        <w:rPr>
          <w:rFonts w:ascii="Trebuchet MS" w:eastAsia="Arial" w:hAnsi="Trebuchet MS" w:cs="Arial"/>
          <w:b/>
          <w:bCs/>
          <w:color w:val="595959" w:themeColor="text1" w:themeTint="A6"/>
          <w:sz w:val="22"/>
          <w:szCs w:val="22"/>
          <w:lang w:val="en-US"/>
        </w:rPr>
      </w:pPr>
      <w:r w:rsidRPr="00CE684D">
        <w:rPr>
          <w:rFonts w:ascii="Trebuchet MS" w:eastAsia="Arial" w:hAnsi="Trebuchet MS" w:cs="Arial"/>
          <w:b/>
          <w:bCs/>
          <w:color w:val="595959" w:themeColor="text1" w:themeTint="A6"/>
          <w:sz w:val="22"/>
          <w:szCs w:val="22"/>
          <w:lang w:val="en-US"/>
        </w:rPr>
        <w:t>The value of agricultural production</w:t>
      </w:r>
    </w:p>
    <w:p w14:paraId="278A94B3" w14:textId="09768E81" w:rsidR="004C1146" w:rsidRPr="00CE684D" w:rsidRDefault="00CE684D" w:rsidP="007B79FB">
      <w:pPr>
        <w:pStyle w:val="Corpotesto"/>
        <w:spacing w:before="73"/>
        <w:jc w:val="both"/>
        <w:rPr>
          <w:rFonts w:ascii="Trebuchet MS" w:eastAsia="Times New Roman" w:hAnsi="Trebuchet MS" w:cs="Arial"/>
          <w:color w:val="595959" w:themeColor="text1" w:themeTint="A6"/>
          <w:lang w:val="en-US" w:eastAsia="it-IT"/>
        </w:rPr>
      </w:pPr>
      <w:r w:rsidRPr="00CE684D">
        <w:rPr>
          <w:rFonts w:ascii="Trebuchet MS" w:eastAsia="Times New Roman" w:hAnsi="Trebuchet MS" w:cs="Arial"/>
          <w:color w:val="595959" w:themeColor="text1" w:themeTint="A6"/>
          <w:lang w:val="en-US" w:eastAsia="it-IT"/>
        </w:rPr>
        <w:t xml:space="preserve">For the definition of the production value, the "quantity by price" method is used, which consists in multiplying the </w:t>
      </w:r>
      <w:r w:rsidR="00674666" w:rsidRPr="00CE684D">
        <w:rPr>
          <w:rFonts w:ascii="Trebuchet MS" w:eastAsia="Times New Roman" w:hAnsi="Trebuchet MS" w:cs="Arial"/>
          <w:color w:val="595959" w:themeColor="text1" w:themeTint="A6"/>
          <w:lang w:val="en-US" w:eastAsia="it-IT"/>
        </w:rPr>
        <w:t xml:space="preserve">quantities </w:t>
      </w:r>
      <w:r w:rsidR="0057151B" w:rsidRPr="00CE684D">
        <w:rPr>
          <w:rFonts w:ascii="Trebuchet MS" w:eastAsia="Times New Roman" w:hAnsi="Trebuchet MS" w:cs="Arial"/>
          <w:color w:val="595959" w:themeColor="text1" w:themeTint="A6"/>
          <w:lang w:val="en-US" w:eastAsia="it-IT"/>
        </w:rPr>
        <w:t xml:space="preserve">of </w:t>
      </w:r>
      <w:r w:rsidR="00A16285" w:rsidRPr="00CE684D">
        <w:rPr>
          <w:rFonts w:ascii="Trebuchet MS" w:eastAsia="Times New Roman" w:hAnsi="Trebuchet MS" w:cs="Arial"/>
          <w:color w:val="595959" w:themeColor="text1" w:themeTint="A6"/>
          <w:lang w:val="en-US" w:eastAsia="it-IT"/>
        </w:rPr>
        <w:t xml:space="preserve">the </w:t>
      </w:r>
      <w:proofErr w:type="gramStart"/>
      <w:r w:rsidR="00A16285" w:rsidRPr="00CE684D">
        <w:rPr>
          <w:rFonts w:ascii="Trebuchet MS" w:eastAsia="Times New Roman" w:hAnsi="Trebuchet MS" w:cs="Arial"/>
          <w:color w:val="595959" w:themeColor="text1" w:themeTint="A6"/>
          <w:lang w:val="en-US" w:eastAsia="it-IT"/>
        </w:rPr>
        <w:t>products</w:t>
      </w:r>
      <w:r w:rsidRPr="00CE684D">
        <w:rPr>
          <w:rFonts w:ascii="Trebuchet MS" w:eastAsia="Times New Roman" w:hAnsi="Trebuchet MS" w:cs="Arial"/>
          <w:color w:val="595959" w:themeColor="text1" w:themeTint="A6"/>
          <w:lang w:val="en-US" w:eastAsia="it-IT"/>
        </w:rPr>
        <w:t xml:space="preserve">  by</w:t>
      </w:r>
      <w:proofErr w:type="gramEnd"/>
      <w:r w:rsidRPr="00CE684D">
        <w:rPr>
          <w:rFonts w:ascii="Trebuchet MS" w:eastAsia="Times New Roman" w:hAnsi="Trebuchet MS" w:cs="Arial"/>
          <w:color w:val="595959" w:themeColor="text1" w:themeTint="A6"/>
          <w:lang w:val="en-US" w:eastAsia="it-IT"/>
        </w:rPr>
        <w:t xml:space="preserve">  their  average  annual  unit  price.  </w:t>
      </w:r>
      <w:r w:rsidR="00A16285" w:rsidRPr="00CE684D">
        <w:rPr>
          <w:rFonts w:ascii="Trebuchet MS" w:eastAsia="Times New Roman" w:hAnsi="Trebuchet MS" w:cs="Arial"/>
          <w:color w:val="595959" w:themeColor="text1" w:themeTint="A6"/>
          <w:lang w:val="en-US" w:eastAsia="it-IT"/>
        </w:rPr>
        <w:t xml:space="preserve">This </w:t>
      </w:r>
      <w:proofErr w:type="gramStart"/>
      <w:r w:rsidR="00A16285" w:rsidRPr="00CE684D">
        <w:rPr>
          <w:rFonts w:ascii="Trebuchet MS" w:eastAsia="Times New Roman" w:hAnsi="Trebuchet MS" w:cs="Arial"/>
          <w:color w:val="595959" w:themeColor="text1" w:themeTint="A6"/>
          <w:lang w:val="en-US" w:eastAsia="it-IT"/>
        </w:rPr>
        <w:t>method</w:t>
      </w:r>
      <w:r w:rsidRPr="00CE684D">
        <w:rPr>
          <w:rFonts w:ascii="Trebuchet MS" w:eastAsia="Times New Roman" w:hAnsi="Trebuchet MS" w:cs="Arial"/>
          <w:color w:val="595959" w:themeColor="text1" w:themeTint="A6"/>
          <w:lang w:val="en-US" w:eastAsia="it-IT"/>
        </w:rPr>
        <w:t xml:space="preserve">  guarantees</w:t>
      </w:r>
      <w:proofErr w:type="gramEnd"/>
      <w:r w:rsidRPr="00CE684D">
        <w:rPr>
          <w:rFonts w:ascii="Trebuchet MS" w:eastAsia="Times New Roman" w:hAnsi="Trebuchet MS" w:cs="Arial"/>
          <w:color w:val="595959" w:themeColor="text1" w:themeTint="A6"/>
          <w:lang w:val="en-US" w:eastAsia="it-IT"/>
        </w:rPr>
        <w:t xml:space="preserve">  the  completeness  of  the estimates  as  more  than  170  products  and  activities  covering  the  entire  production  of  the  agricultural  sector  are considered. The calculation procedures are extremely detailed and concern every type of product at the 4-digit level of the </w:t>
      </w:r>
      <w:proofErr w:type="spellStart"/>
      <w:r w:rsidRPr="00CE684D">
        <w:rPr>
          <w:rFonts w:ascii="Trebuchet MS" w:eastAsia="Times New Roman" w:hAnsi="Trebuchet MS" w:cs="Arial"/>
          <w:color w:val="595959" w:themeColor="text1" w:themeTint="A6"/>
          <w:lang w:val="en-US" w:eastAsia="it-IT"/>
        </w:rPr>
        <w:t>Nace</w:t>
      </w:r>
      <w:proofErr w:type="spellEnd"/>
      <w:r w:rsidRPr="00CE684D">
        <w:rPr>
          <w:rFonts w:ascii="Trebuchet MS" w:eastAsia="Times New Roman" w:hAnsi="Trebuchet MS" w:cs="Arial"/>
          <w:color w:val="595959" w:themeColor="text1" w:themeTint="A6"/>
          <w:lang w:val="en-US" w:eastAsia="it-IT"/>
        </w:rPr>
        <w:t xml:space="preserve"> Rev.2. The quantities are detected starting from the survey "Estimation of surfaces and production of agricultural crops": the survey includes details at the provincial level and measures the areas invested, the average yields per </w:t>
      </w:r>
      <w:r w:rsidR="00A16285" w:rsidRPr="00CE684D">
        <w:rPr>
          <w:rFonts w:ascii="Trebuchet MS" w:eastAsia="Times New Roman" w:hAnsi="Trebuchet MS" w:cs="Arial"/>
          <w:color w:val="595959" w:themeColor="text1" w:themeTint="A6"/>
          <w:lang w:val="en-US" w:eastAsia="it-IT"/>
        </w:rPr>
        <w:t>hectare, the</w:t>
      </w:r>
      <w:r w:rsidRPr="00CE684D">
        <w:rPr>
          <w:rFonts w:ascii="Trebuchet MS" w:eastAsia="Times New Roman" w:hAnsi="Trebuchet MS" w:cs="Arial"/>
          <w:color w:val="595959" w:themeColor="text1" w:themeTint="A6"/>
          <w:lang w:val="en-US" w:eastAsia="it-IT"/>
        </w:rPr>
        <w:t xml:space="preserve"> </w:t>
      </w:r>
      <w:proofErr w:type="gramStart"/>
      <w:r w:rsidRPr="00CE684D">
        <w:rPr>
          <w:rFonts w:ascii="Trebuchet MS" w:eastAsia="Times New Roman" w:hAnsi="Trebuchet MS" w:cs="Arial"/>
          <w:color w:val="595959" w:themeColor="text1" w:themeTint="A6"/>
          <w:lang w:val="en-US" w:eastAsia="it-IT"/>
        </w:rPr>
        <w:t>total  production</w:t>
      </w:r>
      <w:proofErr w:type="gramEnd"/>
      <w:r w:rsidRPr="00CE684D">
        <w:rPr>
          <w:rFonts w:ascii="Trebuchet MS" w:eastAsia="Times New Roman" w:hAnsi="Trebuchet MS" w:cs="Arial"/>
          <w:color w:val="595959" w:themeColor="text1" w:themeTint="A6"/>
          <w:lang w:val="en-US" w:eastAsia="it-IT"/>
        </w:rPr>
        <w:t xml:space="preserve">  and  the  collected  production  and  answers  to  the  European  Regulation 543/2009. Prices are collected through a specific survey called "Monthly survey of producer prices of products sold by farmers" with details for each province; the survey </w:t>
      </w:r>
      <w:proofErr w:type="gramStart"/>
      <w:r w:rsidRPr="00CE684D">
        <w:rPr>
          <w:rFonts w:ascii="Trebuchet MS" w:eastAsia="Times New Roman" w:hAnsi="Trebuchet MS" w:cs="Arial"/>
          <w:color w:val="595959" w:themeColor="text1" w:themeTint="A6"/>
          <w:lang w:val="en-US" w:eastAsia="it-IT"/>
        </w:rPr>
        <w:t>takes into account</w:t>
      </w:r>
      <w:proofErr w:type="gramEnd"/>
      <w:r w:rsidRPr="00CE684D">
        <w:rPr>
          <w:rFonts w:ascii="Trebuchet MS" w:eastAsia="Times New Roman" w:hAnsi="Trebuchet MS" w:cs="Arial"/>
          <w:color w:val="595959" w:themeColor="text1" w:themeTint="A6"/>
          <w:lang w:val="en-US" w:eastAsia="it-IT"/>
        </w:rPr>
        <w:t xml:space="preserve"> the seasonality of productions and excludes imported products.  The average </w:t>
      </w:r>
      <w:r w:rsidR="00A16285" w:rsidRPr="00CE684D">
        <w:rPr>
          <w:rFonts w:ascii="Trebuchet MS" w:eastAsia="Times New Roman" w:hAnsi="Trebuchet MS" w:cs="Arial"/>
          <w:color w:val="595959" w:themeColor="text1" w:themeTint="A6"/>
          <w:lang w:val="en-US" w:eastAsia="it-IT"/>
        </w:rPr>
        <w:t>prices recorded (</w:t>
      </w:r>
      <w:proofErr w:type="gramStart"/>
      <w:r w:rsidRPr="00CE684D">
        <w:rPr>
          <w:rFonts w:ascii="Trebuchet MS" w:eastAsia="Times New Roman" w:hAnsi="Trebuchet MS" w:cs="Arial"/>
          <w:color w:val="595959" w:themeColor="text1" w:themeTint="A6"/>
          <w:lang w:val="en-US" w:eastAsia="it-IT"/>
        </w:rPr>
        <w:t>to  the</w:t>
      </w:r>
      <w:proofErr w:type="gramEnd"/>
      <w:r w:rsidRPr="00CE684D">
        <w:rPr>
          <w:rFonts w:ascii="Trebuchet MS" w:eastAsia="Times New Roman" w:hAnsi="Trebuchet MS" w:cs="Arial"/>
          <w:color w:val="595959" w:themeColor="text1" w:themeTint="A6"/>
          <w:lang w:val="en-US" w:eastAsia="it-IT"/>
        </w:rPr>
        <w:t xml:space="preserve">  producer)  are  then  increased  by  any  contributions  and adjusted for taxes on the products, thus obtaining the basic prices. Using the basic prices, the "quantity by price" method allows the production value to be obtained for each product. For other types of production, such as farms, the quantities (</w:t>
      </w:r>
      <w:r w:rsidR="00A16285" w:rsidRPr="00CE684D">
        <w:rPr>
          <w:rFonts w:ascii="Trebuchet MS" w:eastAsia="Times New Roman" w:hAnsi="Trebuchet MS" w:cs="Arial"/>
          <w:color w:val="595959" w:themeColor="text1" w:themeTint="A6"/>
          <w:lang w:val="en-US" w:eastAsia="it-IT"/>
        </w:rPr>
        <w:t>which also take</w:t>
      </w:r>
      <w:r w:rsidRPr="00CE684D">
        <w:rPr>
          <w:rFonts w:ascii="Trebuchet MS" w:eastAsia="Times New Roman" w:hAnsi="Trebuchet MS" w:cs="Arial"/>
          <w:color w:val="595959" w:themeColor="text1" w:themeTint="A6"/>
          <w:lang w:val="en-US" w:eastAsia="it-IT"/>
        </w:rPr>
        <w:t xml:space="preserve"> int</w:t>
      </w:r>
      <w:r w:rsidR="00A16285">
        <w:rPr>
          <w:rFonts w:ascii="Trebuchet MS" w:eastAsia="Times New Roman" w:hAnsi="Trebuchet MS" w:cs="Arial"/>
          <w:color w:val="595959" w:themeColor="text1" w:themeTint="A6"/>
          <w:lang w:val="en-US" w:eastAsia="it-IT"/>
        </w:rPr>
        <w:t>o</w:t>
      </w:r>
      <w:r w:rsidRPr="00CE684D">
        <w:rPr>
          <w:rFonts w:ascii="Trebuchet MS" w:eastAsia="Times New Roman" w:hAnsi="Trebuchet MS" w:cs="Arial"/>
          <w:color w:val="595959" w:themeColor="text1" w:themeTint="A6"/>
          <w:lang w:val="en-US" w:eastAsia="it-IT"/>
        </w:rPr>
        <w:t xml:space="preserve"> account ongoing </w:t>
      </w:r>
      <w:proofErr w:type="gramStart"/>
      <w:r w:rsidRPr="00CE684D">
        <w:rPr>
          <w:rFonts w:ascii="Trebuchet MS" w:eastAsia="Times New Roman" w:hAnsi="Trebuchet MS" w:cs="Arial"/>
          <w:color w:val="595959" w:themeColor="text1" w:themeTint="A6"/>
          <w:lang w:val="en-US" w:eastAsia="it-IT"/>
        </w:rPr>
        <w:t>production)  are</w:t>
      </w:r>
      <w:proofErr w:type="gramEnd"/>
      <w:r w:rsidRPr="00CE684D">
        <w:rPr>
          <w:rFonts w:ascii="Trebuchet MS" w:eastAsia="Times New Roman" w:hAnsi="Trebuchet MS" w:cs="Arial"/>
          <w:color w:val="595959" w:themeColor="text1" w:themeTint="A6"/>
          <w:lang w:val="en-US" w:eastAsia="it-IT"/>
        </w:rPr>
        <w:t xml:space="preserve">  derived  from  specific  surveys  of  a  corporate nature: the most relevant are those on slaughterhouses for butchered meat and that on dairy farms for the conferment of milk to the dairy-dairy industry. This information makes it possible to extend the quantity by price method to the evaluation of livestock production.</w:t>
      </w:r>
      <w:r w:rsidR="004C1146" w:rsidRPr="00CE684D">
        <w:rPr>
          <w:rFonts w:ascii="Trebuchet MS" w:eastAsia="Times New Roman" w:hAnsi="Trebuchet MS" w:cs="Arial"/>
          <w:color w:val="595959" w:themeColor="text1" w:themeTint="A6"/>
          <w:lang w:val="en-US" w:eastAsia="it-IT"/>
        </w:rPr>
        <w:t xml:space="preserve"> </w:t>
      </w:r>
    </w:p>
    <w:p w14:paraId="0A777212" w14:textId="6F74368C" w:rsidR="004C1146" w:rsidRPr="00CE684D" w:rsidRDefault="00CE684D" w:rsidP="007B79FB">
      <w:pPr>
        <w:pStyle w:val="Corpotesto"/>
        <w:spacing w:before="73"/>
        <w:jc w:val="both"/>
        <w:rPr>
          <w:rFonts w:ascii="Trebuchet MS" w:eastAsia="Times New Roman" w:hAnsi="Trebuchet MS" w:cs="Arial"/>
          <w:color w:val="595959" w:themeColor="text1" w:themeTint="A6"/>
          <w:lang w:val="en-US" w:eastAsia="it-IT"/>
        </w:rPr>
      </w:pPr>
      <w:r w:rsidRPr="00CE684D">
        <w:rPr>
          <w:rFonts w:ascii="Trebuchet MS" w:eastAsia="Times New Roman" w:hAnsi="Trebuchet MS" w:cs="Arial"/>
          <w:color w:val="595959" w:themeColor="text1" w:themeTint="A6"/>
          <w:lang w:val="en-US" w:eastAsia="it-IT"/>
        </w:rPr>
        <w:t>A simila</w:t>
      </w:r>
      <w:r w:rsidR="00A16285">
        <w:rPr>
          <w:rFonts w:ascii="Trebuchet MS" w:eastAsia="Times New Roman" w:hAnsi="Trebuchet MS" w:cs="Arial"/>
          <w:color w:val="595959" w:themeColor="text1" w:themeTint="A6"/>
          <w:lang w:val="en-US" w:eastAsia="it-IT"/>
        </w:rPr>
        <w:t>r</w:t>
      </w:r>
      <w:r w:rsidRPr="00CE684D">
        <w:rPr>
          <w:rFonts w:ascii="Trebuchet MS" w:eastAsia="Times New Roman" w:hAnsi="Trebuchet MS" w:cs="Arial"/>
          <w:color w:val="595959" w:themeColor="text1" w:themeTint="A6"/>
          <w:lang w:val="en-US" w:eastAsia="it-IT"/>
        </w:rPr>
        <w:t xml:space="preserve"> </w:t>
      </w:r>
      <w:r w:rsidR="00A16285" w:rsidRPr="00CE684D">
        <w:rPr>
          <w:rFonts w:ascii="Trebuchet MS" w:eastAsia="Times New Roman" w:hAnsi="Trebuchet MS" w:cs="Arial"/>
          <w:color w:val="595959" w:themeColor="text1" w:themeTint="A6"/>
          <w:lang w:val="en-US" w:eastAsia="it-IT"/>
        </w:rPr>
        <w:t>consideration concerns</w:t>
      </w:r>
      <w:r w:rsidRPr="00CE684D">
        <w:rPr>
          <w:rFonts w:ascii="Trebuchet MS" w:eastAsia="Times New Roman" w:hAnsi="Trebuchet MS" w:cs="Arial"/>
          <w:color w:val="595959" w:themeColor="text1" w:themeTint="A6"/>
          <w:lang w:val="en-US" w:eastAsia="it-IT"/>
        </w:rPr>
        <w:t xml:space="preserve"> </w:t>
      </w:r>
      <w:r w:rsidR="00A16285" w:rsidRPr="00CE684D">
        <w:rPr>
          <w:rFonts w:ascii="Trebuchet MS" w:eastAsia="Times New Roman" w:hAnsi="Trebuchet MS" w:cs="Arial"/>
          <w:color w:val="595959" w:themeColor="text1" w:themeTint="A6"/>
          <w:lang w:val="en-US" w:eastAsia="it-IT"/>
        </w:rPr>
        <w:t>the estimate</w:t>
      </w:r>
      <w:r w:rsidR="00A16285">
        <w:rPr>
          <w:rFonts w:ascii="Trebuchet MS" w:eastAsia="Times New Roman" w:hAnsi="Trebuchet MS" w:cs="Arial"/>
          <w:color w:val="595959" w:themeColor="text1" w:themeTint="A6"/>
          <w:lang w:val="en-US" w:eastAsia="it-IT"/>
        </w:rPr>
        <w:t>s</w:t>
      </w:r>
      <w:r w:rsidRPr="00CE684D">
        <w:rPr>
          <w:rFonts w:ascii="Trebuchet MS" w:eastAsia="Times New Roman" w:hAnsi="Trebuchet MS" w:cs="Arial"/>
          <w:color w:val="595959" w:themeColor="text1" w:themeTint="A6"/>
          <w:lang w:val="en-US" w:eastAsia="it-IT"/>
        </w:rPr>
        <w:t xml:space="preserve"> </w:t>
      </w:r>
      <w:proofErr w:type="gramStart"/>
      <w:r w:rsidRPr="00CE684D">
        <w:rPr>
          <w:rFonts w:ascii="Trebuchet MS" w:eastAsia="Times New Roman" w:hAnsi="Trebuchet MS" w:cs="Arial"/>
          <w:color w:val="595959" w:themeColor="text1" w:themeTint="A6"/>
          <w:lang w:val="en-US" w:eastAsia="it-IT"/>
        </w:rPr>
        <w:t>of  other</w:t>
      </w:r>
      <w:proofErr w:type="gramEnd"/>
      <w:r w:rsidRPr="00CE684D">
        <w:rPr>
          <w:rFonts w:ascii="Trebuchet MS" w:eastAsia="Times New Roman" w:hAnsi="Trebuchet MS" w:cs="Arial"/>
          <w:color w:val="595959" w:themeColor="text1" w:themeTint="A6"/>
          <w:lang w:val="en-US" w:eastAsia="it-IT"/>
        </w:rPr>
        <w:t xml:space="preserve">  production  aggregates  such  as  secondary  activities  and support  activities. For </w:t>
      </w:r>
      <w:r w:rsidR="00A16285" w:rsidRPr="00CE684D">
        <w:rPr>
          <w:rFonts w:ascii="Trebuchet MS" w:eastAsia="Times New Roman" w:hAnsi="Trebuchet MS" w:cs="Arial"/>
          <w:color w:val="595959" w:themeColor="text1" w:themeTint="A6"/>
          <w:lang w:val="en-US" w:eastAsia="it-IT"/>
        </w:rPr>
        <w:t>example, in</w:t>
      </w:r>
      <w:r w:rsidRPr="00CE684D">
        <w:rPr>
          <w:rFonts w:ascii="Trebuchet MS" w:eastAsia="Times New Roman" w:hAnsi="Trebuchet MS" w:cs="Arial"/>
          <w:color w:val="595959" w:themeColor="text1" w:themeTint="A6"/>
          <w:lang w:val="en-US" w:eastAsia="it-IT"/>
        </w:rPr>
        <w:t xml:space="preserve"> </w:t>
      </w:r>
      <w:r w:rsidR="00A16285" w:rsidRPr="00CE684D">
        <w:rPr>
          <w:rFonts w:ascii="Trebuchet MS" w:eastAsia="Times New Roman" w:hAnsi="Trebuchet MS" w:cs="Arial"/>
          <w:color w:val="595959" w:themeColor="text1" w:themeTint="A6"/>
          <w:lang w:val="en-US" w:eastAsia="it-IT"/>
        </w:rPr>
        <w:t>the estimates of</w:t>
      </w:r>
      <w:r w:rsidRPr="00CE684D">
        <w:rPr>
          <w:rFonts w:ascii="Trebuchet MS" w:eastAsia="Times New Roman" w:hAnsi="Trebuchet MS" w:cs="Arial"/>
          <w:color w:val="595959" w:themeColor="text1" w:themeTint="A6"/>
          <w:lang w:val="en-US" w:eastAsia="it-IT"/>
        </w:rPr>
        <w:t xml:space="preserve"> the agricultural tourism </w:t>
      </w:r>
      <w:proofErr w:type="gramStart"/>
      <w:r w:rsidRPr="00CE684D">
        <w:rPr>
          <w:rFonts w:ascii="Trebuchet MS" w:eastAsia="Times New Roman" w:hAnsi="Trebuchet MS" w:cs="Arial"/>
          <w:color w:val="595959" w:themeColor="text1" w:themeTint="A6"/>
          <w:lang w:val="en-US" w:eastAsia="it-IT"/>
        </w:rPr>
        <w:t>the  surveys</w:t>
      </w:r>
      <w:proofErr w:type="gramEnd"/>
      <w:r w:rsidRPr="00CE684D">
        <w:rPr>
          <w:rFonts w:ascii="Trebuchet MS" w:eastAsia="Times New Roman" w:hAnsi="Trebuchet MS" w:cs="Arial"/>
          <w:color w:val="595959" w:themeColor="text1" w:themeTint="A6"/>
          <w:lang w:val="en-US" w:eastAsia="it-IT"/>
        </w:rPr>
        <w:t xml:space="preserve">  on  presence  and  flows  in agricultural  tourism companies  and  on  the  movement  of  customers in  hospitality  establishments  are  taken  into account;  these  estimates  are  then  compared with the evaluations of the sector  organizations  and  with  the  VAT declarations of the agricultural sector. Another example concerns the production of electricity from renewable sources (photovoltaic, biomass, biogas) which is estimated starting from the data relating to the energy produced expressed in KW / h for the main sectors of economic activity (agriculture, industry, services) taken over by the Energy Services Manager (GSE). The quantities of energy produced by the agricultural sector are then valued through the average sale price including any aid.</w:t>
      </w:r>
    </w:p>
    <w:p w14:paraId="235FC441" w14:textId="1DEBB98A" w:rsidR="004C1146" w:rsidRPr="00BE4671" w:rsidRDefault="00BE4671" w:rsidP="007B79FB">
      <w:pPr>
        <w:pStyle w:val="Corpotesto"/>
        <w:spacing w:before="73"/>
        <w:jc w:val="both"/>
        <w:rPr>
          <w:rFonts w:ascii="Trebuchet MS" w:eastAsia="Times New Roman" w:hAnsi="Trebuchet MS" w:cs="Arial"/>
          <w:color w:val="595959" w:themeColor="text1" w:themeTint="A6"/>
          <w:lang w:val="en-US" w:eastAsia="it-IT"/>
        </w:rPr>
      </w:pPr>
      <w:proofErr w:type="gramStart"/>
      <w:r w:rsidRPr="00BE4671">
        <w:rPr>
          <w:rFonts w:ascii="Trebuchet MS" w:eastAsia="Times New Roman" w:hAnsi="Trebuchet MS" w:cs="Arial"/>
          <w:color w:val="595959" w:themeColor="text1" w:themeTint="A6"/>
          <w:lang w:val="en-US" w:eastAsia="it-IT"/>
        </w:rPr>
        <w:t>In  September</w:t>
      </w:r>
      <w:proofErr w:type="gramEnd"/>
      <w:r w:rsidRPr="00BE4671">
        <w:rPr>
          <w:rFonts w:ascii="Trebuchet MS" w:eastAsia="Times New Roman" w:hAnsi="Trebuchet MS" w:cs="Arial"/>
          <w:color w:val="595959" w:themeColor="text1" w:themeTint="A6"/>
          <w:lang w:val="en-US" w:eastAsia="it-IT"/>
        </w:rPr>
        <w:t xml:space="preserve">  2019,  following  the  review  of  the  National  Accounts  (which  also  affected  the  branch  of  agriculture, forestry and fishing), new assessments on the Economic Accounts of Agriculture were included on the estimates of renewable energy within the activities secondary. These assessments also </w:t>
      </w:r>
      <w:proofErr w:type="gramStart"/>
      <w:r w:rsidRPr="00BE4671">
        <w:rPr>
          <w:rFonts w:ascii="Trebuchet MS" w:eastAsia="Times New Roman" w:hAnsi="Trebuchet MS" w:cs="Arial"/>
          <w:color w:val="595959" w:themeColor="text1" w:themeTint="A6"/>
          <w:lang w:val="en-US" w:eastAsia="it-IT"/>
        </w:rPr>
        <w:t>took into account</w:t>
      </w:r>
      <w:proofErr w:type="gramEnd"/>
      <w:r w:rsidRPr="00BE4671">
        <w:rPr>
          <w:rFonts w:ascii="Trebuchet MS" w:eastAsia="Times New Roman" w:hAnsi="Trebuchet MS" w:cs="Arial"/>
          <w:color w:val="595959" w:themeColor="text1" w:themeTint="A6"/>
          <w:lang w:val="en-US" w:eastAsia="it-IT"/>
        </w:rPr>
        <w:t xml:space="preserve"> the heat production of biomass and biogas plants. In addition, new technical coefficients have been adopted to determine the production and use of cereal straws.</w:t>
      </w:r>
      <w:r w:rsidR="004C1146" w:rsidRPr="00BE4671">
        <w:rPr>
          <w:rFonts w:ascii="Trebuchet MS" w:eastAsia="Times New Roman" w:hAnsi="Trebuchet MS" w:cs="Arial"/>
          <w:color w:val="595959" w:themeColor="text1" w:themeTint="A6"/>
          <w:lang w:val="en-US" w:eastAsia="it-IT"/>
        </w:rPr>
        <w:t xml:space="preserve"> </w:t>
      </w:r>
    </w:p>
    <w:p w14:paraId="2BF8AF6E" w14:textId="77777777" w:rsidR="004C1146" w:rsidRPr="00BE4671" w:rsidRDefault="004C1146" w:rsidP="007B79FB">
      <w:pPr>
        <w:pStyle w:val="Corpotesto"/>
        <w:spacing w:before="73"/>
        <w:jc w:val="both"/>
        <w:rPr>
          <w:rFonts w:ascii="Trebuchet MS" w:eastAsia="Times New Roman" w:hAnsi="Trebuchet MS" w:cs="Arial"/>
          <w:color w:val="595959" w:themeColor="text1" w:themeTint="A6"/>
          <w:sz w:val="10"/>
          <w:szCs w:val="10"/>
          <w:lang w:val="en-US" w:eastAsia="it-IT"/>
        </w:rPr>
      </w:pPr>
    </w:p>
    <w:p w14:paraId="7E6EE32D" w14:textId="6253AADE" w:rsidR="004C1146" w:rsidRPr="00BE4671" w:rsidRDefault="00BE4671" w:rsidP="007B79FB">
      <w:pPr>
        <w:pStyle w:val="Corpotesto"/>
        <w:spacing w:before="73"/>
        <w:jc w:val="both"/>
        <w:rPr>
          <w:rFonts w:ascii="Trebuchet MS" w:eastAsia="Arial" w:hAnsi="Trebuchet MS" w:cs="Arial"/>
          <w:b/>
          <w:bCs/>
          <w:color w:val="595959" w:themeColor="text1" w:themeTint="A6"/>
          <w:sz w:val="22"/>
          <w:szCs w:val="22"/>
          <w:lang w:val="en-US"/>
        </w:rPr>
      </w:pPr>
      <w:r w:rsidRPr="00BE4671">
        <w:rPr>
          <w:rFonts w:ascii="Trebuchet MS" w:eastAsia="Arial" w:hAnsi="Trebuchet MS" w:cs="Arial"/>
          <w:b/>
          <w:bCs/>
          <w:color w:val="595959" w:themeColor="text1" w:themeTint="A6"/>
          <w:sz w:val="22"/>
          <w:szCs w:val="22"/>
          <w:lang w:val="en-US"/>
        </w:rPr>
        <w:t>The intermediate consumption of agriculture</w:t>
      </w:r>
    </w:p>
    <w:p w14:paraId="7F0E3BD7" w14:textId="275CD598" w:rsidR="004C1146" w:rsidRPr="00BE4671" w:rsidRDefault="00BE4671" w:rsidP="007B79FB">
      <w:pPr>
        <w:pStyle w:val="Corpotesto"/>
        <w:spacing w:before="73"/>
        <w:jc w:val="both"/>
        <w:rPr>
          <w:rFonts w:ascii="Trebuchet MS" w:eastAsia="Times New Roman" w:hAnsi="Trebuchet MS" w:cs="Arial"/>
          <w:color w:val="595959" w:themeColor="text1" w:themeTint="A6"/>
          <w:lang w:val="en-US" w:eastAsia="it-IT"/>
        </w:rPr>
      </w:pPr>
      <w:r w:rsidRPr="00BE4671">
        <w:rPr>
          <w:rFonts w:ascii="Trebuchet MS" w:eastAsia="Times New Roman" w:hAnsi="Trebuchet MS" w:cs="Arial"/>
          <w:color w:val="595959" w:themeColor="text1" w:themeTint="A6"/>
          <w:lang w:val="en-US" w:eastAsia="it-IT"/>
        </w:rPr>
        <w:t xml:space="preserve">The estimate of the intermediate consumption of the sector is processed through a methodology attributable to the "quantity by price" approach. In addition to the consolidated cost components (for example technical means such as feed, fertilizers, seeds and phytosanitary), new types of farm costs have been included such as insurance costs for structures and animal husbandry, costs related to bottling, the marketing of the wine </w:t>
      </w:r>
      <w:r w:rsidRPr="00BE4671">
        <w:rPr>
          <w:rFonts w:ascii="Trebuchet MS" w:eastAsia="Times New Roman" w:hAnsi="Trebuchet MS" w:cs="Arial"/>
          <w:color w:val="595959" w:themeColor="text1" w:themeTint="A6"/>
          <w:lang w:val="en-US" w:eastAsia="it-IT"/>
        </w:rPr>
        <w:lastRenderedPageBreak/>
        <w:t>produced on the farm, costs for packaging related to the first processing of the products and preparation for the markets, routine maintenance costs for  photovoltaic  systems  and  biogas  plants,  expenses  for  the  maintenance  of  parks  and  gardens,  other  minor expenses related to farm tourism and related activities and finally the expenses related to other support activities. The sources used range from specific surveys on technical means, to the monthly survey on the prices of products purchased by farmers to end up with the Rica-Rea sample survey, which provides basic microeconomic information on farms and includes a specific section in the questionnaire to costs.</w:t>
      </w:r>
    </w:p>
    <w:p w14:paraId="601AA91B" w14:textId="77777777" w:rsidR="004C1146" w:rsidRPr="00BE4671" w:rsidRDefault="004C1146" w:rsidP="007B79FB">
      <w:pPr>
        <w:pStyle w:val="Corpotesto"/>
        <w:spacing w:before="73"/>
        <w:jc w:val="both"/>
        <w:rPr>
          <w:rFonts w:ascii="Trebuchet MS" w:eastAsia="Times New Roman" w:hAnsi="Trebuchet MS" w:cs="Arial"/>
          <w:color w:val="595959" w:themeColor="text1" w:themeTint="A6"/>
          <w:sz w:val="12"/>
          <w:szCs w:val="12"/>
          <w:lang w:val="en-US" w:eastAsia="it-IT"/>
        </w:rPr>
      </w:pPr>
    </w:p>
    <w:p w14:paraId="79D65057" w14:textId="2618B16A" w:rsidR="004C1146" w:rsidRPr="00BE4671" w:rsidRDefault="00BE4671" w:rsidP="007B79FB">
      <w:pPr>
        <w:pStyle w:val="Corpotesto"/>
        <w:spacing w:before="73"/>
        <w:jc w:val="both"/>
        <w:rPr>
          <w:rFonts w:ascii="Trebuchet MS" w:eastAsia="Arial" w:hAnsi="Trebuchet MS" w:cs="Arial"/>
          <w:b/>
          <w:bCs/>
          <w:color w:val="595959" w:themeColor="text1" w:themeTint="A6"/>
          <w:sz w:val="22"/>
          <w:szCs w:val="22"/>
          <w:lang w:val="en-US"/>
        </w:rPr>
      </w:pPr>
      <w:r w:rsidRPr="00BE4671">
        <w:rPr>
          <w:rFonts w:ascii="Trebuchet MS" w:eastAsia="Arial" w:hAnsi="Trebuchet MS" w:cs="Arial"/>
          <w:b/>
          <w:bCs/>
          <w:color w:val="595959" w:themeColor="text1" w:themeTint="A6"/>
          <w:sz w:val="22"/>
          <w:szCs w:val="22"/>
          <w:lang w:val="en-US"/>
        </w:rPr>
        <w:t>The value of forestry and fishing production</w:t>
      </w:r>
    </w:p>
    <w:p w14:paraId="2DD50A26" w14:textId="05527345" w:rsidR="004C1146" w:rsidRPr="00BE4671" w:rsidRDefault="00BE4671" w:rsidP="007B79FB">
      <w:pPr>
        <w:pStyle w:val="Corpotesto"/>
        <w:spacing w:before="73"/>
        <w:jc w:val="both"/>
        <w:rPr>
          <w:rFonts w:ascii="Trebuchet MS" w:eastAsia="Times New Roman" w:hAnsi="Trebuchet MS" w:cs="Arial"/>
          <w:color w:val="595959" w:themeColor="text1" w:themeTint="A6"/>
          <w:lang w:val="en-US" w:eastAsia="it-IT"/>
        </w:rPr>
      </w:pPr>
      <w:r w:rsidRPr="00BE4671">
        <w:rPr>
          <w:rFonts w:ascii="Trebuchet MS" w:eastAsia="Times New Roman" w:hAnsi="Trebuchet MS" w:cs="Arial"/>
          <w:color w:val="595959" w:themeColor="text1" w:themeTint="A6"/>
          <w:lang w:val="en-US" w:eastAsia="it-IT"/>
        </w:rPr>
        <w:t xml:space="preserve">The production of forestry is calculated with the quantity approach by price of the cut by type of wood (for work or wood for energy use) for the respective prices. With the </w:t>
      </w:r>
      <w:proofErr w:type="spellStart"/>
      <w:r w:rsidRPr="00BE4671">
        <w:rPr>
          <w:rFonts w:ascii="Trebuchet MS" w:eastAsia="Times New Roman" w:hAnsi="Trebuchet MS" w:cs="Arial"/>
          <w:color w:val="595959" w:themeColor="text1" w:themeTint="A6"/>
          <w:lang w:val="en-US" w:eastAsia="it-IT"/>
        </w:rPr>
        <w:t>Nace</w:t>
      </w:r>
      <w:proofErr w:type="spellEnd"/>
      <w:r w:rsidRPr="00BE4671">
        <w:rPr>
          <w:rFonts w:ascii="Trebuchet MS" w:eastAsia="Times New Roman" w:hAnsi="Trebuchet MS" w:cs="Arial"/>
          <w:color w:val="595959" w:themeColor="text1" w:themeTint="A6"/>
          <w:lang w:val="en-US" w:eastAsia="it-IT"/>
        </w:rPr>
        <w:t xml:space="preserve"> Rev.2 classification, the evaluation of the harvest of vegetables and fruit trees from the woods previously associated with agriculture was added. Industry estimates were also affected by the revaluation of support services (</w:t>
      </w:r>
      <w:proofErr w:type="spellStart"/>
      <w:r w:rsidRPr="00BE4671">
        <w:rPr>
          <w:rFonts w:ascii="Trebuchet MS" w:eastAsia="Times New Roman" w:hAnsi="Trebuchet MS" w:cs="Arial"/>
          <w:color w:val="595959" w:themeColor="text1" w:themeTint="A6"/>
          <w:lang w:val="en-US" w:eastAsia="it-IT"/>
        </w:rPr>
        <w:t>Ateco</w:t>
      </w:r>
      <w:proofErr w:type="spellEnd"/>
      <w:r w:rsidRPr="00BE4671">
        <w:rPr>
          <w:rFonts w:ascii="Trebuchet MS" w:eastAsia="Times New Roman" w:hAnsi="Trebuchet MS" w:cs="Arial"/>
          <w:color w:val="595959" w:themeColor="text1" w:themeTint="A6"/>
          <w:lang w:val="en-US" w:eastAsia="it-IT"/>
        </w:rPr>
        <w:t xml:space="preserve"> 02.20.00) through the processing of administrative data of the VAT returns of the forestry sector.</w:t>
      </w:r>
      <w:r w:rsidR="004C1146" w:rsidRPr="00BE4671">
        <w:rPr>
          <w:rFonts w:ascii="Trebuchet MS" w:eastAsia="Times New Roman" w:hAnsi="Trebuchet MS" w:cs="Arial"/>
          <w:color w:val="595959" w:themeColor="text1" w:themeTint="A6"/>
          <w:lang w:val="en-US" w:eastAsia="it-IT"/>
        </w:rPr>
        <w:t xml:space="preserve"> </w:t>
      </w:r>
    </w:p>
    <w:p w14:paraId="60F3270C" w14:textId="68E6E265" w:rsidR="004C1146" w:rsidRPr="00BE4671" w:rsidRDefault="00BE4671" w:rsidP="007B79FB">
      <w:pPr>
        <w:pStyle w:val="Corpotesto"/>
        <w:spacing w:before="73"/>
        <w:jc w:val="both"/>
        <w:rPr>
          <w:rFonts w:ascii="Trebuchet MS" w:eastAsia="Times New Roman" w:hAnsi="Trebuchet MS" w:cs="Arial"/>
          <w:color w:val="595959" w:themeColor="text1" w:themeTint="A6"/>
          <w:lang w:val="en-US" w:eastAsia="it-IT"/>
        </w:rPr>
      </w:pPr>
      <w:r w:rsidRPr="00BE4671">
        <w:rPr>
          <w:rFonts w:ascii="Trebuchet MS" w:eastAsia="Times New Roman" w:hAnsi="Trebuchet MS" w:cs="Arial"/>
          <w:color w:val="595959" w:themeColor="text1" w:themeTint="A6"/>
          <w:lang w:val="en-US" w:eastAsia="it-IT"/>
        </w:rPr>
        <w:t>Finally, regional forestry companies (</w:t>
      </w:r>
      <w:proofErr w:type="spellStart"/>
      <w:r w:rsidRPr="00BE4671">
        <w:rPr>
          <w:rFonts w:ascii="Trebuchet MS" w:eastAsia="Times New Roman" w:hAnsi="Trebuchet MS" w:cs="Arial"/>
          <w:color w:val="595959" w:themeColor="text1" w:themeTint="A6"/>
          <w:lang w:val="en-US" w:eastAsia="it-IT"/>
        </w:rPr>
        <w:t>Ateco</w:t>
      </w:r>
      <w:proofErr w:type="spellEnd"/>
      <w:r w:rsidRPr="00BE4671">
        <w:rPr>
          <w:rFonts w:ascii="Trebuchet MS" w:eastAsia="Times New Roman" w:hAnsi="Trebuchet MS" w:cs="Arial"/>
          <w:color w:val="595959" w:themeColor="text1" w:themeTint="A6"/>
          <w:lang w:val="en-US" w:eastAsia="it-IT"/>
        </w:rPr>
        <w:t xml:space="preserve"> 02.40.00) were included which in the past were classified in the Public Administrations sector. The activity of regional forest companies, oriented to the preservation of parks and woods, expands the field of forest support activities with a more oriented attribution towards services related to production. </w:t>
      </w:r>
      <w:proofErr w:type="gramStart"/>
      <w:r w:rsidRPr="00BE4671">
        <w:rPr>
          <w:rFonts w:ascii="Trebuchet MS" w:eastAsia="Times New Roman" w:hAnsi="Trebuchet MS" w:cs="Arial"/>
          <w:color w:val="595959" w:themeColor="text1" w:themeTint="A6"/>
          <w:lang w:val="en-US" w:eastAsia="it-IT"/>
        </w:rPr>
        <w:t>With  the</w:t>
      </w:r>
      <w:proofErr w:type="gramEnd"/>
      <w:r w:rsidRPr="00BE4671">
        <w:rPr>
          <w:rFonts w:ascii="Trebuchet MS" w:eastAsia="Times New Roman" w:hAnsi="Trebuchet MS" w:cs="Arial"/>
          <w:color w:val="595959" w:themeColor="text1" w:themeTint="A6"/>
          <w:lang w:val="en-US" w:eastAsia="it-IT"/>
        </w:rPr>
        <w:t xml:space="preserve">  review  of  the  National  Accounts  of  September  2019  in  the  field  of  forestry  production,  the  estimate  of "standing timber" was taken into account and accounted for, that is, the value of the net growths in the forest.</w:t>
      </w:r>
    </w:p>
    <w:p w14:paraId="6B2DEFFE" w14:textId="6BD05505" w:rsidR="004C1146" w:rsidRPr="00BE4671" w:rsidRDefault="00BE4671" w:rsidP="007B79FB">
      <w:pPr>
        <w:pStyle w:val="Corpotesto"/>
        <w:spacing w:before="73"/>
        <w:jc w:val="both"/>
        <w:rPr>
          <w:rFonts w:ascii="Trebuchet MS" w:eastAsia="Times New Roman" w:hAnsi="Trebuchet MS" w:cs="Arial"/>
          <w:color w:val="595959" w:themeColor="text1" w:themeTint="A6"/>
          <w:lang w:val="en-US" w:eastAsia="it-IT"/>
        </w:rPr>
      </w:pPr>
      <w:r w:rsidRPr="00BE4671">
        <w:rPr>
          <w:rFonts w:ascii="Trebuchet MS" w:eastAsia="Times New Roman" w:hAnsi="Trebuchet MS" w:cs="Arial"/>
          <w:color w:val="595959" w:themeColor="text1" w:themeTint="A6"/>
          <w:lang w:val="en-US" w:eastAsia="it-IT"/>
        </w:rPr>
        <w:t xml:space="preserve">Fishing production is also calculated using the quantity by price approach. The quantities of fish caught (fish, </w:t>
      </w:r>
      <w:proofErr w:type="spellStart"/>
      <w:proofErr w:type="gramStart"/>
      <w:r w:rsidRPr="00BE4671">
        <w:rPr>
          <w:rFonts w:ascii="Trebuchet MS" w:eastAsia="Times New Roman" w:hAnsi="Trebuchet MS" w:cs="Arial"/>
          <w:color w:val="595959" w:themeColor="text1" w:themeTint="A6"/>
          <w:lang w:val="en-US" w:eastAsia="it-IT"/>
        </w:rPr>
        <w:t>molluscs</w:t>
      </w:r>
      <w:proofErr w:type="spellEnd"/>
      <w:proofErr w:type="gramEnd"/>
      <w:r w:rsidRPr="00BE4671">
        <w:rPr>
          <w:rFonts w:ascii="Trebuchet MS" w:eastAsia="Times New Roman" w:hAnsi="Trebuchet MS" w:cs="Arial"/>
          <w:color w:val="595959" w:themeColor="text1" w:themeTint="A6"/>
          <w:lang w:val="en-US" w:eastAsia="it-IT"/>
        </w:rPr>
        <w:t xml:space="preserve"> and crustaceans), are supplemented with further estimates to ensure the exhaustiveness of the phenomenon. The quantities of aquaculture production come from the specific survey carried out by the Ministry of Agriculture, Food and Forestry (MIPAAF). All quantities are valued with the respective average prices. The sector estimates were also affected by the revaluation of support services (</w:t>
      </w:r>
      <w:proofErr w:type="spellStart"/>
      <w:r w:rsidRPr="00BE4671">
        <w:rPr>
          <w:rFonts w:ascii="Trebuchet MS" w:eastAsia="Times New Roman" w:hAnsi="Trebuchet MS" w:cs="Arial"/>
          <w:color w:val="595959" w:themeColor="text1" w:themeTint="A6"/>
          <w:lang w:val="en-US" w:eastAsia="it-IT"/>
        </w:rPr>
        <w:t>Ateco</w:t>
      </w:r>
      <w:proofErr w:type="spellEnd"/>
      <w:r w:rsidRPr="00BE4671">
        <w:rPr>
          <w:rFonts w:ascii="Trebuchet MS" w:eastAsia="Times New Roman" w:hAnsi="Trebuchet MS" w:cs="Arial"/>
          <w:color w:val="595959" w:themeColor="text1" w:themeTint="A6"/>
          <w:lang w:val="en-US" w:eastAsia="it-IT"/>
        </w:rPr>
        <w:t xml:space="preserve"> 03.11.00) deriving from the administrative data of the fisheries sector VAT returns.</w:t>
      </w:r>
    </w:p>
    <w:p w14:paraId="5C5CCE0B" w14:textId="77777777" w:rsidR="004C1146" w:rsidRPr="00BE4671" w:rsidRDefault="004C1146" w:rsidP="007B79FB">
      <w:pPr>
        <w:pStyle w:val="Corpotesto"/>
        <w:spacing w:before="73"/>
        <w:jc w:val="both"/>
        <w:rPr>
          <w:rFonts w:ascii="Trebuchet MS" w:eastAsia="Times New Roman" w:hAnsi="Trebuchet MS" w:cs="Arial"/>
          <w:color w:val="595959" w:themeColor="text1" w:themeTint="A6"/>
          <w:sz w:val="12"/>
          <w:szCs w:val="12"/>
          <w:lang w:val="en-US" w:eastAsia="it-IT"/>
        </w:rPr>
      </w:pPr>
    </w:p>
    <w:p w14:paraId="6F59760D" w14:textId="7CE22F91" w:rsidR="004C1146" w:rsidRPr="002F49E7" w:rsidRDefault="00BD31BD" w:rsidP="007B79FB">
      <w:pPr>
        <w:pStyle w:val="Titolo1"/>
        <w:spacing w:before="94"/>
        <w:ind w:left="0"/>
        <w:rPr>
          <w:rFonts w:ascii="Trebuchet MS" w:hAnsi="Trebuchet MS"/>
          <w:color w:val="595959" w:themeColor="text1" w:themeTint="A6"/>
          <w:lang w:val="en-US"/>
        </w:rPr>
      </w:pPr>
      <w:r w:rsidRPr="002F49E7">
        <w:rPr>
          <w:rFonts w:ascii="Trebuchet MS" w:hAnsi="Trebuchet MS"/>
          <w:color w:val="595959" w:themeColor="text1" w:themeTint="A6"/>
          <w:lang w:val="en-US"/>
        </w:rPr>
        <w:t>References and insights</w:t>
      </w:r>
    </w:p>
    <w:p w14:paraId="5612CCCE" w14:textId="1B259E3E" w:rsidR="004C1146" w:rsidRPr="00BD31BD" w:rsidRDefault="00BD31BD" w:rsidP="007B79FB">
      <w:pPr>
        <w:pStyle w:val="Corpotesto"/>
        <w:spacing w:before="73"/>
        <w:jc w:val="both"/>
        <w:rPr>
          <w:rFonts w:ascii="Trebuchet MS" w:eastAsia="Times New Roman" w:hAnsi="Trebuchet MS" w:cs="Arial"/>
          <w:color w:val="595959" w:themeColor="text1" w:themeTint="A6"/>
          <w:lang w:val="en-US" w:eastAsia="it-IT"/>
        </w:rPr>
      </w:pPr>
      <w:proofErr w:type="gramStart"/>
      <w:r w:rsidRPr="00BD31BD">
        <w:rPr>
          <w:rFonts w:ascii="Trebuchet MS" w:eastAsia="Times New Roman" w:hAnsi="Trebuchet MS" w:cs="Arial"/>
          <w:color w:val="595959" w:themeColor="text1" w:themeTint="A6"/>
          <w:lang w:val="en-US" w:eastAsia="it-IT"/>
        </w:rPr>
        <w:t>More  detailed</w:t>
      </w:r>
      <w:proofErr w:type="gramEnd"/>
      <w:r w:rsidRPr="00BD31BD">
        <w:rPr>
          <w:rFonts w:ascii="Trebuchet MS" w:eastAsia="Times New Roman" w:hAnsi="Trebuchet MS" w:cs="Arial"/>
          <w:color w:val="595959" w:themeColor="text1" w:themeTint="A6"/>
          <w:lang w:val="en-US" w:eastAsia="it-IT"/>
        </w:rPr>
        <w:t xml:space="preserve">  data  from  the 1980-2020  time  series  are  available  on </w:t>
      </w:r>
      <w:r w:rsidR="004C1146" w:rsidRPr="00BD31BD">
        <w:rPr>
          <w:rFonts w:ascii="Trebuchet MS" w:eastAsia="Times New Roman" w:hAnsi="Trebuchet MS" w:cs="Arial"/>
          <w:color w:val="595959" w:themeColor="text1" w:themeTint="A6"/>
          <w:lang w:val="en-US" w:eastAsia="it-IT"/>
        </w:rPr>
        <w:t xml:space="preserve">http://dati.istat.it, al </w:t>
      </w:r>
      <w:proofErr w:type="spellStart"/>
      <w:r w:rsidR="004C1146" w:rsidRPr="00BD31BD">
        <w:rPr>
          <w:rFonts w:ascii="Trebuchet MS" w:eastAsia="Times New Roman" w:hAnsi="Trebuchet MS" w:cs="Arial"/>
          <w:color w:val="595959" w:themeColor="text1" w:themeTint="A6"/>
          <w:lang w:val="en-US" w:eastAsia="it-IT"/>
        </w:rPr>
        <w:t>tema</w:t>
      </w:r>
      <w:proofErr w:type="spellEnd"/>
      <w:r w:rsidR="004C1146" w:rsidRPr="00BD31BD">
        <w:rPr>
          <w:rFonts w:ascii="Trebuchet MS" w:eastAsia="Times New Roman" w:hAnsi="Trebuchet MS" w:cs="Arial"/>
          <w:color w:val="595959" w:themeColor="text1" w:themeTint="A6"/>
          <w:lang w:val="en-US" w:eastAsia="it-IT"/>
        </w:rPr>
        <w:t xml:space="preserve"> </w:t>
      </w:r>
      <w:r w:rsidRPr="00BD31BD">
        <w:rPr>
          <w:rFonts w:ascii="Trebuchet MS" w:eastAsia="Times New Roman" w:hAnsi="Trebuchet MS" w:cs="Arial"/>
          <w:color w:val="595959" w:themeColor="text1" w:themeTint="A6"/>
          <w:lang w:val="en-US" w:eastAsia="it-IT"/>
        </w:rPr>
        <w:t>under  the  theme  "National Accounts" / "Accounts of the branch of agriculture, forestry and fishing" where it is also possible to acquire information to the regional level of detail.</w:t>
      </w:r>
    </w:p>
    <w:p w14:paraId="2A47CCE2" w14:textId="44F64DE5" w:rsidR="004C1146" w:rsidRPr="00BD31BD" w:rsidRDefault="00BD31BD" w:rsidP="007B79FB">
      <w:pPr>
        <w:pStyle w:val="Corpotesto"/>
        <w:spacing w:before="73"/>
        <w:jc w:val="both"/>
        <w:rPr>
          <w:rFonts w:ascii="Trebuchet MS" w:hAnsi="Trebuchet MS"/>
          <w:spacing w:val="14"/>
          <w:w w:val="80"/>
          <w:sz w:val="21"/>
          <w:szCs w:val="21"/>
          <w:lang w:val="en-US"/>
        </w:rPr>
      </w:pPr>
      <w:r w:rsidRPr="00BD31BD">
        <w:rPr>
          <w:rFonts w:ascii="Trebuchet MS" w:eastAsia="Times New Roman" w:hAnsi="Trebuchet MS" w:cs="Arial"/>
          <w:color w:val="595959" w:themeColor="text1" w:themeTint="A6"/>
          <w:lang w:val="en-US" w:eastAsia="it-IT"/>
        </w:rPr>
        <w:t xml:space="preserve">News and in-depth information on "News in agricultural accounts -The revision of the national and regional accounts </w:t>
      </w:r>
      <w:proofErr w:type="gramStart"/>
      <w:r w:rsidRPr="00BD31BD">
        <w:rPr>
          <w:rFonts w:ascii="Trebuchet MS" w:eastAsia="Times New Roman" w:hAnsi="Trebuchet MS" w:cs="Arial"/>
          <w:color w:val="595959" w:themeColor="text1" w:themeTint="A6"/>
          <w:lang w:val="en-US" w:eastAsia="it-IT"/>
        </w:rPr>
        <w:t>of  agriculture</w:t>
      </w:r>
      <w:proofErr w:type="gramEnd"/>
      <w:r w:rsidRPr="00BD31BD">
        <w:rPr>
          <w:rFonts w:ascii="Trebuchet MS" w:eastAsia="Times New Roman" w:hAnsi="Trebuchet MS" w:cs="Arial"/>
          <w:color w:val="595959" w:themeColor="text1" w:themeTint="A6"/>
          <w:lang w:val="en-US" w:eastAsia="it-IT"/>
        </w:rPr>
        <w:t xml:space="preserve">  and  the  changes  made  with  the  introduction  of  the  Sec  2010"  are  available  on  the  page</w:t>
      </w:r>
      <w:r w:rsidR="004C1146" w:rsidRPr="00BD31BD">
        <w:rPr>
          <w:rFonts w:ascii="Trebuchet MS" w:hAnsi="Trebuchet MS"/>
          <w:spacing w:val="14"/>
          <w:w w:val="80"/>
          <w:sz w:val="21"/>
          <w:szCs w:val="21"/>
          <w:lang w:val="en-US"/>
        </w:rPr>
        <w:t xml:space="preserve"> </w:t>
      </w:r>
      <w:hyperlink r:id="rId44" w:history="1">
        <w:r w:rsidR="004C1146" w:rsidRPr="00BD31BD">
          <w:rPr>
            <w:rStyle w:val="Collegamentoipertestuale"/>
            <w:rFonts w:ascii="Trebuchet MS" w:hAnsi="Trebuchet MS"/>
            <w:spacing w:val="14"/>
            <w:w w:val="80"/>
            <w:sz w:val="21"/>
            <w:szCs w:val="21"/>
            <w:lang w:val="en-US"/>
          </w:rPr>
          <w:t>http://www.istat.it/it/archivio/162712</w:t>
        </w:r>
      </w:hyperlink>
      <w:r w:rsidR="004C1146" w:rsidRPr="00BD31BD">
        <w:rPr>
          <w:rFonts w:ascii="Trebuchet MS" w:hAnsi="Trebuchet MS"/>
          <w:spacing w:val="14"/>
          <w:w w:val="80"/>
          <w:sz w:val="21"/>
          <w:szCs w:val="21"/>
          <w:lang w:val="en-US"/>
        </w:rPr>
        <w:t>.</w:t>
      </w:r>
    </w:p>
    <w:p w14:paraId="1F8BCFF9" w14:textId="2801F5B0" w:rsidR="004C1146" w:rsidRPr="00BD31BD" w:rsidRDefault="00BD31BD" w:rsidP="007B79FB">
      <w:pPr>
        <w:pStyle w:val="Corpotesto"/>
        <w:spacing w:before="73"/>
        <w:jc w:val="both"/>
        <w:rPr>
          <w:rFonts w:ascii="Trebuchet MS" w:hAnsi="Trebuchet MS"/>
          <w:spacing w:val="14"/>
          <w:w w:val="80"/>
          <w:sz w:val="21"/>
          <w:szCs w:val="21"/>
          <w:lang w:val="en-US"/>
        </w:rPr>
      </w:pPr>
      <w:r w:rsidRPr="00BD31BD">
        <w:rPr>
          <w:rFonts w:ascii="Trebuchet MS" w:eastAsia="Times New Roman" w:hAnsi="Trebuchet MS" w:cs="Arial"/>
          <w:color w:val="595959" w:themeColor="text1" w:themeTint="A6"/>
          <w:lang w:val="en-US" w:eastAsia="it-IT"/>
        </w:rPr>
        <w:t xml:space="preserve">Information on national accounts (annual and quarterly) and on institutional, </w:t>
      </w:r>
      <w:proofErr w:type="gramStart"/>
      <w:r w:rsidRPr="00BD31BD">
        <w:rPr>
          <w:rFonts w:ascii="Trebuchet MS" w:eastAsia="Times New Roman" w:hAnsi="Trebuchet MS" w:cs="Arial"/>
          <w:color w:val="595959" w:themeColor="text1" w:themeTint="A6"/>
          <w:lang w:val="en-US" w:eastAsia="it-IT"/>
        </w:rPr>
        <w:t>territorial</w:t>
      </w:r>
      <w:proofErr w:type="gramEnd"/>
      <w:r w:rsidRPr="00BD31BD">
        <w:rPr>
          <w:rFonts w:ascii="Trebuchet MS" w:eastAsia="Times New Roman" w:hAnsi="Trebuchet MS" w:cs="Arial"/>
          <w:color w:val="595959" w:themeColor="text1" w:themeTint="A6"/>
          <w:lang w:val="en-US" w:eastAsia="it-IT"/>
        </w:rPr>
        <w:t xml:space="preserve"> and environmental accounts is available on the page</w:t>
      </w:r>
      <w:r w:rsidR="004C1146" w:rsidRPr="00BD31BD">
        <w:rPr>
          <w:rFonts w:ascii="Trebuchet MS" w:hAnsi="Trebuchet MS"/>
          <w:spacing w:val="14"/>
          <w:w w:val="80"/>
          <w:sz w:val="21"/>
          <w:szCs w:val="21"/>
          <w:lang w:val="en-US"/>
        </w:rPr>
        <w:t xml:space="preserve"> </w:t>
      </w:r>
      <w:hyperlink r:id="rId45" w:history="1">
        <w:r w:rsidR="00150B54" w:rsidRPr="00BD31BD">
          <w:rPr>
            <w:rStyle w:val="Collegamentoipertestuale"/>
            <w:rFonts w:ascii="Trebuchet MS" w:hAnsi="Trebuchet MS"/>
            <w:spacing w:val="14"/>
            <w:w w:val="80"/>
            <w:sz w:val="21"/>
            <w:szCs w:val="21"/>
            <w:lang w:val="en-US"/>
          </w:rPr>
          <w:t>http://www.istat.it/it/conti-nazionali</w:t>
        </w:r>
      </w:hyperlink>
      <w:r w:rsidR="00150B54" w:rsidRPr="00BD31BD">
        <w:rPr>
          <w:rFonts w:ascii="Trebuchet MS" w:hAnsi="Trebuchet MS"/>
          <w:spacing w:val="14"/>
          <w:w w:val="80"/>
          <w:sz w:val="21"/>
          <w:szCs w:val="21"/>
          <w:lang w:val="en-US"/>
        </w:rPr>
        <w:t>.</w:t>
      </w:r>
    </w:p>
    <w:p w14:paraId="2303A40C" w14:textId="4B1B67BC" w:rsidR="00112F48" w:rsidRPr="00BD31BD" w:rsidRDefault="00BD31BD" w:rsidP="007B79FB">
      <w:pPr>
        <w:pStyle w:val="Corpotesto"/>
        <w:spacing w:before="73"/>
        <w:jc w:val="both"/>
        <w:rPr>
          <w:rFonts w:ascii="Trebuchet MS" w:eastAsia="Times New Roman" w:hAnsi="Trebuchet MS" w:cs="Arial"/>
          <w:color w:val="595959" w:themeColor="text1" w:themeTint="A6"/>
          <w:lang w:val="en-US" w:eastAsia="it-IT"/>
        </w:rPr>
      </w:pPr>
      <w:r w:rsidRPr="00BD31BD">
        <w:rPr>
          <w:rFonts w:ascii="Trebuchet MS" w:eastAsia="Times New Roman" w:hAnsi="Trebuchet MS" w:cs="Arial"/>
          <w:color w:val="595959" w:themeColor="text1" w:themeTint="A6"/>
          <w:lang w:val="en-US" w:eastAsia="it-IT"/>
        </w:rPr>
        <w:t xml:space="preserve">Detailed data </w:t>
      </w:r>
      <w:r w:rsidR="000D6E2A" w:rsidRPr="00BD31BD">
        <w:rPr>
          <w:rFonts w:ascii="Trebuchet MS" w:eastAsia="Times New Roman" w:hAnsi="Trebuchet MS" w:cs="Arial"/>
          <w:color w:val="595959" w:themeColor="text1" w:themeTint="A6"/>
          <w:lang w:val="en-US" w:eastAsia="it-IT"/>
        </w:rPr>
        <w:t xml:space="preserve">at </w:t>
      </w:r>
      <w:r w:rsidR="00674666" w:rsidRPr="00BD31BD">
        <w:rPr>
          <w:rFonts w:ascii="Trebuchet MS" w:eastAsia="Times New Roman" w:hAnsi="Trebuchet MS" w:cs="Arial"/>
          <w:color w:val="595959" w:themeColor="text1" w:themeTint="A6"/>
          <w:lang w:val="en-US" w:eastAsia="it-IT"/>
        </w:rPr>
        <w:t xml:space="preserve">European </w:t>
      </w:r>
      <w:r w:rsidR="0057151B" w:rsidRPr="00BD31BD">
        <w:rPr>
          <w:rFonts w:ascii="Trebuchet MS" w:eastAsia="Times New Roman" w:hAnsi="Trebuchet MS" w:cs="Arial"/>
          <w:color w:val="595959" w:themeColor="text1" w:themeTint="A6"/>
          <w:lang w:val="en-US" w:eastAsia="it-IT"/>
        </w:rPr>
        <w:t xml:space="preserve">level </w:t>
      </w:r>
      <w:proofErr w:type="gramStart"/>
      <w:r w:rsidR="0057151B" w:rsidRPr="00BD31BD">
        <w:rPr>
          <w:rFonts w:ascii="Trebuchet MS" w:eastAsia="Times New Roman" w:hAnsi="Trebuchet MS" w:cs="Arial"/>
          <w:color w:val="595959" w:themeColor="text1" w:themeTint="A6"/>
          <w:lang w:val="en-US" w:eastAsia="it-IT"/>
        </w:rPr>
        <w:t>are</w:t>
      </w:r>
      <w:r w:rsidRPr="00BD31BD">
        <w:rPr>
          <w:rFonts w:ascii="Trebuchet MS" w:eastAsia="Times New Roman" w:hAnsi="Trebuchet MS" w:cs="Arial"/>
          <w:color w:val="595959" w:themeColor="text1" w:themeTint="A6"/>
          <w:lang w:val="en-US" w:eastAsia="it-IT"/>
        </w:rPr>
        <w:t xml:space="preserve">  available</w:t>
      </w:r>
      <w:proofErr w:type="gramEnd"/>
      <w:r w:rsidRPr="00BD31BD">
        <w:rPr>
          <w:rFonts w:ascii="Trebuchet MS" w:eastAsia="Times New Roman" w:hAnsi="Trebuchet MS" w:cs="Arial"/>
          <w:color w:val="595959" w:themeColor="text1" w:themeTint="A6"/>
          <w:lang w:val="en-US" w:eastAsia="it-IT"/>
        </w:rPr>
        <w:t xml:space="preserve">  at</w:t>
      </w:r>
      <w:r w:rsidR="004C1146" w:rsidRPr="00BD31BD">
        <w:rPr>
          <w:rFonts w:ascii="Trebuchet MS" w:eastAsia="Times New Roman" w:hAnsi="Trebuchet MS" w:cs="Arial"/>
          <w:color w:val="595959" w:themeColor="text1" w:themeTint="A6"/>
          <w:lang w:val="en-US" w:eastAsia="it-IT"/>
        </w:rPr>
        <w:t xml:space="preserve"> </w:t>
      </w:r>
      <w:hyperlink r:id="rId46" w:history="1">
        <w:r w:rsidR="00150B54" w:rsidRPr="00BD31BD">
          <w:rPr>
            <w:rStyle w:val="Collegamentoipertestuale"/>
            <w:rFonts w:ascii="Trebuchet MS" w:hAnsi="Trebuchet MS"/>
            <w:spacing w:val="14"/>
            <w:w w:val="80"/>
            <w:sz w:val="21"/>
            <w:szCs w:val="21"/>
            <w:lang w:val="en-US"/>
          </w:rPr>
          <w:t>http://ec.europa.eu/eurostat/data/database</w:t>
        </w:r>
      </w:hyperlink>
      <w:r w:rsidR="00150B54" w:rsidRPr="00BD31BD">
        <w:rPr>
          <w:rFonts w:ascii="Trebuchet MS" w:hAnsi="Trebuchet MS"/>
          <w:spacing w:val="14"/>
          <w:w w:val="80"/>
          <w:sz w:val="21"/>
          <w:szCs w:val="21"/>
          <w:lang w:val="en-US"/>
        </w:rPr>
        <w:t xml:space="preserve"> </w:t>
      </w:r>
      <w:r w:rsidRPr="00BD31BD">
        <w:rPr>
          <w:rFonts w:ascii="Trebuchet MS" w:eastAsia="Times New Roman" w:hAnsi="Trebuchet MS" w:cs="Arial"/>
          <w:color w:val="595959" w:themeColor="text1" w:themeTint="A6"/>
          <w:lang w:val="en-US" w:eastAsia="it-IT"/>
        </w:rPr>
        <w:t>under  the  theme “Agriculture, forestry and fisheries”/“Agriculture”/“Economic Accounts for Agriculture”.</w:t>
      </w:r>
    </w:p>
    <w:p w14:paraId="33D24DA3" w14:textId="1A98AC33" w:rsidR="009F62F7" w:rsidRPr="00BD31BD" w:rsidRDefault="009F62F7" w:rsidP="007B79FB">
      <w:pPr>
        <w:pStyle w:val="Corpotesto"/>
        <w:spacing w:before="73"/>
        <w:jc w:val="both"/>
        <w:rPr>
          <w:rFonts w:ascii="Trebuchet MS" w:eastAsia="Times New Roman" w:hAnsi="Trebuchet MS" w:cs="Arial"/>
          <w:color w:val="595959" w:themeColor="text1" w:themeTint="A6"/>
          <w:lang w:val="en-US" w:eastAsia="it-IT"/>
        </w:rPr>
      </w:pPr>
    </w:p>
    <w:p w14:paraId="6E12D6FF" w14:textId="77777777" w:rsidR="00B8216D" w:rsidRPr="00BD31BD" w:rsidRDefault="00B8216D" w:rsidP="007B79FB">
      <w:pPr>
        <w:pStyle w:val="Corpotesto"/>
        <w:spacing w:before="73"/>
        <w:jc w:val="both"/>
        <w:rPr>
          <w:rFonts w:ascii="Trebuchet MS" w:eastAsia="Times New Roman" w:hAnsi="Trebuchet MS" w:cs="Arial"/>
          <w:color w:val="595959" w:themeColor="text1" w:themeTint="A6"/>
          <w:lang w:val="en-US" w:eastAsia="it-IT"/>
        </w:rPr>
      </w:pPr>
    </w:p>
    <w:p w14:paraId="527402C7" w14:textId="00D2EEA1" w:rsidR="00B8216D" w:rsidRPr="00B8216D" w:rsidRDefault="00AB4953" w:rsidP="00B8216D">
      <w:pPr>
        <w:pStyle w:val="NormaleWeb"/>
        <w:spacing w:before="0" w:beforeAutospacing="0" w:after="120" w:afterAutospacing="0"/>
        <w:rPr>
          <w:rFonts w:ascii="Arial" w:hAnsi="Arial" w:cs="Arial"/>
          <w:color w:val="17365D"/>
          <w:sz w:val="36"/>
          <w:szCs w:val="36"/>
        </w:rPr>
      </w:pPr>
      <w:proofErr w:type="spellStart"/>
      <w:r w:rsidRPr="00AB4953">
        <w:rPr>
          <w:rFonts w:ascii="Arial" w:hAnsi="Arial" w:cs="Arial"/>
          <w:bCs/>
          <w:color w:val="17365D"/>
          <w:sz w:val="36"/>
          <w:szCs w:val="36"/>
        </w:rPr>
        <w:t>Further</w:t>
      </w:r>
      <w:proofErr w:type="spellEnd"/>
      <w:r w:rsidRPr="00AB4953">
        <w:rPr>
          <w:rFonts w:ascii="Arial" w:hAnsi="Arial" w:cs="Arial"/>
          <w:bCs/>
          <w:color w:val="17365D"/>
          <w:sz w:val="36"/>
          <w:szCs w:val="36"/>
        </w:rPr>
        <w:t xml:space="preserve"> technical and </w:t>
      </w:r>
      <w:proofErr w:type="spellStart"/>
      <w:r w:rsidRPr="00AB4953">
        <w:rPr>
          <w:rFonts w:ascii="Arial" w:hAnsi="Arial" w:cs="Arial"/>
          <w:bCs/>
          <w:color w:val="17365D"/>
          <w:sz w:val="36"/>
          <w:szCs w:val="36"/>
        </w:rPr>
        <w:t>methodologyinformation</w:t>
      </w:r>
      <w:proofErr w:type="spellEnd"/>
    </w:p>
    <w:tbl>
      <w:tblPr>
        <w:tblW w:w="9642" w:type="dxa"/>
        <w:tblBorders>
          <w:top w:val="dotted" w:sz="4" w:space="0" w:color="808080"/>
        </w:tblBorders>
        <w:tblLook w:val="04A0" w:firstRow="1" w:lastRow="0" w:firstColumn="1" w:lastColumn="0" w:noHBand="0" w:noVBand="1"/>
      </w:tblPr>
      <w:tblGrid>
        <w:gridCol w:w="4837"/>
        <w:gridCol w:w="4805"/>
      </w:tblGrid>
      <w:tr w:rsidR="00B8216D" w14:paraId="58929004" w14:textId="22B9EC9D" w:rsidTr="00B8216D">
        <w:trPr>
          <w:trHeight w:val="1095"/>
        </w:trPr>
        <w:tc>
          <w:tcPr>
            <w:tcW w:w="4837" w:type="dxa"/>
            <w:tcBorders>
              <w:top w:val="dotted" w:sz="4" w:space="0" w:color="808080"/>
              <w:left w:val="nil"/>
              <w:bottom w:val="dotted" w:sz="4" w:space="0" w:color="808080"/>
              <w:right w:val="nil"/>
            </w:tcBorders>
            <w:tcMar>
              <w:top w:w="170" w:type="dxa"/>
              <w:left w:w="0" w:type="dxa"/>
              <w:bottom w:w="0" w:type="dxa"/>
              <w:right w:w="0" w:type="dxa"/>
            </w:tcMar>
            <w:hideMark/>
          </w:tcPr>
          <w:p w14:paraId="76774E84" w14:textId="78CC3359" w:rsidR="00B8216D" w:rsidRPr="00B8216D" w:rsidRDefault="00B8216D" w:rsidP="00747AD4">
            <w:pPr>
              <w:pStyle w:val="NormaleWeb"/>
              <w:spacing w:before="0" w:beforeAutospacing="0" w:after="120" w:afterAutospacing="0"/>
              <w:rPr>
                <w:rFonts w:ascii="Trebuchet MS" w:hAnsi="Trebuchet MS" w:cs="Arial"/>
                <w:b/>
                <w:bCs/>
                <w:color w:val="17365D"/>
                <w:sz w:val="22"/>
                <w:szCs w:val="22"/>
              </w:rPr>
            </w:pPr>
            <w:r w:rsidRPr="00B8216D">
              <w:rPr>
                <w:rFonts w:ascii="Trebuchet MS" w:hAnsi="Trebuchet MS" w:cs="Arial"/>
                <w:b/>
                <w:bCs/>
                <w:color w:val="17365D"/>
                <w:sz w:val="22"/>
                <w:szCs w:val="22"/>
              </w:rPr>
              <w:t>Istat</w:t>
            </w:r>
          </w:p>
          <w:p w14:paraId="479B7FE8" w14:textId="2FB22F5E" w:rsidR="00B8216D" w:rsidRPr="00B8216D" w:rsidRDefault="006F67AF" w:rsidP="00747AD4">
            <w:pPr>
              <w:pStyle w:val="NormaleWeb"/>
              <w:spacing w:before="0" w:beforeAutospacing="0" w:after="120" w:afterAutospacing="0"/>
              <w:rPr>
                <w:rFonts w:ascii="Trebuchet MS" w:hAnsi="Trebuchet MS" w:cs="Arial"/>
                <w:b/>
                <w:bCs/>
                <w:color w:val="17365D"/>
                <w:sz w:val="22"/>
                <w:szCs w:val="22"/>
              </w:rPr>
            </w:pPr>
            <w:r>
              <w:rPr>
                <w:rFonts w:ascii="Trebuchet MS" w:hAnsi="Trebuchet MS" w:cs="Arial"/>
                <w:b/>
                <w:bCs/>
                <w:color w:val="17365D"/>
                <w:sz w:val="22"/>
                <w:szCs w:val="22"/>
              </w:rPr>
              <w:t>Alessandra Agostinelli</w:t>
            </w:r>
          </w:p>
          <w:p w14:paraId="553B21F5" w14:textId="1BEEE9D0" w:rsidR="00B8216D" w:rsidRDefault="00B01249" w:rsidP="00747AD4">
            <w:pPr>
              <w:pStyle w:val="NormaleWeb"/>
              <w:spacing w:before="0" w:beforeAutospacing="0" w:after="0" w:afterAutospacing="0"/>
              <w:rPr>
                <w:rFonts w:ascii="Arial" w:hAnsi="Arial" w:cs="Arial"/>
                <w:color w:val="000000"/>
              </w:rPr>
            </w:pPr>
            <w:r>
              <w:rPr>
                <w:rFonts w:ascii="Trebuchet MS" w:hAnsi="Trebuchet MS" w:cs="Arial"/>
                <w:color w:val="595959" w:themeColor="text1" w:themeTint="A6"/>
                <w:sz w:val="20"/>
                <w:szCs w:val="20"/>
              </w:rPr>
              <w:t>agostine</w:t>
            </w:r>
            <w:hyperlink r:id="rId47" w:history="1">
              <w:r w:rsidR="00B8216D" w:rsidRPr="00B8216D">
                <w:rPr>
                  <w:rFonts w:ascii="Trebuchet MS" w:hAnsi="Trebuchet MS" w:cs="Arial"/>
                  <w:color w:val="595959" w:themeColor="text1" w:themeTint="A6"/>
                  <w:sz w:val="20"/>
                  <w:szCs w:val="20"/>
                </w:rPr>
                <w:t>@istat.it</w:t>
              </w:r>
            </w:hyperlink>
          </w:p>
        </w:tc>
        <w:tc>
          <w:tcPr>
            <w:tcW w:w="4805" w:type="dxa"/>
            <w:tcBorders>
              <w:top w:val="dotted" w:sz="4" w:space="0" w:color="808080"/>
              <w:left w:val="nil"/>
              <w:bottom w:val="dotted" w:sz="4" w:space="0" w:color="808080"/>
              <w:right w:val="nil"/>
            </w:tcBorders>
          </w:tcPr>
          <w:p w14:paraId="6322FE31" w14:textId="77777777" w:rsidR="00B8216D" w:rsidRDefault="00B8216D" w:rsidP="00B8216D">
            <w:pPr>
              <w:pStyle w:val="NormaleWeb"/>
              <w:spacing w:before="0" w:beforeAutospacing="0" w:after="120" w:afterAutospacing="0"/>
              <w:rPr>
                <w:rFonts w:ascii="Trebuchet MS" w:hAnsi="Trebuchet MS" w:cs="Arial"/>
                <w:b/>
                <w:bCs/>
                <w:color w:val="CD242F"/>
                <w:sz w:val="22"/>
                <w:szCs w:val="22"/>
              </w:rPr>
            </w:pPr>
          </w:p>
          <w:p w14:paraId="584E8826" w14:textId="33674832" w:rsidR="00B8216D" w:rsidRPr="00B8216D" w:rsidRDefault="006F67AF" w:rsidP="00B8216D">
            <w:pPr>
              <w:pStyle w:val="NormaleWeb"/>
              <w:spacing w:before="0" w:beforeAutospacing="0" w:after="120" w:afterAutospacing="0"/>
              <w:rPr>
                <w:rFonts w:ascii="Trebuchet MS" w:hAnsi="Trebuchet MS" w:cs="Arial"/>
                <w:b/>
                <w:bCs/>
                <w:color w:val="17365D"/>
                <w:sz w:val="22"/>
                <w:szCs w:val="22"/>
              </w:rPr>
            </w:pPr>
            <w:r>
              <w:rPr>
                <w:rFonts w:ascii="Trebuchet MS" w:hAnsi="Trebuchet MS" w:cs="Arial"/>
                <w:b/>
                <w:bCs/>
                <w:color w:val="17365D"/>
                <w:sz w:val="22"/>
                <w:szCs w:val="22"/>
              </w:rPr>
              <w:t>Paolo Panfili</w:t>
            </w:r>
          </w:p>
          <w:p w14:paraId="51B71AA0" w14:textId="13FE4021" w:rsidR="00B8216D" w:rsidRPr="00B8216D" w:rsidRDefault="00B01249" w:rsidP="00B8216D">
            <w:pPr>
              <w:pStyle w:val="NormaleWeb"/>
              <w:spacing w:before="0" w:beforeAutospacing="0" w:after="120" w:afterAutospacing="0"/>
              <w:rPr>
                <w:rFonts w:ascii="Trebuchet MS" w:hAnsi="Trebuchet MS" w:cs="Arial"/>
                <w:b/>
                <w:bCs/>
                <w:color w:val="CD242F"/>
                <w:sz w:val="22"/>
                <w:szCs w:val="22"/>
              </w:rPr>
            </w:pPr>
            <w:r>
              <w:rPr>
                <w:rFonts w:ascii="Trebuchet MS" w:hAnsi="Trebuchet MS" w:cs="Arial"/>
                <w:color w:val="595959" w:themeColor="text1" w:themeTint="A6"/>
                <w:sz w:val="20"/>
                <w:szCs w:val="20"/>
              </w:rPr>
              <w:t>panfili</w:t>
            </w:r>
            <w:hyperlink r:id="rId48" w:history="1">
              <w:r w:rsidR="00B8216D" w:rsidRPr="00B8216D">
                <w:rPr>
                  <w:rFonts w:ascii="Trebuchet MS" w:hAnsi="Trebuchet MS" w:cs="Arial"/>
                  <w:color w:val="595959" w:themeColor="text1" w:themeTint="A6"/>
                  <w:sz w:val="20"/>
                  <w:szCs w:val="20"/>
                </w:rPr>
                <w:t>@istat.it</w:t>
              </w:r>
            </w:hyperlink>
          </w:p>
        </w:tc>
      </w:tr>
      <w:tr w:rsidR="00B8216D" w14:paraId="10EDE855" w14:textId="788552EC" w:rsidTr="00B8216D">
        <w:trPr>
          <w:trHeight w:val="1095"/>
        </w:trPr>
        <w:tc>
          <w:tcPr>
            <w:tcW w:w="4837" w:type="dxa"/>
            <w:tcBorders>
              <w:top w:val="dotted" w:sz="4" w:space="0" w:color="808080"/>
              <w:left w:val="nil"/>
              <w:bottom w:val="nil"/>
              <w:right w:val="nil"/>
            </w:tcBorders>
            <w:tcMar>
              <w:top w:w="170" w:type="dxa"/>
              <w:left w:w="0" w:type="dxa"/>
              <w:bottom w:w="0" w:type="dxa"/>
              <w:right w:w="0" w:type="dxa"/>
            </w:tcMar>
          </w:tcPr>
          <w:p w14:paraId="38DC1076" w14:textId="77777777" w:rsidR="00B8216D" w:rsidRPr="00B8216D" w:rsidRDefault="00B8216D" w:rsidP="00B8216D">
            <w:pPr>
              <w:pStyle w:val="Corpotesto"/>
              <w:spacing w:after="120"/>
              <w:jc w:val="both"/>
              <w:rPr>
                <w:rFonts w:ascii="Arial" w:eastAsia="Times New Roman" w:hAnsi="Arial" w:cs="Arial"/>
                <w:b/>
                <w:bCs/>
                <w:color w:val="17365D"/>
                <w:sz w:val="22"/>
                <w:szCs w:val="22"/>
                <w:lang w:eastAsia="it-IT"/>
              </w:rPr>
            </w:pPr>
            <w:r w:rsidRPr="00B8216D">
              <w:rPr>
                <w:rFonts w:ascii="Arial" w:eastAsia="Times New Roman" w:hAnsi="Arial" w:cs="Arial"/>
                <w:b/>
                <w:bCs/>
                <w:color w:val="17365D"/>
                <w:sz w:val="22"/>
                <w:szCs w:val="22"/>
                <w:lang w:eastAsia="it-IT"/>
              </w:rPr>
              <w:t>Crea</w:t>
            </w:r>
          </w:p>
          <w:p w14:paraId="19750220" w14:textId="77777777" w:rsidR="008A5A81" w:rsidRPr="00B8216D" w:rsidRDefault="008A5A81" w:rsidP="008A5A81">
            <w:pPr>
              <w:pStyle w:val="NormaleWeb"/>
              <w:spacing w:before="0" w:beforeAutospacing="0" w:after="120" w:afterAutospacing="0"/>
              <w:rPr>
                <w:rFonts w:ascii="Trebuchet MS" w:hAnsi="Trebuchet MS" w:cs="Arial"/>
                <w:b/>
                <w:bCs/>
                <w:color w:val="17365D"/>
                <w:sz w:val="22"/>
                <w:szCs w:val="22"/>
              </w:rPr>
            </w:pPr>
            <w:r>
              <w:rPr>
                <w:rFonts w:ascii="Trebuchet MS" w:hAnsi="Trebuchet MS" w:cs="Arial"/>
                <w:b/>
                <w:bCs/>
                <w:color w:val="17365D"/>
                <w:sz w:val="22"/>
                <w:szCs w:val="22"/>
              </w:rPr>
              <w:t xml:space="preserve">Lucia </w:t>
            </w:r>
            <w:proofErr w:type="spellStart"/>
            <w:r>
              <w:rPr>
                <w:rFonts w:ascii="Trebuchet MS" w:hAnsi="Trebuchet MS" w:cs="Arial"/>
                <w:b/>
                <w:bCs/>
                <w:color w:val="17365D"/>
                <w:sz w:val="22"/>
                <w:szCs w:val="22"/>
              </w:rPr>
              <w:t>Briamonte</w:t>
            </w:r>
            <w:proofErr w:type="spellEnd"/>
          </w:p>
          <w:p w14:paraId="45F98847" w14:textId="13E09214" w:rsidR="00B8216D" w:rsidRPr="00B8216D" w:rsidRDefault="008A5A81" w:rsidP="00B8216D">
            <w:pPr>
              <w:pStyle w:val="NormaleWeb"/>
              <w:spacing w:before="0" w:beforeAutospacing="0" w:after="120" w:afterAutospacing="0"/>
              <w:rPr>
                <w:rFonts w:ascii="Trebuchet MS" w:hAnsi="Trebuchet MS" w:cs="Arial"/>
                <w:b/>
                <w:bCs/>
                <w:color w:val="CD242F"/>
                <w:sz w:val="22"/>
                <w:szCs w:val="22"/>
              </w:rPr>
            </w:pPr>
            <w:r>
              <w:rPr>
                <w:rFonts w:ascii="Trebuchet MS" w:hAnsi="Trebuchet MS" w:cs="Arial"/>
                <w:color w:val="595959" w:themeColor="text1" w:themeTint="A6"/>
                <w:sz w:val="20"/>
                <w:szCs w:val="20"/>
              </w:rPr>
              <w:t>lucia.briamonte@crea.gov.it</w:t>
            </w:r>
          </w:p>
        </w:tc>
        <w:tc>
          <w:tcPr>
            <w:tcW w:w="4805" w:type="dxa"/>
            <w:tcBorders>
              <w:top w:val="dotted" w:sz="4" w:space="0" w:color="808080"/>
              <w:left w:val="nil"/>
              <w:bottom w:val="nil"/>
              <w:right w:val="nil"/>
            </w:tcBorders>
          </w:tcPr>
          <w:p w14:paraId="0F266B08" w14:textId="77777777" w:rsidR="00B8216D" w:rsidRPr="00B8216D" w:rsidRDefault="00B8216D" w:rsidP="00B8216D">
            <w:pPr>
              <w:pStyle w:val="NormaleWeb"/>
              <w:spacing w:before="0" w:beforeAutospacing="0" w:after="120" w:afterAutospacing="0"/>
              <w:rPr>
                <w:rFonts w:ascii="Trebuchet MS" w:hAnsi="Trebuchet MS" w:cs="Arial"/>
                <w:b/>
                <w:bCs/>
                <w:color w:val="17365D"/>
                <w:sz w:val="22"/>
                <w:szCs w:val="22"/>
              </w:rPr>
            </w:pPr>
          </w:p>
          <w:p w14:paraId="46343972" w14:textId="77777777" w:rsidR="008A5A81" w:rsidRPr="00B8216D" w:rsidRDefault="008A5A81" w:rsidP="008A5A81">
            <w:pPr>
              <w:pStyle w:val="NormaleWeb"/>
              <w:spacing w:before="0" w:beforeAutospacing="0" w:after="120" w:afterAutospacing="0"/>
              <w:rPr>
                <w:rFonts w:ascii="Trebuchet MS" w:hAnsi="Trebuchet MS" w:cs="Arial"/>
                <w:b/>
                <w:bCs/>
                <w:color w:val="17365D"/>
                <w:sz w:val="22"/>
                <w:szCs w:val="22"/>
              </w:rPr>
            </w:pPr>
            <w:r>
              <w:rPr>
                <w:rFonts w:ascii="Trebuchet MS" w:hAnsi="Trebuchet MS" w:cs="Arial"/>
                <w:b/>
                <w:bCs/>
                <w:color w:val="17365D"/>
                <w:sz w:val="22"/>
                <w:szCs w:val="22"/>
              </w:rPr>
              <w:t>Fabio Pierangeli</w:t>
            </w:r>
          </w:p>
          <w:p w14:paraId="2DCB3008" w14:textId="43C7D50F" w:rsidR="00B8216D" w:rsidRPr="00B8216D" w:rsidRDefault="008A5A81" w:rsidP="00B8216D">
            <w:pPr>
              <w:pStyle w:val="NormaleWeb"/>
              <w:spacing w:before="0" w:beforeAutospacing="0" w:after="0" w:afterAutospacing="0"/>
              <w:rPr>
                <w:rFonts w:ascii="Trebuchet MS" w:hAnsi="Trebuchet MS" w:cs="Arial"/>
                <w:b/>
                <w:bCs/>
                <w:color w:val="CD242F"/>
                <w:sz w:val="22"/>
                <w:szCs w:val="22"/>
              </w:rPr>
            </w:pPr>
            <w:r>
              <w:rPr>
                <w:rFonts w:ascii="Trebuchet MS" w:hAnsi="Trebuchet MS" w:cs="Arial"/>
                <w:color w:val="595959" w:themeColor="text1" w:themeTint="A6"/>
                <w:sz w:val="20"/>
                <w:szCs w:val="20"/>
              </w:rPr>
              <w:t>fabio.pierangeli@crea.gov.it</w:t>
            </w:r>
          </w:p>
        </w:tc>
      </w:tr>
    </w:tbl>
    <w:p w14:paraId="4118D8BD" w14:textId="77777777" w:rsidR="00B8216D" w:rsidRPr="00B8216D" w:rsidRDefault="00B8216D" w:rsidP="00B8216D">
      <w:pPr>
        <w:pStyle w:val="Corpotesto"/>
        <w:spacing w:before="73"/>
        <w:jc w:val="both"/>
        <w:rPr>
          <w:rFonts w:ascii="Arial" w:eastAsia="Times New Roman" w:hAnsi="Arial" w:cs="Arial"/>
          <w:b/>
          <w:bCs/>
          <w:color w:val="CD242F"/>
          <w:sz w:val="22"/>
          <w:szCs w:val="22"/>
          <w:lang w:eastAsia="it-IT"/>
        </w:rPr>
      </w:pPr>
    </w:p>
    <w:sectPr w:rsidR="00B8216D" w:rsidRPr="00B8216D" w:rsidSect="00F75E5D">
      <w:footerReference w:type="default" r:id="rId49"/>
      <w:headerReference w:type="first" r:id="rId50"/>
      <w:type w:val="continuous"/>
      <w:pgSz w:w="11910" w:h="16840" w:code="9"/>
      <w:pgMar w:top="993" w:right="1134" w:bottom="1134" w:left="1134" w:header="340" w:footer="38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0EFBD" w14:textId="77777777" w:rsidR="008D0C66" w:rsidRDefault="008D0C66">
      <w:r>
        <w:separator/>
      </w:r>
    </w:p>
  </w:endnote>
  <w:endnote w:type="continuationSeparator" w:id="0">
    <w:p w14:paraId="42EABAF8" w14:textId="77777777" w:rsidR="008D0C66" w:rsidRDefault="008D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MS-Bold">
    <w:altName w:val="Cambria"/>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MT">
    <w:altName w:val="Arial"/>
    <w:charset w:val="00"/>
    <w:family w:val="auto"/>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679653"/>
      <w:docPartObj>
        <w:docPartGallery w:val="Page Numbers (Bottom of Page)"/>
        <w:docPartUnique/>
      </w:docPartObj>
    </w:sdtPr>
    <w:sdtEndPr/>
    <w:sdtContent>
      <w:p w14:paraId="0463B9CC" w14:textId="7E6528F3" w:rsidR="00AA41E7" w:rsidRDefault="00AA41E7">
        <w:pPr>
          <w:pStyle w:val="Pidipagina"/>
          <w:jc w:val="center"/>
        </w:pPr>
        <w:r>
          <w:rPr>
            <w:noProof/>
            <w:lang w:eastAsia="it-IT"/>
          </w:rPr>
          <w:drawing>
            <wp:anchor distT="0" distB="0" distL="0" distR="0" simplePos="0" relativeHeight="483954176" behindDoc="1" locked="0" layoutInCell="1" allowOverlap="1" wp14:anchorId="5AD3DA67" wp14:editId="573B8647">
              <wp:simplePos x="0" y="0"/>
              <wp:positionH relativeFrom="margin">
                <wp:posOffset>5464955</wp:posOffset>
              </wp:positionH>
              <wp:positionV relativeFrom="paragraph">
                <wp:posOffset>14598</wp:posOffset>
              </wp:positionV>
              <wp:extent cx="849680" cy="427453"/>
              <wp:effectExtent l="0" t="0" r="7620" b="0"/>
              <wp:wrapTopAndBottom/>
              <wp:docPr id="33" name="image1.jpeg" descr="C:\Users\tononi\AppData\Local\Microsoft\Windows\Temporary Internet Files\Content.IE5\ZWIMI8CE\Logo a colori in alta risoluzione con denominazione complet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49680" cy="427453"/>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483952128" behindDoc="0" locked="0" layoutInCell="1" allowOverlap="1" wp14:anchorId="1FB27B49" wp14:editId="0D2679AE">
              <wp:simplePos x="0" y="0"/>
              <wp:positionH relativeFrom="margin">
                <wp:posOffset>-39370</wp:posOffset>
              </wp:positionH>
              <wp:positionV relativeFrom="paragraph">
                <wp:posOffset>9574</wp:posOffset>
              </wp:positionV>
              <wp:extent cx="883920" cy="482600"/>
              <wp:effectExtent l="0" t="0" r="0" b="0"/>
              <wp:wrapNone/>
              <wp:docPr id="35" name="Immagine 35" descr="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25081F">
          <w:rPr>
            <w:noProof/>
          </w:rPr>
          <w:t>18</w:t>
        </w:r>
        <w:r>
          <w:fldChar w:fldCharType="end"/>
        </w:r>
      </w:p>
    </w:sdtContent>
  </w:sdt>
  <w:p w14:paraId="7B747F0C" w14:textId="4D9D21E1" w:rsidR="00AA41E7" w:rsidRDefault="00AA41E7">
    <w:pPr>
      <w:pStyle w:val="Corpotesto"/>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D7E92" w14:textId="77777777" w:rsidR="008D0C66" w:rsidRDefault="008D0C66">
      <w:r>
        <w:separator/>
      </w:r>
    </w:p>
  </w:footnote>
  <w:footnote w:type="continuationSeparator" w:id="0">
    <w:p w14:paraId="42797010" w14:textId="77777777" w:rsidR="008D0C66" w:rsidRDefault="008D0C66">
      <w:r>
        <w:continuationSeparator/>
      </w:r>
    </w:p>
  </w:footnote>
  <w:footnote w:id="1">
    <w:p w14:paraId="069DA8AF" w14:textId="7049BC9A" w:rsidR="00AA41E7" w:rsidRPr="00590125" w:rsidRDefault="00AA41E7" w:rsidP="00F130A3">
      <w:pPr>
        <w:pStyle w:val="Testonotaapidipagina"/>
        <w:ind w:firstLine="142"/>
        <w:jc w:val="both"/>
        <w:rPr>
          <w:sz w:val="16"/>
          <w:szCs w:val="16"/>
          <w:lang w:val="en-US"/>
        </w:rPr>
      </w:pPr>
      <w:r w:rsidRPr="00D02044">
        <w:rPr>
          <w:rStyle w:val="Rimandonotaapidipagina"/>
          <w:sz w:val="16"/>
          <w:szCs w:val="16"/>
        </w:rPr>
        <w:footnoteRef/>
      </w:r>
      <w:r w:rsidRPr="00590125">
        <w:rPr>
          <w:sz w:val="16"/>
          <w:szCs w:val="16"/>
          <w:lang w:val="en-US"/>
        </w:rPr>
        <w:t xml:space="preserve"> In the cultivation of olive oil, generally, a year with abundant production (called charge) follows one with low production (called discharge). This alternation of production is sometimes repeated for several consecutive years with relative constancy and is genetically determined, even if its intensity is influenced by the variety, the quantity of fruiting of the previous year, the climatic-environmental conditions as well as the cultivation and cultivation and pruning techniques.</w:t>
      </w:r>
    </w:p>
  </w:footnote>
  <w:footnote w:id="2">
    <w:p w14:paraId="12F34258" w14:textId="16FAD8B7" w:rsidR="00AA41E7" w:rsidRPr="00D02044" w:rsidRDefault="00AA41E7" w:rsidP="00F36834">
      <w:pPr>
        <w:pStyle w:val="Testonotaapidipagina"/>
        <w:jc w:val="both"/>
        <w:rPr>
          <w:sz w:val="16"/>
          <w:szCs w:val="16"/>
        </w:rPr>
      </w:pPr>
      <w:r w:rsidRPr="00D02044">
        <w:rPr>
          <w:rStyle w:val="Rimandonotaapidipagina"/>
          <w:sz w:val="16"/>
          <w:szCs w:val="16"/>
        </w:rPr>
        <w:footnoteRef/>
      </w:r>
      <w:r w:rsidRPr="0042490F">
        <w:rPr>
          <w:sz w:val="16"/>
          <w:szCs w:val="16"/>
          <w:lang w:val="en-US"/>
        </w:rPr>
        <w:t xml:space="preserve"> These are data that refer to the Agriculture Satellite Account prepared by Eurostat. </w:t>
      </w:r>
      <w:r w:rsidRPr="0042490F">
        <w:rPr>
          <w:sz w:val="16"/>
          <w:szCs w:val="16"/>
        </w:rPr>
        <w:t xml:space="preserve">For </w:t>
      </w:r>
      <w:proofErr w:type="spellStart"/>
      <w:r w:rsidRPr="0042490F">
        <w:rPr>
          <w:sz w:val="16"/>
          <w:szCs w:val="16"/>
        </w:rPr>
        <w:t>further</w:t>
      </w:r>
      <w:proofErr w:type="spellEnd"/>
      <w:r w:rsidRPr="0042490F">
        <w:rPr>
          <w:sz w:val="16"/>
          <w:szCs w:val="16"/>
        </w:rPr>
        <w:t xml:space="preserve"> </w:t>
      </w:r>
      <w:proofErr w:type="spellStart"/>
      <w:r w:rsidRPr="0042490F">
        <w:rPr>
          <w:sz w:val="16"/>
          <w:szCs w:val="16"/>
        </w:rPr>
        <w:t>details</w:t>
      </w:r>
      <w:proofErr w:type="spellEnd"/>
      <w:r w:rsidRPr="0042490F">
        <w:rPr>
          <w:sz w:val="16"/>
          <w:szCs w:val="16"/>
        </w:rPr>
        <w:t xml:space="preserve"> </w:t>
      </w:r>
      <w:proofErr w:type="spellStart"/>
      <w:r w:rsidRPr="0042490F">
        <w:rPr>
          <w:sz w:val="16"/>
          <w:szCs w:val="16"/>
        </w:rPr>
        <w:t>see</w:t>
      </w:r>
      <w:proofErr w:type="spellEnd"/>
      <w:r w:rsidRPr="0042490F">
        <w:rPr>
          <w:sz w:val="16"/>
          <w:szCs w:val="16"/>
        </w:rPr>
        <w:t xml:space="preserve"> the "</w:t>
      </w:r>
      <w:proofErr w:type="spellStart"/>
      <w:r w:rsidRPr="0042490F">
        <w:rPr>
          <w:sz w:val="16"/>
          <w:szCs w:val="16"/>
        </w:rPr>
        <w:t>Methodological</w:t>
      </w:r>
      <w:proofErr w:type="spellEnd"/>
      <w:r w:rsidRPr="0042490F">
        <w:rPr>
          <w:sz w:val="16"/>
          <w:szCs w:val="16"/>
        </w:rPr>
        <w:t xml:space="preserve"> note"</w:t>
      </w:r>
      <w:r w:rsidRPr="00D02044">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07073" w14:textId="206C861A" w:rsidR="00AA41E7" w:rsidRDefault="00AA41E7">
    <w:pPr>
      <w:pStyle w:val="Intestazione"/>
    </w:pPr>
    <w:r>
      <w:rPr>
        <w:noProof/>
        <w:lang w:eastAsia="it-IT"/>
      </w:rPr>
      <w:drawing>
        <wp:anchor distT="0" distB="0" distL="0" distR="0" simplePos="0" relativeHeight="483950080" behindDoc="1" locked="0" layoutInCell="1" allowOverlap="1" wp14:anchorId="7E61498A" wp14:editId="3302C2A6">
          <wp:simplePos x="0" y="0"/>
          <wp:positionH relativeFrom="margin">
            <wp:align>right</wp:align>
          </wp:positionH>
          <wp:positionV relativeFrom="paragraph">
            <wp:posOffset>95250</wp:posOffset>
          </wp:positionV>
          <wp:extent cx="1548765" cy="779145"/>
          <wp:effectExtent l="0" t="0" r="0" b="1905"/>
          <wp:wrapTopAndBottom/>
          <wp:docPr id="36" name="image1.jpeg" descr="C:\Users\tononi\AppData\Local\Microsoft\Windows\Temporary Internet Files\Content.IE5\ZWIMI8CE\Logo a colori in alta risoluzione con denominazione complet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548765" cy="779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483948032" behindDoc="0" locked="0" layoutInCell="1" allowOverlap="1" wp14:anchorId="0DC3B8AB" wp14:editId="28902741">
          <wp:simplePos x="0" y="0"/>
          <wp:positionH relativeFrom="column">
            <wp:posOffset>0</wp:posOffset>
          </wp:positionH>
          <wp:positionV relativeFrom="paragraph">
            <wp:posOffset>0</wp:posOffset>
          </wp:positionV>
          <wp:extent cx="1743075" cy="952500"/>
          <wp:effectExtent l="0" t="0" r="9525" b="0"/>
          <wp:wrapNone/>
          <wp:docPr id="37" name="Immagine 37" descr="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9525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6D45"/>
    <w:multiLevelType w:val="hybridMultilevel"/>
    <w:tmpl w:val="0D223DC6"/>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1" w15:restartNumberingAfterBreak="0">
    <w:nsid w:val="0489188F"/>
    <w:multiLevelType w:val="hybridMultilevel"/>
    <w:tmpl w:val="324E542C"/>
    <w:lvl w:ilvl="0" w:tplc="8638968E">
      <w:start w:val="1"/>
      <w:numFmt w:val="decimal"/>
      <w:lvlText w:val="%1."/>
      <w:lvlJc w:val="left"/>
      <w:pPr>
        <w:ind w:left="1352" w:hanging="360"/>
      </w:pPr>
      <w:rPr>
        <w:rFonts w:hint="default"/>
        <w:b/>
      </w:rPr>
    </w:lvl>
    <w:lvl w:ilvl="1" w:tplc="04100019" w:tentative="1">
      <w:start w:val="1"/>
      <w:numFmt w:val="lowerLetter"/>
      <w:lvlText w:val="%2."/>
      <w:lvlJc w:val="left"/>
      <w:pPr>
        <w:ind w:left="1892" w:hanging="360"/>
      </w:pPr>
    </w:lvl>
    <w:lvl w:ilvl="2" w:tplc="0410001B" w:tentative="1">
      <w:start w:val="1"/>
      <w:numFmt w:val="lowerRoman"/>
      <w:lvlText w:val="%3."/>
      <w:lvlJc w:val="right"/>
      <w:pPr>
        <w:ind w:left="2612" w:hanging="180"/>
      </w:pPr>
    </w:lvl>
    <w:lvl w:ilvl="3" w:tplc="0410000F" w:tentative="1">
      <w:start w:val="1"/>
      <w:numFmt w:val="decimal"/>
      <w:lvlText w:val="%4."/>
      <w:lvlJc w:val="left"/>
      <w:pPr>
        <w:ind w:left="3332" w:hanging="360"/>
      </w:pPr>
    </w:lvl>
    <w:lvl w:ilvl="4" w:tplc="04100019" w:tentative="1">
      <w:start w:val="1"/>
      <w:numFmt w:val="lowerLetter"/>
      <w:lvlText w:val="%5."/>
      <w:lvlJc w:val="left"/>
      <w:pPr>
        <w:ind w:left="4052" w:hanging="360"/>
      </w:pPr>
    </w:lvl>
    <w:lvl w:ilvl="5" w:tplc="0410001B" w:tentative="1">
      <w:start w:val="1"/>
      <w:numFmt w:val="lowerRoman"/>
      <w:lvlText w:val="%6."/>
      <w:lvlJc w:val="right"/>
      <w:pPr>
        <w:ind w:left="4772" w:hanging="180"/>
      </w:pPr>
    </w:lvl>
    <w:lvl w:ilvl="6" w:tplc="0410000F" w:tentative="1">
      <w:start w:val="1"/>
      <w:numFmt w:val="decimal"/>
      <w:lvlText w:val="%7."/>
      <w:lvlJc w:val="left"/>
      <w:pPr>
        <w:ind w:left="5492" w:hanging="360"/>
      </w:pPr>
    </w:lvl>
    <w:lvl w:ilvl="7" w:tplc="04100019" w:tentative="1">
      <w:start w:val="1"/>
      <w:numFmt w:val="lowerLetter"/>
      <w:lvlText w:val="%8."/>
      <w:lvlJc w:val="left"/>
      <w:pPr>
        <w:ind w:left="6212" w:hanging="360"/>
      </w:pPr>
    </w:lvl>
    <w:lvl w:ilvl="8" w:tplc="0410001B" w:tentative="1">
      <w:start w:val="1"/>
      <w:numFmt w:val="lowerRoman"/>
      <w:lvlText w:val="%9."/>
      <w:lvlJc w:val="right"/>
      <w:pPr>
        <w:ind w:left="6932" w:hanging="180"/>
      </w:pPr>
    </w:lvl>
  </w:abstractNum>
  <w:abstractNum w:abstractNumId="2" w15:restartNumberingAfterBreak="0">
    <w:nsid w:val="05331CB4"/>
    <w:multiLevelType w:val="hybridMultilevel"/>
    <w:tmpl w:val="ACF6E64A"/>
    <w:lvl w:ilvl="0" w:tplc="38846AFC">
      <w:start w:val="1"/>
      <w:numFmt w:val="bullet"/>
      <w:lvlText w:val="·"/>
      <w:lvlJc w:val="left"/>
      <w:pPr>
        <w:ind w:left="720" w:hanging="360"/>
      </w:pPr>
      <w:rPr>
        <w:rFonts w:ascii="Symbol" w:hAnsi="Symbol" w:hint="default"/>
      </w:rPr>
    </w:lvl>
    <w:lvl w:ilvl="1" w:tplc="C0C4D150">
      <w:start w:val="1"/>
      <w:numFmt w:val="bullet"/>
      <w:lvlText w:val="o"/>
      <w:lvlJc w:val="left"/>
      <w:pPr>
        <w:ind w:left="1440" w:hanging="360"/>
      </w:pPr>
      <w:rPr>
        <w:rFonts w:ascii="Courier New" w:hAnsi="Courier New" w:hint="default"/>
      </w:rPr>
    </w:lvl>
    <w:lvl w:ilvl="2" w:tplc="72106966">
      <w:start w:val="1"/>
      <w:numFmt w:val="bullet"/>
      <w:lvlText w:val=""/>
      <w:lvlJc w:val="left"/>
      <w:pPr>
        <w:ind w:left="2160" w:hanging="360"/>
      </w:pPr>
      <w:rPr>
        <w:rFonts w:ascii="Wingdings" w:hAnsi="Wingdings" w:hint="default"/>
      </w:rPr>
    </w:lvl>
    <w:lvl w:ilvl="3" w:tplc="D55261F6">
      <w:start w:val="1"/>
      <w:numFmt w:val="bullet"/>
      <w:lvlText w:val=""/>
      <w:lvlJc w:val="left"/>
      <w:pPr>
        <w:ind w:left="2880" w:hanging="360"/>
      </w:pPr>
      <w:rPr>
        <w:rFonts w:ascii="Symbol" w:hAnsi="Symbol" w:hint="default"/>
      </w:rPr>
    </w:lvl>
    <w:lvl w:ilvl="4" w:tplc="82020FAA">
      <w:start w:val="1"/>
      <w:numFmt w:val="bullet"/>
      <w:lvlText w:val="o"/>
      <w:lvlJc w:val="left"/>
      <w:pPr>
        <w:ind w:left="3600" w:hanging="360"/>
      </w:pPr>
      <w:rPr>
        <w:rFonts w:ascii="Courier New" w:hAnsi="Courier New" w:hint="default"/>
      </w:rPr>
    </w:lvl>
    <w:lvl w:ilvl="5" w:tplc="4FFA7C44">
      <w:start w:val="1"/>
      <w:numFmt w:val="bullet"/>
      <w:lvlText w:val=""/>
      <w:lvlJc w:val="left"/>
      <w:pPr>
        <w:ind w:left="4320" w:hanging="360"/>
      </w:pPr>
      <w:rPr>
        <w:rFonts w:ascii="Wingdings" w:hAnsi="Wingdings" w:hint="default"/>
      </w:rPr>
    </w:lvl>
    <w:lvl w:ilvl="6" w:tplc="E4204154">
      <w:start w:val="1"/>
      <w:numFmt w:val="bullet"/>
      <w:lvlText w:val=""/>
      <w:lvlJc w:val="left"/>
      <w:pPr>
        <w:ind w:left="5040" w:hanging="360"/>
      </w:pPr>
      <w:rPr>
        <w:rFonts w:ascii="Symbol" w:hAnsi="Symbol" w:hint="default"/>
      </w:rPr>
    </w:lvl>
    <w:lvl w:ilvl="7" w:tplc="9060179A">
      <w:start w:val="1"/>
      <w:numFmt w:val="bullet"/>
      <w:lvlText w:val="o"/>
      <w:lvlJc w:val="left"/>
      <w:pPr>
        <w:ind w:left="5760" w:hanging="360"/>
      </w:pPr>
      <w:rPr>
        <w:rFonts w:ascii="Courier New" w:hAnsi="Courier New" w:hint="default"/>
      </w:rPr>
    </w:lvl>
    <w:lvl w:ilvl="8" w:tplc="C3D2E98A">
      <w:start w:val="1"/>
      <w:numFmt w:val="bullet"/>
      <w:lvlText w:val=""/>
      <w:lvlJc w:val="left"/>
      <w:pPr>
        <w:ind w:left="6480" w:hanging="360"/>
      </w:pPr>
      <w:rPr>
        <w:rFonts w:ascii="Wingdings" w:hAnsi="Wingdings" w:hint="default"/>
      </w:rPr>
    </w:lvl>
  </w:abstractNum>
  <w:abstractNum w:abstractNumId="3" w15:restartNumberingAfterBreak="0">
    <w:nsid w:val="063B3CB1"/>
    <w:multiLevelType w:val="hybridMultilevel"/>
    <w:tmpl w:val="2A648A24"/>
    <w:lvl w:ilvl="0" w:tplc="A3C66960">
      <w:start w:val="1"/>
      <w:numFmt w:val="bullet"/>
      <w:lvlText w:val="-"/>
      <w:lvlJc w:val="left"/>
      <w:pPr>
        <w:ind w:left="862" w:hanging="360"/>
      </w:pPr>
      <w:rPr>
        <w:rFonts w:ascii="Tahoma" w:hAnsi="Tahoma" w:hint="default"/>
      </w:rPr>
    </w:lvl>
    <w:lvl w:ilvl="1" w:tplc="04100005">
      <w:start w:val="1"/>
      <w:numFmt w:val="bullet"/>
      <w:lvlText w:val=""/>
      <w:lvlJc w:val="left"/>
      <w:pPr>
        <w:ind w:left="1582" w:hanging="360"/>
      </w:pPr>
      <w:rPr>
        <w:rFonts w:ascii="Wingdings" w:hAnsi="Wingdings"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 w15:restartNumberingAfterBreak="0">
    <w:nsid w:val="06E24356"/>
    <w:multiLevelType w:val="multilevel"/>
    <w:tmpl w:val="1516652E"/>
    <w:lvl w:ilvl="0">
      <w:start w:val="1"/>
      <w:numFmt w:val="decimal"/>
      <w:lvlText w:val="%1."/>
      <w:lvlJc w:val="left"/>
      <w:pPr>
        <w:ind w:left="927" w:hanging="360"/>
      </w:pPr>
      <w:rPr>
        <w:rFonts w:hint="default"/>
      </w:rPr>
    </w:lvl>
    <w:lvl w:ilvl="1">
      <w:start w:val="1"/>
      <w:numFmt w:val="decimal"/>
      <w:isLgl/>
      <w:lvlText w:val="%1.%2"/>
      <w:lvlJc w:val="left"/>
      <w:pPr>
        <w:ind w:left="1352" w:hanging="360"/>
      </w:pPr>
      <w:rPr>
        <w:rFonts w:hint="default"/>
        <w:b/>
        <w:bCs w:val="0"/>
        <w:sz w:val="22"/>
        <w:szCs w:val="22"/>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5" w15:restartNumberingAfterBreak="0">
    <w:nsid w:val="07016925"/>
    <w:multiLevelType w:val="hybridMultilevel"/>
    <w:tmpl w:val="0B2837C6"/>
    <w:lvl w:ilvl="0" w:tplc="F7703F5E">
      <w:start w:val="1"/>
      <w:numFmt w:val="lowerLetter"/>
      <w:lvlText w:val="(%1)"/>
      <w:lvlJc w:val="left"/>
      <w:pPr>
        <w:ind w:left="997" w:hanging="185"/>
      </w:pPr>
      <w:rPr>
        <w:rFonts w:ascii="Arial MT" w:eastAsia="Arial MT" w:hAnsi="Arial MT" w:cs="Arial MT" w:hint="default"/>
        <w:spacing w:val="-1"/>
        <w:w w:val="82"/>
        <w:sz w:val="15"/>
        <w:szCs w:val="15"/>
        <w:lang w:val="it-IT" w:eastAsia="en-US" w:bidi="ar-SA"/>
      </w:rPr>
    </w:lvl>
    <w:lvl w:ilvl="1" w:tplc="71E4D15A">
      <w:numFmt w:val="bullet"/>
      <w:lvlText w:val="•"/>
      <w:lvlJc w:val="left"/>
      <w:pPr>
        <w:ind w:left="2022" w:hanging="185"/>
      </w:pPr>
      <w:rPr>
        <w:rFonts w:hint="default"/>
        <w:lang w:val="it-IT" w:eastAsia="en-US" w:bidi="ar-SA"/>
      </w:rPr>
    </w:lvl>
    <w:lvl w:ilvl="2" w:tplc="0A24699C">
      <w:numFmt w:val="bullet"/>
      <w:lvlText w:val="•"/>
      <w:lvlJc w:val="left"/>
      <w:pPr>
        <w:ind w:left="3045" w:hanging="185"/>
      </w:pPr>
      <w:rPr>
        <w:rFonts w:hint="default"/>
        <w:lang w:val="it-IT" w:eastAsia="en-US" w:bidi="ar-SA"/>
      </w:rPr>
    </w:lvl>
    <w:lvl w:ilvl="3" w:tplc="FE220844">
      <w:numFmt w:val="bullet"/>
      <w:lvlText w:val="•"/>
      <w:lvlJc w:val="left"/>
      <w:pPr>
        <w:ind w:left="4067" w:hanging="185"/>
      </w:pPr>
      <w:rPr>
        <w:rFonts w:hint="default"/>
        <w:lang w:val="it-IT" w:eastAsia="en-US" w:bidi="ar-SA"/>
      </w:rPr>
    </w:lvl>
    <w:lvl w:ilvl="4" w:tplc="80EC7056">
      <w:numFmt w:val="bullet"/>
      <w:lvlText w:val="•"/>
      <w:lvlJc w:val="left"/>
      <w:pPr>
        <w:ind w:left="5090" w:hanging="185"/>
      </w:pPr>
      <w:rPr>
        <w:rFonts w:hint="default"/>
        <w:lang w:val="it-IT" w:eastAsia="en-US" w:bidi="ar-SA"/>
      </w:rPr>
    </w:lvl>
    <w:lvl w:ilvl="5" w:tplc="2AEE365C">
      <w:numFmt w:val="bullet"/>
      <w:lvlText w:val="•"/>
      <w:lvlJc w:val="left"/>
      <w:pPr>
        <w:ind w:left="6113" w:hanging="185"/>
      </w:pPr>
      <w:rPr>
        <w:rFonts w:hint="default"/>
        <w:lang w:val="it-IT" w:eastAsia="en-US" w:bidi="ar-SA"/>
      </w:rPr>
    </w:lvl>
    <w:lvl w:ilvl="6" w:tplc="C4A46BD2">
      <w:numFmt w:val="bullet"/>
      <w:lvlText w:val="•"/>
      <w:lvlJc w:val="left"/>
      <w:pPr>
        <w:ind w:left="7135" w:hanging="185"/>
      </w:pPr>
      <w:rPr>
        <w:rFonts w:hint="default"/>
        <w:lang w:val="it-IT" w:eastAsia="en-US" w:bidi="ar-SA"/>
      </w:rPr>
    </w:lvl>
    <w:lvl w:ilvl="7" w:tplc="B99E97EA">
      <w:numFmt w:val="bullet"/>
      <w:lvlText w:val="•"/>
      <w:lvlJc w:val="left"/>
      <w:pPr>
        <w:ind w:left="8158" w:hanging="185"/>
      </w:pPr>
      <w:rPr>
        <w:rFonts w:hint="default"/>
        <w:lang w:val="it-IT" w:eastAsia="en-US" w:bidi="ar-SA"/>
      </w:rPr>
    </w:lvl>
    <w:lvl w:ilvl="8" w:tplc="79566F9E">
      <w:numFmt w:val="bullet"/>
      <w:lvlText w:val="•"/>
      <w:lvlJc w:val="left"/>
      <w:pPr>
        <w:ind w:left="9181" w:hanging="185"/>
      </w:pPr>
      <w:rPr>
        <w:rFonts w:hint="default"/>
        <w:lang w:val="it-IT" w:eastAsia="en-US" w:bidi="ar-SA"/>
      </w:rPr>
    </w:lvl>
  </w:abstractNum>
  <w:abstractNum w:abstractNumId="6" w15:restartNumberingAfterBreak="0">
    <w:nsid w:val="0E6F7201"/>
    <w:multiLevelType w:val="hybridMultilevel"/>
    <w:tmpl w:val="D514FF58"/>
    <w:lvl w:ilvl="0" w:tplc="5FC68E46">
      <w:numFmt w:val="bullet"/>
      <w:lvlText w:val=""/>
      <w:lvlJc w:val="left"/>
      <w:pPr>
        <w:ind w:left="1533" w:hanging="360"/>
      </w:pPr>
      <w:rPr>
        <w:rFonts w:ascii="Wingdings" w:eastAsia="Wingdings" w:hAnsi="Wingdings" w:cs="Wingdings" w:hint="default"/>
        <w:color w:val="17365D"/>
        <w:w w:val="99"/>
        <w:sz w:val="20"/>
        <w:szCs w:val="20"/>
        <w:lang w:val="it-IT" w:eastAsia="en-US" w:bidi="ar-SA"/>
      </w:rPr>
    </w:lvl>
    <w:lvl w:ilvl="1" w:tplc="04100003" w:tentative="1">
      <w:start w:val="1"/>
      <w:numFmt w:val="bullet"/>
      <w:lvlText w:val="o"/>
      <w:lvlJc w:val="left"/>
      <w:pPr>
        <w:ind w:left="2253" w:hanging="360"/>
      </w:pPr>
      <w:rPr>
        <w:rFonts w:ascii="Courier New" w:hAnsi="Courier New" w:cs="Courier New" w:hint="default"/>
      </w:rPr>
    </w:lvl>
    <w:lvl w:ilvl="2" w:tplc="04100005" w:tentative="1">
      <w:start w:val="1"/>
      <w:numFmt w:val="bullet"/>
      <w:lvlText w:val=""/>
      <w:lvlJc w:val="left"/>
      <w:pPr>
        <w:ind w:left="2973" w:hanging="360"/>
      </w:pPr>
      <w:rPr>
        <w:rFonts w:ascii="Wingdings" w:hAnsi="Wingdings" w:hint="default"/>
      </w:rPr>
    </w:lvl>
    <w:lvl w:ilvl="3" w:tplc="04100001" w:tentative="1">
      <w:start w:val="1"/>
      <w:numFmt w:val="bullet"/>
      <w:lvlText w:val=""/>
      <w:lvlJc w:val="left"/>
      <w:pPr>
        <w:ind w:left="3693" w:hanging="360"/>
      </w:pPr>
      <w:rPr>
        <w:rFonts w:ascii="Symbol" w:hAnsi="Symbol" w:hint="default"/>
      </w:rPr>
    </w:lvl>
    <w:lvl w:ilvl="4" w:tplc="04100003" w:tentative="1">
      <w:start w:val="1"/>
      <w:numFmt w:val="bullet"/>
      <w:lvlText w:val="o"/>
      <w:lvlJc w:val="left"/>
      <w:pPr>
        <w:ind w:left="4413" w:hanging="360"/>
      </w:pPr>
      <w:rPr>
        <w:rFonts w:ascii="Courier New" w:hAnsi="Courier New" w:cs="Courier New" w:hint="default"/>
      </w:rPr>
    </w:lvl>
    <w:lvl w:ilvl="5" w:tplc="04100005" w:tentative="1">
      <w:start w:val="1"/>
      <w:numFmt w:val="bullet"/>
      <w:lvlText w:val=""/>
      <w:lvlJc w:val="left"/>
      <w:pPr>
        <w:ind w:left="5133" w:hanging="360"/>
      </w:pPr>
      <w:rPr>
        <w:rFonts w:ascii="Wingdings" w:hAnsi="Wingdings" w:hint="default"/>
      </w:rPr>
    </w:lvl>
    <w:lvl w:ilvl="6" w:tplc="04100001" w:tentative="1">
      <w:start w:val="1"/>
      <w:numFmt w:val="bullet"/>
      <w:lvlText w:val=""/>
      <w:lvlJc w:val="left"/>
      <w:pPr>
        <w:ind w:left="5853" w:hanging="360"/>
      </w:pPr>
      <w:rPr>
        <w:rFonts w:ascii="Symbol" w:hAnsi="Symbol" w:hint="default"/>
      </w:rPr>
    </w:lvl>
    <w:lvl w:ilvl="7" w:tplc="04100003" w:tentative="1">
      <w:start w:val="1"/>
      <w:numFmt w:val="bullet"/>
      <w:lvlText w:val="o"/>
      <w:lvlJc w:val="left"/>
      <w:pPr>
        <w:ind w:left="6573" w:hanging="360"/>
      </w:pPr>
      <w:rPr>
        <w:rFonts w:ascii="Courier New" w:hAnsi="Courier New" w:cs="Courier New" w:hint="default"/>
      </w:rPr>
    </w:lvl>
    <w:lvl w:ilvl="8" w:tplc="04100005" w:tentative="1">
      <w:start w:val="1"/>
      <w:numFmt w:val="bullet"/>
      <w:lvlText w:val=""/>
      <w:lvlJc w:val="left"/>
      <w:pPr>
        <w:ind w:left="7293" w:hanging="360"/>
      </w:pPr>
      <w:rPr>
        <w:rFonts w:ascii="Wingdings" w:hAnsi="Wingdings" w:hint="default"/>
      </w:rPr>
    </w:lvl>
  </w:abstractNum>
  <w:abstractNum w:abstractNumId="7" w15:restartNumberingAfterBreak="0">
    <w:nsid w:val="0F3801D5"/>
    <w:multiLevelType w:val="hybridMultilevel"/>
    <w:tmpl w:val="59D496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6B6442"/>
    <w:multiLevelType w:val="hybridMultilevel"/>
    <w:tmpl w:val="0F0451E2"/>
    <w:lvl w:ilvl="0" w:tplc="04100001">
      <w:start w:val="1"/>
      <w:numFmt w:val="bullet"/>
      <w:lvlText w:val=""/>
      <w:lvlJc w:val="left"/>
      <w:pPr>
        <w:ind w:left="1069" w:hanging="360"/>
      </w:pPr>
      <w:rPr>
        <w:rFonts w:ascii="Symbol" w:hAnsi="Symbol" w:hint="default"/>
        <w:b w:val="0"/>
        <w:color w:val="1B1F24"/>
        <w:sz w:val="28"/>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 w15:restartNumberingAfterBreak="0">
    <w:nsid w:val="11FD53C1"/>
    <w:multiLevelType w:val="hybridMultilevel"/>
    <w:tmpl w:val="8FC6049A"/>
    <w:lvl w:ilvl="0" w:tplc="D0584BAA">
      <w:start w:val="1"/>
      <w:numFmt w:val="lowerLetter"/>
      <w:lvlText w:val="(%1)"/>
      <w:lvlJc w:val="left"/>
      <w:pPr>
        <w:ind w:left="1780" w:hanging="308"/>
      </w:pPr>
      <w:rPr>
        <w:rFonts w:ascii="Arial MT" w:eastAsia="Arial MT" w:hAnsi="Arial MT" w:cs="Arial MT" w:hint="default"/>
        <w:spacing w:val="-2"/>
        <w:w w:val="81"/>
        <w:sz w:val="18"/>
        <w:szCs w:val="18"/>
        <w:lang w:val="it-IT" w:eastAsia="en-US" w:bidi="ar-SA"/>
      </w:rPr>
    </w:lvl>
    <w:lvl w:ilvl="1" w:tplc="179E8D9A">
      <w:numFmt w:val="bullet"/>
      <w:lvlText w:val="•"/>
      <w:lvlJc w:val="left"/>
      <w:pPr>
        <w:ind w:left="2724" w:hanging="308"/>
      </w:pPr>
      <w:rPr>
        <w:rFonts w:hint="default"/>
        <w:lang w:val="it-IT" w:eastAsia="en-US" w:bidi="ar-SA"/>
      </w:rPr>
    </w:lvl>
    <w:lvl w:ilvl="2" w:tplc="C1A0CA14">
      <w:numFmt w:val="bullet"/>
      <w:lvlText w:val="•"/>
      <w:lvlJc w:val="left"/>
      <w:pPr>
        <w:ind w:left="3669" w:hanging="308"/>
      </w:pPr>
      <w:rPr>
        <w:rFonts w:hint="default"/>
        <w:lang w:val="it-IT" w:eastAsia="en-US" w:bidi="ar-SA"/>
      </w:rPr>
    </w:lvl>
    <w:lvl w:ilvl="3" w:tplc="D72C2FC4">
      <w:numFmt w:val="bullet"/>
      <w:lvlText w:val="•"/>
      <w:lvlJc w:val="left"/>
      <w:pPr>
        <w:ind w:left="4613" w:hanging="308"/>
      </w:pPr>
      <w:rPr>
        <w:rFonts w:hint="default"/>
        <w:lang w:val="it-IT" w:eastAsia="en-US" w:bidi="ar-SA"/>
      </w:rPr>
    </w:lvl>
    <w:lvl w:ilvl="4" w:tplc="E722BF58">
      <w:numFmt w:val="bullet"/>
      <w:lvlText w:val="•"/>
      <w:lvlJc w:val="left"/>
      <w:pPr>
        <w:ind w:left="5558" w:hanging="308"/>
      </w:pPr>
      <w:rPr>
        <w:rFonts w:hint="default"/>
        <w:lang w:val="it-IT" w:eastAsia="en-US" w:bidi="ar-SA"/>
      </w:rPr>
    </w:lvl>
    <w:lvl w:ilvl="5" w:tplc="4762ED3E">
      <w:numFmt w:val="bullet"/>
      <w:lvlText w:val="•"/>
      <w:lvlJc w:val="left"/>
      <w:pPr>
        <w:ind w:left="6503" w:hanging="308"/>
      </w:pPr>
      <w:rPr>
        <w:rFonts w:hint="default"/>
        <w:lang w:val="it-IT" w:eastAsia="en-US" w:bidi="ar-SA"/>
      </w:rPr>
    </w:lvl>
    <w:lvl w:ilvl="6" w:tplc="01DC96F0">
      <w:numFmt w:val="bullet"/>
      <w:lvlText w:val="•"/>
      <w:lvlJc w:val="left"/>
      <w:pPr>
        <w:ind w:left="7447" w:hanging="308"/>
      </w:pPr>
      <w:rPr>
        <w:rFonts w:hint="default"/>
        <w:lang w:val="it-IT" w:eastAsia="en-US" w:bidi="ar-SA"/>
      </w:rPr>
    </w:lvl>
    <w:lvl w:ilvl="7" w:tplc="EDB00D1E">
      <w:numFmt w:val="bullet"/>
      <w:lvlText w:val="•"/>
      <w:lvlJc w:val="left"/>
      <w:pPr>
        <w:ind w:left="8392" w:hanging="308"/>
      </w:pPr>
      <w:rPr>
        <w:rFonts w:hint="default"/>
        <w:lang w:val="it-IT" w:eastAsia="en-US" w:bidi="ar-SA"/>
      </w:rPr>
    </w:lvl>
    <w:lvl w:ilvl="8" w:tplc="7BF847CE">
      <w:numFmt w:val="bullet"/>
      <w:lvlText w:val="•"/>
      <w:lvlJc w:val="left"/>
      <w:pPr>
        <w:ind w:left="9337" w:hanging="308"/>
      </w:pPr>
      <w:rPr>
        <w:rFonts w:hint="default"/>
        <w:lang w:val="it-IT" w:eastAsia="en-US" w:bidi="ar-SA"/>
      </w:rPr>
    </w:lvl>
  </w:abstractNum>
  <w:abstractNum w:abstractNumId="10" w15:restartNumberingAfterBreak="0">
    <w:nsid w:val="125C120B"/>
    <w:multiLevelType w:val="hybridMultilevel"/>
    <w:tmpl w:val="B5642C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C383F51"/>
    <w:multiLevelType w:val="hybridMultilevel"/>
    <w:tmpl w:val="779033B0"/>
    <w:lvl w:ilvl="0" w:tplc="70FE4EE6">
      <w:numFmt w:val="bullet"/>
      <w:lvlText w:val=""/>
      <w:lvlJc w:val="left"/>
      <w:pPr>
        <w:ind w:left="1096" w:hanging="284"/>
      </w:pPr>
      <w:rPr>
        <w:rFonts w:hint="default"/>
        <w:strike/>
        <w:w w:val="99"/>
        <w:lang w:val="it-IT" w:eastAsia="en-US" w:bidi="ar-SA"/>
      </w:rPr>
    </w:lvl>
    <w:lvl w:ilvl="1" w:tplc="5FC68E46">
      <w:numFmt w:val="bullet"/>
      <w:lvlText w:val=""/>
      <w:lvlJc w:val="left"/>
      <w:pPr>
        <w:ind w:left="813" w:hanging="360"/>
      </w:pPr>
      <w:rPr>
        <w:rFonts w:ascii="Wingdings" w:eastAsia="Wingdings" w:hAnsi="Wingdings" w:cs="Wingdings" w:hint="default"/>
        <w:color w:val="17365D"/>
        <w:w w:val="99"/>
        <w:sz w:val="20"/>
        <w:szCs w:val="20"/>
        <w:lang w:val="it-IT" w:eastAsia="en-US" w:bidi="ar-SA"/>
      </w:rPr>
    </w:lvl>
    <w:lvl w:ilvl="2" w:tplc="B10A3CA8">
      <w:numFmt w:val="bullet"/>
      <w:lvlText w:val="•"/>
      <w:lvlJc w:val="left"/>
      <w:pPr>
        <w:ind w:left="2225" w:hanging="360"/>
      </w:pPr>
      <w:rPr>
        <w:rFonts w:hint="default"/>
        <w:lang w:val="it-IT" w:eastAsia="en-US" w:bidi="ar-SA"/>
      </w:rPr>
    </w:lvl>
    <w:lvl w:ilvl="3" w:tplc="8CF28D7E">
      <w:numFmt w:val="bullet"/>
      <w:lvlText w:val="•"/>
      <w:lvlJc w:val="left"/>
      <w:pPr>
        <w:ind w:left="3350" w:hanging="360"/>
      </w:pPr>
      <w:rPr>
        <w:rFonts w:hint="default"/>
        <w:lang w:val="it-IT" w:eastAsia="en-US" w:bidi="ar-SA"/>
      </w:rPr>
    </w:lvl>
    <w:lvl w:ilvl="4" w:tplc="9CACFE1E">
      <w:numFmt w:val="bullet"/>
      <w:lvlText w:val="•"/>
      <w:lvlJc w:val="left"/>
      <w:pPr>
        <w:ind w:left="4475" w:hanging="360"/>
      </w:pPr>
      <w:rPr>
        <w:rFonts w:hint="default"/>
        <w:lang w:val="it-IT" w:eastAsia="en-US" w:bidi="ar-SA"/>
      </w:rPr>
    </w:lvl>
    <w:lvl w:ilvl="5" w:tplc="579C5E7C">
      <w:numFmt w:val="bullet"/>
      <w:lvlText w:val="•"/>
      <w:lvlJc w:val="left"/>
      <w:pPr>
        <w:ind w:left="5600" w:hanging="360"/>
      </w:pPr>
      <w:rPr>
        <w:rFonts w:hint="default"/>
        <w:lang w:val="it-IT" w:eastAsia="en-US" w:bidi="ar-SA"/>
      </w:rPr>
    </w:lvl>
    <w:lvl w:ilvl="6" w:tplc="1A14E656">
      <w:numFmt w:val="bullet"/>
      <w:lvlText w:val="•"/>
      <w:lvlJc w:val="left"/>
      <w:pPr>
        <w:ind w:left="6725" w:hanging="360"/>
      </w:pPr>
      <w:rPr>
        <w:rFonts w:hint="default"/>
        <w:lang w:val="it-IT" w:eastAsia="en-US" w:bidi="ar-SA"/>
      </w:rPr>
    </w:lvl>
    <w:lvl w:ilvl="7" w:tplc="0D84E0A4">
      <w:numFmt w:val="bullet"/>
      <w:lvlText w:val="•"/>
      <w:lvlJc w:val="left"/>
      <w:pPr>
        <w:ind w:left="7850" w:hanging="360"/>
      </w:pPr>
      <w:rPr>
        <w:rFonts w:hint="default"/>
        <w:lang w:val="it-IT" w:eastAsia="en-US" w:bidi="ar-SA"/>
      </w:rPr>
    </w:lvl>
    <w:lvl w:ilvl="8" w:tplc="9BA46B3C">
      <w:numFmt w:val="bullet"/>
      <w:lvlText w:val="•"/>
      <w:lvlJc w:val="left"/>
      <w:pPr>
        <w:ind w:left="8976" w:hanging="360"/>
      </w:pPr>
      <w:rPr>
        <w:rFonts w:hint="default"/>
        <w:lang w:val="it-IT" w:eastAsia="en-US" w:bidi="ar-SA"/>
      </w:rPr>
    </w:lvl>
  </w:abstractNum>
  <w:abstractNum w:abstractNumId="12" w15:restartNumberingAfterBreak="0">
    <w:nsid w:val="204A652E"/>
    <w:multiLevelType w:val="hybridMultilevel"/>
    <w:tmpl w:val="A93C03F8"/>
    <w:lvl w:ilvl="0" w:tplc="B40A94BA">
      <w:numFmt w:val="bullet"/>
      <w:lvlText w:val=""/>
      <w:lvlJc w:val="left"/>
      <w:pPr>
        <w:ind w:left="151" w:hanging="130"/>
      </w:pPr>
      <w:rPr>
        <w:rFonts w:ascii="Symbol" w:eastAsia="Symbol" w:hAnsi="Symbol" w:cs="Symbol" w:hint="default"/>
        <w:w w:val="100"/>
        <w:sz w:val="15"/>
        <w:szCs w:val="15"/>
        <w:lang w:val="it-IT" w:eastAsia="en-US" w:bidi="ar-SA"/>
      </w:rPr>
    </w:lvl>
    <w:lvl w:ilvl="1" w:tplc="29CE1AFC">
      <w:numFmt w:val="bullet"/>
      <w:lvlText w:val="•"/>
      <w:lvlJc w:val="left"/>
      <w:pPr>
        <w:ind w:left="281" w:hanging="130"/>
      </w:pPr>
      <w:rPr>
        <w:rFonts w:hint="default"/>
        <w:lang w:val="it-IT" w:eastAsia="en-US" w:bidi="ar-SA"/>
      </w:rPr>
    </w:lvl>
    <w:lvl w:ilvl="2" w:tplc="B554C6C8">
      <w:numFmt w:val="bullet"/>
      <w:lvlText w:val="•"/>
      <w:lvlJc w:val="left"/>
      <w:pPr>
        <w:ind w:left="403" w:hanging="130"/>
      </w:pPr>
      <w:rPr>
        <w:rFonts w:hint="default"/>
        <w:lang w:val="it-IT" w:eastAsia="en-US" w:bidi="ar-SA"/>
      </w:rPr>
    </w:lvl>
    <w:lvl w:ilvl="3" w:tplc="5D34F498">
      <w:numFmt w:val="bullet"/>
      <w:lvlText w:val="•"/>
      <w:lvlJc w:val="left"/>
      <w:pPr>
        <w:ind w:left="525" w:hanging="130"/>
      </w:pPr>
      <w:rPr>
        <w:rFonts w:hint="default"/>
        <w:lang w:val="it-IT" w:eastAsia="en-US" w:bidi="ar-SA"/>
      </w:rPr>
    </w:lvl>
    <w:lvl w:ilvl="4" w:tplc="F16A0254">
      <w:numFmt w:val="bullet"/>
      <w:lvlText w:val="•"/>
      <w:lvlJc w:val="left"/>
      <w:pPr>
        <w:ind w:left="647" w:hanging="130"/>
      </w:pPr>
      <w:rPr>
        <w:rFonts w:hint="default"/>
        <w:lang w:val="it-IT" w:eastAsia="en-US" w:bidi="ar-SA"/>
      </w:rPr>
    </w:lvl>
    <w:lvl w:ilvl="5" w:tplc="ACD2A84C">
      <w:numFmt w:val="bullet"/>
      <w:lvlText w:val="•"/>
      <w:lvlJc w:val="left"/>
      <w:pPr>
        <w:ind w:left="769" w:hanging="130"/>
      </w:pPr>
      <w:rPr>
        <w:rFonts w:hint="default"/>
        <w:lang w:val="it-IT" w:eastAsia="en-US" w:bidi="ar-SA"/>
      </w:rPr>
    </w:lvl>
    <w:lvl w:ilvl="6" w:tplc="FAF41622">
      <w:numFmt w:val="bullet"/>
      <w:lvlText w:val="•"/>
      <w:lvlJc w:val="left"/>
      <w:pPr>
        <w:ind w:left="890" w:hanging="130"/>
      </w:pPr>
      <w:rPr>
        <w:rFonts w:hint="default"/>
        <w:lang w:val="it-IT" w:eastAsia="en-US" w:bidi="ar-SA"/>
      </w:rPr>
    </w:lvl>
    <w:lvl w:ilvl="7" w:tplc="8F647C4E">
      <w:numFmt w:val="bullet"/>
      <w:lvlText w:val="•"/>
      <w:lvlJc w:val="left"/>
      <w:pPr>
        <w:ind w:left="1012" w:hanging="130"/>
      </w:pPr>
      <w:rPr>
        <w:rFonts w:hint="default"/>
        <w:lang w:val="it-IT" w:eastAsia="en-US" w:bidi="ar-SA"/>
      </w:rPr>
    </w:lvl>
    <w:lvl w:ilvl="8" w:tplc="45567B48">
      <w:numFmt w:val="bullet"/>
      <w:lvlText w:val="•"/>
      <w:lvlJc w:val="left"/>
      <w:pPr>
        <w:ind w:left="1134" w:hanging="130"/>
      </w:pPr>
      <w:rPr>
        <w:rFonts w:hint="default"/>
        <w:lang w:val="it-IT" w:eastAsia="en-US" w:bidi="ar-SA"/>
      </w:rPr>
    </w:lvl>
  </w:abstractNum>
  <w:abstractNum w:abstractNumId="13" w15:restartNumberingAfterBreak="0">
    <w:nsid w:val="20547819"/>
    <w:multiLevelType w:val="hybridMultilevel"/>
    <w:tmpl w:val="B300A6A4"/>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14" w15:restartNumberingAfterBreak="0">
    <w:nsid w:val="27A932CD"/>
    <w:multiLevelType w:val="hybridMultilevel"/>
    <w:tmpl w:val="5AE20160"/>
    <w:lvl w:ilvl="0" w:tplc="38E2B2B8">
      <w:start w:val="1"/>
      <w:numFmt w:val="lowerLetter"/>
      <w:lvlText w:val="(%1)"/>
      <w:lvlJc w:val="left"/>
      <w:pPr>
        <w:ind w:left="997" w:hanging="185"/>
      </w:pPr>
      <w:rPr>
        <w:rFonts w:ascii="Arial MT" w:eastAsia="Arial MT" w:hAnsi="Arial MT" w:cs="Arial MT" w:hint="default"/>
        <w:spacing w:val="-1"/>
        <w:w w:val="82"/>
        <w:sz w:val="15"/>
        <w:szCs w:val="15"/>
        <w:lang w:val="it-IT" w:eastAsia="en-US" w:bidi="ar-SA"/>
      </w:rPr>
    </w:lvl>
    <w:lvl w:ilvl="1" w:tplc="AAC49614">
      <w:numFmt w:val="bullet"/>
      <w:lvlText w:val="•"/>
      <w:lvlJc w:val="left"/>
      <w:pPr>
        <w:ind w:left="2022" w:hanging="185"/>
      </w:pPr>
      <w:rPr>
        <w:rFonts w:hint="default"/>
        <w:lang w:val="it-IT" w:eastAsia="en-US" w:bidi="ar-SA"/>
      </w:rPr>
    </w:lvl>
    <w:lvl w:ilvl="2" w:tplc="0BB471DE">
      <w:numFmt w:val="bullet"/>
      <w:lvlText w:val="•"/>
      <w:lvlJc w:val="left"/>
      <w:pPr>
        <w:ind w:left="3045" w:hanging="185"/>
      </w:pPr>
      <w:rPr>
        <w:rFonts w:hint="default"/>
        <w:lang w:val="it-IT" w:eastAsia="en-US" w:bidi="ar-SA"/>
      </w:rPr>
    </w:lvl>
    <w:lvl w:ilvl="3" w:tplc="D5DAA1FA">
      <w:numFmt w:val="bullet"/>
      <w:lvlText w:val="•"/>
      <w:lvlJc w:val="left"/>
      <w:pPr>
        <w:ind w:left="4067" w:hanging="185"/>
      </w:pPr>
      <w:rPr>
        <w:rFonts w:hint="default"/>
        <w:lang w:val="it-IT" w:eastAsia="en-US" w:bidi="ar-SA"/>
      </w:rPr>
    </w:lvl>
    <w:lvl w:ilvl="4" w:tplc="84D8F626">
      <w:numFmt w:val="bullet"/>
      <w:lvlText w:val="•"/>
      <w:lvlJc w:val="left"/>
      <w:pPr>
        <w:ind w:left="5090" w:hanging="185"/>
      </w:pPr>
      <w:rPr>
        <w:rFonts w:hint="default"/>
        <w:lang w:val="it-IT" w:eastAsia="en-US" w:bidi="ar-SA"/>
      </w:rPr>
    </w:lvl>
    <w:lvl w:ilvl="5" w:tplc="93B863E2">
      <w:numFmt w:val="bullet"/>
      <w:lvlText w:val="•"/>
      <w:lvlJc w:val="left"/>
      <w:pPr>
        <w:ind w:left="6113" w:hanging="185"/>
      </w:pPr>
      <w:rPr>
        <w:rFonts w:hint="default"/>
        <w:lang w:val="it-IT" w:eastAsia="en-US" w:bidi="ar-SA"/>
      </w:rPr>
    </w:lvl>
    <w:lvl w:ilvl="6" w:tplc="6D805C52">
      <w:numFmt w:val="bullet"/>
      <w:lvlText w:val="•"/>
      <w:lvlJc w:val="left"/>
      <w:pPr>
        <w:ind w:left="7135" w:hanging="185"/>
      </w:pPr>
      <w:rPr>
        <w:rFonts w:hint="default"/>
        <w:lang w:val="it-IT" w:eastAsia="en-US" w:bidi="ar-SA"/>
      </w:rPr>
    </w:lvl>
    <w:lvl w:ilvl="7" w:tplc="2FB4986C">
      <w:numFmt w:val="bullet"/>
      <w:lvlText w:val="•"/>
      <w:lvlJc w:val="left"/>
      <w:pPr>
        <w:ind w:left="8158" w:hanging="185"/>
      </w:pPr>
      <w:rPr>
        <w:rFonts w:hint="default"/>
        <w:lang w:val="it-IT" w:eastAsia="en-US" w:bidi="ar-SA"/>
      </w:rPr>
    </w:lvl>
    <w:lvl w:ilvl="8" w:tplc="D062C1CC">
      <w:numFmt w:val="bullet"/>
      <w:lvlText w:val="•"/>
      <w:lvlJc w:val="left"/>
      <w:pPr>
        <w:ind w:left="9181" w:hanging="185"/>
      </w:pPr>
      <w:rPr>
        <w:rFonts w:hint="default"/>
        <w:lang w:val="it-IT" w:eastAsia="en-US" w:bidi="ar-SA"/>
      </w:rPr>
    </w:lvl>
  </w:abstractNum>
  <w:abstractNum w:abstractNumId="15" w15:restartNumberingAfterBreak="0">
    <w:nsid w:val="30D8146A"/>
    <w:multiLevelType w:val="hybridMultilevel"/>
    <w:tmpl w:val="AB5C5C20"/>
    <w:lvl w:ilvl="0" w:tplc="9418F4C0">
      <w:start w:val="1"/>
      <w:numFmt w:val="lowerLetter"/>
      <w:lvlText w:val="(%1)"/>
      <w:lvlJc w:val="left"/>
      <w:pPr>
        <w:ind w:left="997" w:hanging="185"/>
      </w:pPr>
      <w:rPr>
        <w:rFonts w:ascii="Arial MT" w:eastAsia="Arial MT" w:hAnsi="Arial MT" w:cs="Arial MT" w:hint="default"/>
        <w:spacing w:val="-1"/>
        <w:w w:val="82"/>
        <w:sz w:val="15"/>
        <w:szCs w:val="15"/>
        <w:lang w:val="it-IT" w:eastAsia="en-US" w:bidi="ar-SA"/>
      </w:rPr>
    </w:lvl>
    <w:lvl w:ilvl="1" w:tplc="201C11F8">
      <w:numFmt w:val="bullet"/>
      <w:lvlText w:val="•"/>
      <w:lvlJc w:val="left"/>
      <w:pPr>
        <w:ind w:left="2022" w:hanging="185"/>
      </w:pPr>
      <w:rPr>
        <w:rFonts w:hint="default"/>
        <w:lang w:val="it-IT" w:eastAsia="en-US" w:bidi="ar-SA"/>
      </w:rPr>
    </w:lvl>
    <w:lvl w:ilvl="2" w:tplc="95380606">
      <w:numFmt w:val="bullet"/>
      <w:lvlText w:val="•"/>
      <w:lvlJc w:val="left"/>
      <w:pPr>
        <w:ind w:left="3045" w:hanging="185"/>
      </w:pPr>
      <w:rPr>
        <w:rFonts w:hint="default"/>
        <w:lang w:val="it-IT" w:eastAsia="en-US" w:bidi="ar-SA"/>
      </w:rPr>
    </w:lvl>
    <w:lvl w:ilvl="3" w:tplc="6DCC97E0">
      <w:numFmt w:val="bullet"/>
      <w:lvlText w:val="•"/>
      <w:lvlJc w:val="left"/>
      <w:pPr>
        <w:ind w:left="4067" w:hanging="185"/>
      </w:pPr>
      <w:rPr>
        <w:rFonts w:hint="default"/>
        <w:lang w:val="it-IT" w:eastAsia="en-US" w:bidi="ar-SA"/>
      </w:rPr>
    </w:lvl>
    <w:lvl w:ilvl="4" w:tplc="E63E792E">
      <w:numFmt w:val="bullet"/>
      <w:lvlText w:val="•"/>
      <w:lvlJc w:val="left"/>
      <w:pPr>
        <w:ind w:left="5090" w:hanging="185"/>
      </w:pPr>
      <w:rPr>
        <w:rFonts w:hint="default"/>
        <w:lang w:val="it-IT" w:eastAsia="en-US" w:bidi="ar-SA"/>
      </w:rPr>
    </w:lvl>
    <w:lvl w:ilvl="5" w:tplc="6A86FA96">
      <w:numFmt w:val="bullet"/>
      <w:lvlText w:val="•"/>
      <w:lvlJc w:val="left"/>
      <w:pPr>
        <w:ind w:left="6113" w:hanging="185"/>
      </w:pPr>
      <w:rPr>
        <w:rFonts w:hint="default"/>
        <w:lang w:val="it-IT" w:eastAsia="en-US" w:bidi="ar-SA"/>
      </w:rPr>
    </w:lvl>
    <w:lvl w:ilvl="6" w:tplc="D334EE1A">
      <w:numFmt w:val="bullet"/>
      <w:lvlText w:val="•"/>
      <w:lvlJc w:val="left"/>
      <w:pPr>
        <w:ind w:left="7135" w:hanging="185"/>
      </w:pPr>
      <w:rPr>
        <w:rFonts w:hint="default"/>
        <w:lang w:val="it-IT" w:eastAsia="en-US" w:bidi="ar-SA"/>
      </w:rPr>
    </w:lvl>
    <w:lvl w:ilvl="7" w:tplc="DBACE0FE">
      <w:numFmt w:val="bullet"/>
      <w:lvlText w:val="•"/>
      <w:lvlJc w:val="left"/>
      <w:pPr>
        <w:ind w:left="8158" w:hanging="185"/>
      </w:pPr>
      <w:rPr>
        <w:rFonts w:hint="default"/>
        <w:lang w:val="it-IT" w:eastAsia="en-US" w:bidi="ar-SA"/>
      </w:rPr>
    </w:lvl>
    <w:lvl w:ilvl="8" w:tplc="0BDEB338">
      <w:numFmt w:val="bullet"/>
      <w:lvlText w:val="•"/>
      <w:lvlJc w:val="left"/>
      <w:pPr>
        <w:ind w:left="9181" w:hanging="185"/>
      </w:pPr>
      <w:rPr>
        <w:rFonts w:hint="default"/>
        <w:lang w:val="it-IT" w:eastAsia="en-US" w:bidi="ar-SA"/>
      </w:rPr>
    </w:lvl>
  </w:abstractNum>
  <w:abstractNum w:abstractNumId="16" w15:restartNumberingAfterBreak="0">
    <w:nsid w:val="31DE4F1A"/>
    <w:multiLevelType w:val="hybridMultilevel"/>
    <w:tmpl w:val="FFFFFFFF"/>
    <w:lvl w:ilvl="0" w:tplc="BE70727C">
      <w:start w:val="1"/>
      <w:numFmt w:val="bullet"/>
      <w:lvlText w:val=""/>
      <w:lvlJc w:val="left"/>
      <w:pPr>
        <w:ind w:left="720" w:hanging="360"/>
      </w:pPr>
      <w:rPr>
        <w:rFonts w:ascii="Symbol" w:hAnsi="Symbol" w:hint="default"/>
      </w:rPr>
    </w:lvl>
    <w:lvl w:ilvl="1" w:tplc="74CAE124">
      <w:start w:val="1"/>
      <w:numFmt w:val="bullet"/>
      <w:lvlText w:val="o"/>
      <w:lvlJc w:val="left"/>
      <w:pPr>
        <w:ind w:left="1440" w:hanging="360"/>
      </w:pPr>
      <w:rPr>
        <w:rFonts w:ascii="Courier New" w:hAnsi="Courier New" w:hint="default"/>
      </w:rPr>
    </w:lvl>
    <w:lvl w:ilvl="2" w:tplc="D8E69EAE">
      <w:start w:val="1"/>
      <w:numFmt w:val="bullet"/>
      <w:lvlText w:val=""/>
      <w:lvlJc w:val="left"/>
      <w:pPr>
        <w:ind w:left="2160" w:hanging="360"/>
      </w:pPr>
      <w:rPr>
        <w:rFonts w:ascii="Wingdings" w:hAnsi="Wingdings" w:hint="default"/>
      </w:rPr>
    </w:lvl>
    <w:lvl w:ilvl="3" w:tplc="E08AD318">
      <w:start w:val="1"/>
      <w:numFmt w:val="bullet"/>
      <w:lvlText w:val=""/>
      <w:lvlJc w:val="left"/>
      <w:pPr>
        <w:ind w:left="2880" w:hanging="360"/>
      </w:pPr>
      <w:rPr>
        <w:rFonts w:ascii="Symbol" w:hAnsi="Symbol" w:hint="default"/>
      </w:rPr>
    </w:lvl>
    <w:lvl w:ilvl="4" w:tplc="CE3E9F60">
      <w:start w:val="1"/>
      <w:numFmt w:val="bullet"/>
      <w:lvlText w:val="o"/>
      <w:lvlJc w:val="left"/>
      <w:pPr>
        <w:ind w:left="3600" w:hanging="360"/>
      </w:pPr>
      <w:rPr>
        <w:rFonts w:ascii="Courier New" w:hAnsi="Courier New" w:hint="default"/>
      </w:rPr>
    </w:lvl>
    <w:lvl w:ilvl="5" w:tplc="B51097A0">
      <w:start w:val="1"/>
      <w:numFmt w:val="bullet"/>
      <w:lvlText w:val=""/>
      <w:lvlJc w:val="left"/>
      <w:pPr>
        <w:ind w:left="4320" w:hanging="360"/>
      </w:pPr>
      <w:rPr>
        <w:rFonts w:ascii="Wingdings" w:hAnsi="Wingdings" w:hint="default"/>
      </w:rPr>
    </w:lvl>
    <w:lvl w:ilvl="6" w:tplc="7FA41422">
      <w:start w:val="1"/>
      <w:numFmt w:val="bullet"/>
      <w:lvlText w:val=""/>
      <w:lvlJc w:val="left"/>
      <w:pPr>
        <w:ind w:left="5040" w:hanging="360"/>
      </w:pPr>
      <w:rPr>
        <w:rFonts w:ascii="Symbol" w:hAnsi="Symbol" w:hint="default"/>
      </w:rPr>
    </w:lvl>
    <w:lvl w:ilvl="7" w:tplc="9F6C8212">
      <w:start w:val="1"/>
      <w:numFmt w:val="bullet"/>
      <w:lvlText w:val="o"/>
      <w:lvlJc w:val="left"/>
      <w:pPr>
        <w:ind w:left="5760" w:hanging="360"/>
      </w:pPr>
      <w:rPr>
        <w:rFonts w:ascii="Courier New" w:hAnsi="Courier New" w:hint="default"/>
      </w:rPr>
    </w:lvl>
    <w:lvl w:ilvl="8" w:tplc="57BAD7E6">
      <w:start w:val="1"/>
      <w:numFmt w:val="bullet"/>
      <w:lvlText w:val=""/>
      <w:lvlJc w:val="left"/>
      <w:pPr>
        <w:ind w:left="6480" w:hanging="360"/>
      </w:pPr>
      <w:rPr>
        <w:rFonts w:ascii="Wingdings" w:hAnsi="Wingdings" w:hint="default"/>
      </w:rPr>
    </w:lvl>
  </w:abstractNum>
  <w:abstractNum w:abstractNumId="17" w15:restartNumberingAfterBreak="0">
    <w:nsid w:val="347775AF"/>
    <w:multiLevelType w:val="hybridMultilevel"/>
    <w:tmpl w:val="FFFFFFFF"/>
    <w:lvl w:ilvl="0" w:tplc="F800AFF0">
      <w:start w:val="1"/>
      <w:numFmt w:val="bullet"/>
      <w:lvlText w:val=""/>
      <w:lvlJc w:val="left"/>
      <w:pPr>
        <w:ind w:left="720" w:hanging="360"/>
      </w:pPr>
      <w:rPr>
        <w:rFonts w:ascii="Symbol" w:hAnsi="Symbol" w:hint="default"/>
      </w:rPr>
    </w:lvl>
    <w:lvl w:ilvl="1" w:tplc="F89C31B6">
      <w:start w:val="1"/>
      <w:numFmt w:val="bullet"/>
      <w:lvlText w:val="o"/>
      <w:lvlJc w:val="left"/>
      <w:pPr>
        <w:ind w:left="1440" w:hanging="360"/>
      </w:pPr>
      <w:rPr>
        <w:rFonts w:ascii="Courier New" w:hAnsi="Courier New" w:hint="default"/>
      </w:rPr>
    </w:lvl>
    <w:lvl w:ilvl="2" w:tplc="6D0CFB6C">
      <w:start w:val="1"/>
      <w:numFmt w:val="bullet"/>
      <w:lvlText w:val=""/>
      <w:lvlJc w:val="left"/>
      <w:pPr>
        <w:ind w:left="2160" w:hanging="360"/>
      </w:pPr>
      <w:rPr>
        <w:rFonts w:ascii="Wingdings" w:hAnsi="Wingdings" w:hint="default"/>
      </w:rPr>
    </w:lvl>
    <w:lvl w:ilvl="3" w:tplc="E416A620">
      <w:start w:val="1"/>
      <w:numFmt w:val="bullet"/>
      <w:lvlText w:val=""/>
      <w:lvlJc w:val="left"/>
      <w:pPr>
        <w:ind w:left="2880" w:hanging="360"/>
      </w:pPr>
      <w:rPr>
        <w:rFonts w:ascii="Symbol" w:hAnsi="Symbol" w:hint="default"/>
      </w:rPr>
    </w:lvl>
    <w:lvl w:ilvl="4" w:tplc="CAAA5EB2">
      <w:start w:val="1"/>
      <w:numFmt w:val="bullet"/>
      <w:lvlText w:val="o"/>
      <w:lvlJc w:val="left"/>
      <w:pPr>
        <w:ind w:left="3600" w:hanging="360"/>
      </w:pPr>
      <w:rPr>
        <w:rFonts w:ascii="Courier New" w:hAnsi="Courier New" w:hint="default"/>
      </w:rPr>
    </w:lvl>
    <w:lvl w:ilvl="5" w:tplc="2550B21A">
      <w:start w:val="1"/>
      <w:numFmt w:val="bullet"/>
      <w:lvlText w:val=""/>
      <w:lvlJc w:val="left"/>
      <w:pPr>
        <w:ind w:left="4320" w:hanging="360"/>
      </w:pPr>
      <w:rPr>
        <w:rFonts w:ascii="Wingdings" w:hAnsi="Wingdings" w:hint="default"/>
      </w:rPr>
    </w:lvl>
    <w:lvl w:ilvl="6" w:tplc="1336733E">
      <w:start w:val="1"/>
      <w:numFmt w:val="bullet"/>
      <w:lvlText w:val=""/>
      <w:lvlJc w:val="left"/>
      <w:pPr>
        <w:ind w:left="5040" w:hanging="360"/>
      </w:pPr>
      <w:rPr>
        <w:rFonts w:ascii="Symbol" w:hAnsi="Symbol" w:hint="default"/>
      </w:rPr>
    </w:lvl>
    <w:lvl w:ilvl="7" w:tplc="AE2EA09E">
      <w:start w:val="1"/>
      <w:numFmt w:val="bullet"/>
      <w:lvlText w:val="o"/>
      <w:lvlJc w:val="left"/>
      <w:pPr>
        <w:ind w:left="5760" w:hanging="360"/>
      </w:pPr>
      <w:rPr>
        <w:rFonts w:ascii="Courier New" w:hAnsi="Courier New" w:hint="default"/>
      </w:rPr>
    </w:lvl>
    <w:lvl w:ilvl="8" w:tplc="37704898">
      <w:start w:val="1"/>
      <w:numFmt w:val="bullet"/>
      <w:lvlText w:val=""/>
      <w:lvlJc w:val="left"/>
      <w:pPr>
        <w:ind w:left="6480" w:hanging="360"/>
      </w:pPr>
      <w:rPr>
        <w:rFonts w:ascii="Wingdings" w:hAnsi="Wingdings" w:hint="default"/>
      </w:rPr>
    </w:lvl>
  </w:abstractNum>
  <w:abstractNum w:abstractNumId="18" w15:restartNumberingAfterBreak="0">
    <w:nsid w:val="359963E5"/>
    <w:multiLevelType w:val="hybridMultilevel"/>
    <w:tmpl w:val="2D80FB44"/>
    <w:lvl w:ilvl="0" w:tplc="1C2ACEAC">
      <w:numFmt w:val="bullet"/>
      <w:lvlText w:val=""/>
      <w:lvlJc w:val="left"/>
      <w:pPr>
        <w:ind w:left="1240" w:hanging="428"/>
      </w:pPr>
      <w:rPr>
        <w:rFonts w:ascii="Wingdings" w:eastAsia="Wingdings" w:hAnsi="Wingdings" w:cs="Wingdings" w:hint="default"/>
        <w:color w:val="17365D"/>
        <w:w w:val="99"/>
        <w:sz w:val="20"/>
        <w:szCs w:val="20"/>
        <w:lang w:val="it-IT" w:eastAsia="en-US" w:bidi="ar-SA"/>
      </w:rPr>
    </w:lvl>
    <w:lvl w:ilvl="1" w:tplc="41889254">
      <w:numFmt w:val="bullet"/>
      <w:lvlText w:val="•"/>
      <w:lvlJc w:val="left"/>
      <w:pPr>
        <w:ind w:left="2238" w:hanging="428"/>
      </w:pPr>
      <w:rPr>
        <w:rFonts w:hint="default"/>
        <w:lang w:val="it-IT" w:eastAsia="en-US" w:bidi="ar-SA"/>
      </w:rPr>
    </w:lvl>
    <w:lvl w:ilvl="2" w:tplc="24B23A2C">
      <w:numFmt w:val="bullet"/>
      <w:lvlText w:val="•"/>
      <w:lvlJc w:val="left"/>
      <w:pPr>
        <w:ind w:left="3237" w:hanging="428"/>
      </w:pPr>
      <w:rPr>
        <w:rFonts w:hint="default"/>
        <w:lang w:val="it-IT" w:eastAsia="en-US" w:bidi="ar-SA"/>
      </w:rPr>
    </w:lvl>
    <w:lvl w:ilvl="3" w:tplc="0FFA64CE">
      <w:numFmt w:val="bullet"/>
      <w:lvlText w:val="•"/>
      <w:lvlJc w:val="left"/>
      <w:pPr>
        <w:ind w:left="4235" w:hanging="428"/>
      </w:pPr>
      <w:rPr>
        <w:rFonts w:hint="default"/>
        <w:lang w:val="it-IT" w:eastAsia="en-US" w:bidi="ar-SA"/>
      </w:rPr>
    </w:lvl>
    <w:lvl w:ilvl="4" w:tplc="95F6A77C">
      <w:numFmt w:val="bullet"/>
      <w:lvlText w:val="•"/>
      <w:lvlJc w:val="left"/>
      <w:pPr>
        <w:ind w:left="5234" w:hanging="428"/>
      </w:pPr>
      <w:rPr>
        <w:rFonts w:hint="default"/>
        <w:lang w:val="it-IT" w:eastAsia="en-US" w:bidi="ar-SA"/>
      </w:rPr>
    </w:lvl>
    <w:lvl w:ilvl="5" w:tplc="AEE048F0">
      <w:numFmt w:val="bullet"/>
      <w:lvlText w:val="•"/>
      <w:lvlJc w:val="left"/>
      <w:pPr>
        <w:ind w:left="6233" w:hanging="428"/>
      </w:pPr>
      <w:rPr>
        <w:rFonts w:hint="default"/>
        <w:lang w:val="it-IT" w:eastAsia="en-US" w:bidi="ar-SA"/>
      </w:rPr>
    </w:lvl>
    <w:lvl w:ilvl="6" w:tplc="95988052">
      <w:numFmt w:val="bullet"/>
      <w:lvlText w:val="•"/>
      <w:lvlJc w:val="left"/>
      <w:pPr>
        <w:ind w:left="7231" w:hanging="428"/>
      </w:pPr>
      <w:rPr>
        <w:rFonts w:hint="default"/>
        <w:lang w:val="it-IT" w:eastAsia="en-US" w:bidi="ar-SA"/>
      </w:rPr>
    </w:lvl>
    <w:lvl w:ilvl="7" w:tplc="4250523E">
      <w:numFmt w:val="bullet"/>
      <w:lvlText w:val="•"/>
      <w:lvlJc w:val="left"/>
      <w:pPr>
        <w:ind w:left="8230" w:hanging="428"/>
      </w:pPr>
      <w:rPr>
        <w:rFonts w:hint="default"/>
        <w:lang w:val="it-IT" w:eastAsia="en-US" w:bidi="ar-SA"/>
      </w:rPr>
    </w:lvl>
    <w:lvl w:ilvl="8" w:tplc="A9DE2486">
      <w:numFmt w:val="bullet"/>
      <w:lvlText w:val="•"/>
      <w:lvlJc w:val="left"/>
      <w:pPr>
        <w:ind w:left="9229" w:hanging="428"/>
      </w:pPr>
      <w:rPr>
        <w:rFonts w:hint="default"/>
        <w:lang w:val="it-IT" w:eastAsia="en-US" w:bidi="ar-SA"/>
      </w:rPr>
    </w:lvl>
  </w:abstractNum>
  <w:abstractNum w:abstractNumId="19" w15:restartNumberingAfterBreak="0">
    <w:nsid w:val="365E728A"/>
    <w:multiLevelType w:val="hybridMultilevel"/>
    <w:tmpl w:val="C19CFF00"/>
    <w:lvl w:ilvl="0" w:tplc="495CCE66">
      <w:start w:val="1"/>
      <w:numFmt w:val="bullet"/>
      <w:lvlText w:val=""/>
      <w:lvlJc w:val="left"/>
      <w:pPr>
        <w:ind w:left="720" w:hanging="360"/>
      </w:pPr>
      <w:rPr>
        <w:rFonts w:ascii="Symbol" w:hAnsi="Symbol" w:hint="default"/>
      </w:rPr>
    </w:lvl>
    <w:lvl w:ilvl="1" w:tplc="A23C805E" w:tentative="1">
      <w:start w:val="1"/>
      <w:numFmt w:val="bullet"/>
      <w:lvlText w:val="o"/>
      <w:lvlJc w:val="left"/>
      <w:pPr>
        <w:ind w:left="1440" w:hanging="360"/>
      </w:pPr>
      <w:rPr>
        <w:rFonts w:ascii="Courier New" w:hAnsi="Courier New" w:hint="default"/>
      </w:rPr>
    </w:lvl>
    <w:lvl w:ilvl="2" w:tplc="22046504" w:tentative="1">
      <w:start w:val="1"/>
      <w:numFmt w:val="bullet"/>
      <w:lvlText w:val=""/>
      <w:lvlJc w:val="left"/>
      <w:pPr>
        <w:ind w:left="2160" w:hanging="360"/>
      </w:pPr>
      <w:rPr>
        <w:rFonts w:ascii="Wingdings" w:hAnsi="Wingdings" w:hint="default"/>
      </w:rPr>
    </w:lvl>
    <w:lvl w:ilvl="3" w:tplc="BDD29578" w:tentative="1">
      <w:start w:val="1"/>
      <w:numFmt w:val="bullet"/>
      <w:lvlText w:val=""/>
      <w:lvlJc w:val="left"/>
      <w:pPr>
        <w:ind w:left="2880" w:hanging="360"/>
      </w:pPr>
      <w:rPr>
        <w:rFonts w:ascii="Symbol" w:hAnsi="Symbol" w:hint="default"/>
      </w:rPr>
    </w:lvl>
    <w:lvl w:ilvl="4" w:tplc="AF980E12" w:tentative="1">
      <w:start w:val="1"/>
      <w:numFmt w:val="bullet"/>
      <w:lvlText w:val="o"/>
      <w:lvlJc w:val="left"/>
      <w:pPr>
        <w:ind w:left="3600" w:hanging="360"/>
      </w:pPr>
      <w:rPr>
        <w:rFonts w:ascii="Courier New" w:hAnsi="Courier New" w:hint="default"/>
      </w:rPr>
    </w:lvl>
    <w:lvl w:ilvl="5" w:tplc="4956E636" w:tentative="1">
      <w:start w:val="1"/>
      <w:numFmt w:val="bullet"/>
      <w:lvlText w:val=""/>
      <w:lvlJc w:val="left"/>
      <w:pPr>
        <w:ind w:left="4320" w:hanging="360"/>
      </w:pPr>
      <w:rPr>
        <w:rFonts w:ascii="Wingdings" w:hAnsi="Wingdings" w:hint="default"/>
      </w:rPr>
    </w:lvl>
    <w:lvl w:ilvl="6" w:tplc="4F2A7DFE" w:tentative="1">
      <w:start w:val="1"/>
      <w:numFmt w:val="bullet"/>
      <w:lvlText w:val=""/>
      <w:lvlJc w:val="left"/>
      <w:pPr>
        <w:ind w:left="5040" w:hanging="360"/>
      </w:pPr>
      <w:rPr>
        <w:rFonts w:ascii="Symbol" w:hAnsi="Symbol" w:hint="default"/>
      </w:rPr>
    </w:lvl>
    <w:lvl w:ilvl="7" w:tplc="1C9CF49C" w:tentative="1">
      <w:start w:val="1"/>
      <w:numFmt w:val="bullet"/>
      <w:lvlText w:val="o"/>
      <w:lvlJc w:val="left"/>
      <w:pPr>
        <w:ind w:left="5760" w:hanging="360"/>
      </w:pPr>
      <w:rPr>
        <w:rFonts w:ascii="Courier New" w:hAnsi="Courier New" w:hint="default"/>
      </w:rPr>
    </w:lvl>
    <w:lvl w:ilvl="8" w:tplc="9AAE8E42" w:tentative="1">
      <w:start w:val="1"/>
      <w:numFmt w:val="bullet"/>
      <w:lvlText w:val=""/>
      <w:lvlJc w:val="left"/>
      <w:pPr>
        <w:ind w:left="6480" w:hanging="360"/>
      </w:pPr>
      <w:rPr>
        <w:rFonts w:ascii="Wingdings" w:hAnsi="Wingdings" w:hint="default"/>
      </w:rPr>
    </w:lvl>
  </w:abstractNum>
  <w:abstractNum w:abstractNumId="20" w15:restartNumberingAfterBreak="0">
    <w:nsid w:val="3D913728"/>
    <w:multiLevelType w:val="hybridMultilevel"/>
    <w:tmpl w:val="EB5A821C"/>
    <w:lvl w:ilvl="0" w:tplc="04100001">
      <w:start w:val="1"/>
      <w:numFmt w:val="bullet"/>
      <w:lvlText w:val=""/>
      <w:lvlJc w:val="left"/>
      <w:pPr>
        <w:ind w:left="1713" w:hanging="360"/>
      </w:pPr>
      <w:rPr>
        <w:rFonts w:ascii="Symbol" w:hAnsi="Symbol" w:hint="default"/>
      </w:rPr>
    </w:lvl>
    <w:lvl w:ilvl="1" w:tplc="CBD06EEA">
      <w:numFmt w:val="bullet"/>
      <w:lvlText w:val="-"/>
      <w:lvlJc w:val="left"/>
      <w:pPr>
        <w:ind w:left="2433" w:hanging="360"/>
      </w:pPr>
      <w:rPr>
        <w:rFonts w:ascii="Arial" w:eastAsia="Arial" w:hAnsi="Arial" w:cs="Arial"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21" w15:restartNumberingAfterBreak="0">
    <w:nsid w:val="42C245FC"/>
    <w:multiLevelType w:val="hybridMultilevel"/>
    <w:tmpl w:val="2B7EF516"/>
    <w:lvl w:ilvl="0" w:tplc="04100001">
      <w:start w:val="1"/>
      <w:numFmt w:val="bullet"/>
      <w:lvlText w:val=""/>
      <w:lvlJc w:val="left"/>
      <w:pPr>
        <w:ind w:left="1533" w:hanging="360"/>
      </w:pPr>
      <w:rPr>
        <w:rFonts w:ascii="Symbol" w:hAnsi="Symbol" w:hint="default"/>
      </w:rPr>
    </w:lvl>
    <w:lvl w:ilvl="1" w:tplc="04100003" w:tentative="1">
      <w:start w:val="1"/>
      <w:numFmt w:val="bullet"/>
      <w:lvlText w:val="o"/>
      <w:lvlJc w:val="left"/>
      <w:pPr>
        <w:ind w:left="2253" w:hanging="360"/>
      </w:pPr>
      <w:rPr>
        <w:rFonts w:ascii="Courier New" w:hAnsi="Courier New" w:cs="Courier New" w:hint="default"/>
      </w:rPr>
    </w:lvl>
    <w:lvl w:ilvl="2" w:tplc="04100005" w:tentative="1">
      <w:start w:val="1"/>
      <w:numFmt w:val="bullet"/>
      <w:lvlText w:val=""/>
      <w:lvlJc w:val="left"/>
      <w:pPr>
        <w:ind w:left="2973" w:hanging="360"/>
      </w:pPr>
      <w:rPr>
        <w:rFonts w:ascii="Wingdings" w:hAnsi="Wingdings" w:hint="default"/>
      </w:rPr>
    </w:lvl>
    <w:lvl w:ilvl="3" w:tplc="04100001" w:tentative="1">
      <w:start w:val="1"/>
      <w:numFmt w:val="bullet"/>
      <w:lvlText w:val=""/>
      <w:lvlJc w:val="left"/>
      <w:pPr>
        <w:ind w:left="3693" w:hanging="360"/>
      </w:pPr>
      <w:rPr>
        <w:rFonts w:ascii="Symbol" w:hAnsi="Symbol" w:hint="default"/>
      </w:rPr>
    </w:lvl>
    <w:lvl w:ilvl="4" w:tplc="04100003" w:tentative="1">
      <w:start w:val="1"/>
      <w:numFmt w:val="bullet"/>
      <w:lvlText w:val="o"/>
      <w:lvlJc w:val="left"/>
      <w:pPr>
        <w:ind w:left="4413" w:hanging="360"/>
      </w:pPr>
      <w:rPr>
        <w:rFonts w:ascii="Courier New" w:hAnsi="Courier New" w:cs="Courier New" w:hint="default"/>
      </w:rPr>
    </w:lvl>
    <w:lvl w:ilvl="5" w:tplc="04100005" w:tentative="1">
      <w:start w:val="1"/>
      <w:numFmt w:val="bullet"/>
      <w:lvlText w:val=""/>
      <w:lvlJc w:val="left"/>
      <w:pPr>
        <w:ind w:left="5133" w:hanging="360"/>
      </w:pPr>
      <w:rPr>
        <w:rFonts w:ascii="Wingdings" w:hAnsi="Wingdings" w:hint="default"/>
      </w:rPr>
    </w:lvl>
    <w:lvl w:ilvl="6" w:tplc="04100001" w:tentative="1">
      <w:start w:val="1"/>
      <w:numFmt w:val="bullet"/>
      <w:lvlText w:val=""/>
      <w:lvlJc w:val="left"/>
      <w:pPr>
        <w:ind w:left="5853" w:hanging="360"/>
      </w:pPr>
      <w:rPr>
        <w:rFonts w:ascii="Symbol" w:hAnsi="Symbol" w:hint="default"/>
      </w:rPr>
    </w:lvl>
    <w:lvl w:ilvl="7" w:tplc="04100003" w:tentative="1">
      <w:start w:val="1"/>
      <w:numFmt w:val="bullet"/>
      <w:lvlText w:val="o"/>
      <w:lvlJc w:val="left"/>
      <w:pPr>
        <w:ind w:left="6573" w:hanging="360"/>
      </w:pPr>
      <w:rPr>
        <w:rFonts w:ascii="Courier New" w:hAnsi="Courier New" w:cs="Courier New" w:hint="default"/>
      </w:rPr>
    </w:lvl>
    <w:lvl w:ilvl="8" w:tplc="04100005" w:tentative="1">
      <w:start w:val="1"/>
      <w:numFmt w:val="bullet"/>
      <w:lvlText w:val=""/>
      <w:lvlJc w:val="left"/>
      <w:pPr>
        <w:ind w:left="7293" w:hanging="360"/>
      </w:pPr>
      <w:rPr>
        <w:rFonts w:ascii="Wingdings" w:hAnsi="Wingdings" w:hint="default"/>
      </w:rPr>
    </w:lvl>
  </w:abstractNum>
  <w:abstractNum w:abstractNumId="22" w15:restartNumberingAfterBreak="0">
    <w:nsid w:val="44035C72"/>
    <w:multiLevelType w:val="multilevel"/>
    <w:tmpl w:val="74BE3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14416D"/>
    <w:multiLevelType w:val="hybridMultilevel"/>
    <w:tmpl w:val="531CA9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E804C04"/>
    <w:multiLevelType w:val="hybridMultilevel"/>
    <w:tmpl w:val="118EE07C"/>
    <w:lvl w:ilvl="0" w:tplc="B20605CA">
      <w:start w:val="3"/>
      <w:numFmt w:val="bullet"/>
      <w:lvlText w:val="-"/>
      <w:lvlJc w:val="left"/>
      <w:pPr>
        <w:ind w:left="720" w:hanging="360"/>
      </w:pPr>
      <w:rPr>
        <w:rFonts w:ascii="Garamond" w:eastAsia="Times New Roman" w:hAnsi="Garamond" w:cs="Times New Roman" w:hint="default"/>
        <w:b w:val="0"/>
        <w:color w:val="1B1F24"/>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F400C13"/>
    <w:multiLevelType w:val="hybridMultilevel"/>
    <w:tmpl w:val="83889A64"/>
    <w:lvl w:ilvl="0" w:tplc="6B90CCB2">
      <w:start w:val="1"/>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26" w15:restartNumberingAfterBreak="0">
    <w:nsid w:val="54824099"/>
    <w:multiLevelType w:val="hybridMultilevel"/>
    <w:tmpl w:val="C706C848"/>
    <w:lvl w:ilvl="0" w:tplc="E9FE758E">
      <w:start w:val="1"/>
      <w:numFmt w:val="lowerLetter"/>
      <w:lvlText w:val="%1."/>
      <w:lvlJc w:val="left"/>
      <w:pPr>
        <w:ind w:left="1240" w:hanging="293"/>
      </w:pPr>
      <w:rPr>
        <w:rFonts w:ascii="Arial MT" w:eastAsia="Arial MT" w:hAnsi="Arial MT" w:cs="Arial MT" w:hint="default"/>
        <w:spacing w:val="-1"/>
        <w:w w:val="99"/>
        <w:sz w:val="20"/>
        <w:szCs w:val="20"/>
        <w:lang w:val="it-IT" w:eastAsia="en-US" w:bidi="ar-SA"/>
      </w:rPr>
    </w:lvl>
    <w:lvl w:ilvl="1" w:tplc="36ACEB12">
      <w:numFmt w:val="bullet"/>
      <w:lvlText w:val="•"/>
      <w:lvlJc w:val="left"/>
      <w:pPr>
        <w:ind w:left="2238" w:hanging="293"/>
      </w:pPr>
      <w:rPr>
        <w:rFonts w:hint="default"/>
        <w:lang w:val="it-IT" w:eastAsia="en-US" w:bidi="ar-SA"/>
      </w:rPr>
    </w:lvl>
    <w:lvl w:ilvl="2" w:tplc="D33E928A">
      <w:numFmt w:val="bullet"/>
      <w:lvlText w:val="•"/>
      <w:lvlJc w:val="left"/>
      <w:pPr>
        <w:ind w:left="3237" w:hanging="293"/>
      </w:pPr>
      <w:rPr>
        <w:rFonts w:hint="default"/>
        <w:lang w:val="it-IT" w:eastAsia="en-US" w:bidi="ar-SA"/>
      </w:rPr>
    </w:lvl>
    <w:lvl w:ilvl="3" w:tplc="1FEC237C">
      <w:numFmt w:val="bullet"/>
      <w:lvlText w:val="•"/>
      <w:lvlJc w:val="left"/>
      <w:pPr>
        <w:ind w:left="4235" w:hanging="293"/>
      </w:pPr>
      <w:rPr>
        <w:rFonts w:hint="default"/>
        <w:lang w:val="it-IT" w:eastAsia="en-US" w:bidi="ar-SA"/>
      </w:rPr>
    </w:lvl>
    <w:lvl w:ilvl="4" w:tplc="C9BE3B50">
      <w:numFmt w:val="bullet"/>
      <w:lvlText w:val="•"/>
      <w:lvlJc w:val="left"/>
      <w:pPr>
        <w:ind w:left="5234" w:hanging="293"/>
      </w:pPr>
      <w:rPr>
        <w:rFonts w:hint="default"/>
        <w:lang w:val="it-IT" w:eastAsia="en-US" w:bidi="ar-SA"/>
      </w:rPr>
    </w:lvl>
    <w:lvl w:ilvl="5" w:tplc="D5FEF9C2">
      <w:numFmt w:val="bullet"/>
      <w:lvlText w:val="•"/>
      <w:lvlJc w:val="left"/>
      <w:pPr>
        <w:ind w:left="6233" w:hanging="293"/>
      </w:pPr>
      <w:rPr>
        <w:rFonts w:hint="default"/>
        <w:lang w:val="it-IT" w:eastAsia="en-US" w:bidi="ar-SA"/>
      </w:rPr>
    </w:lvl>
    <w:lvl w:ilvl="6" w:tplc="279270CC">
      <w:numFmt w:val="bullet"/>
      <w:lvlText w:val="•"/>
      <w:lvlJc w:val="left"/>
      <w:pPr>
        <w:ind w:left="7231" w:hanging="293"/>
      </w:pPr>
      <w:rPr>
        <w:rFonts w:hint="default"/>
        <w:lang w:val="it-IT" w:eastAsia="en-US" w:bidi="ar-SA"/>
      </w:rPr>
    </w:lvl>
    <w:lvl w:ilvl="7" w:tplc="9D6CC526">
      <w:numFmt w:val="bullet"/>
      <w:lvlText w:val="•"/>
      <w:lvlJc w:val="left"/>
      <w:pPr>
        <w:ind w:left="8230" w:hanging="293"/>
      </w:pPr>
      <w:rPr>
        <w:rFonts w:hint="default"/>
        <w:lang w:val="it-IT" w:eastAsia="en-US" w:bidi="ar-SA"/>
      </w:rPr>
    </w:lvl>
    <w:lvl w:ilvl="8" w:tplc="E1F06FC8">
      <w:numFmt w:val="bullet"/>
      <w:lvlText w:val="•"/>
      <w:lvlJc w:val="left"/>
      <w:pPr>
        <w:ind w:left="9229" w:hanging="293"/>
      </w:pPr>
      <w:rPr>
        <w:rFonts w:hint="default"/>
        <w:lang w:val="it-IT" w:eastAsia="en-US" w:bidi="ar-SA"/>
      </w:rPr>
    </w:lvl>
  </w:abstractNum>
  <w:abstractNum w:abstractNumId="27" w15:restartNumberingAfterBreak="0">
    <w:nsid w:val="56165923"/>
    <w:multiLevelType w:val="hybridMultilevel"/>
    <w:tmpl w:val="D9B8F9AA"/>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8" w15:restartNumberingAfterBreak="0">
    <w:nsid w:val="588C28FD"/>
    <w:multiLevelType w:val="hybridMultilevel"/>
    <w:tmpl w:val="46EC31DC"/>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29" w15:restartNumberingAfterBreak="0">
    <w:nsid w:val="5BE05ABF"/>
    <w:multiLevelType w:val="hybridMultilevel"/>
    <w:tmpl w:val="1A162CE6"/>
    <w:lvl w:ilvl="0" w:tplc="B928B0C2">
      <w:start w:val="1"/>
      <w:numFmt w:val="lowerLetter"/>
      <w:lvlText w:val="(%1)"/>
      <w:lvlJc w:val="left"/>
      <w:pPr>
        <w:ind w:left="1780" w:hanging="262"/>
      </w:pPr>
      <w:rPr>
        <w:rFonts w:ascii="Arial MT" w:eastAsia="Arial MT" w:hAnsi="Arial MT" w:cs="Arial MT" w:hint="default"/>
        <w:spacing w:val="-2"/>
        <w:w w:val="81"/>
        <w:sz w:val="18"/>
        <w:szCs w:val="18"/>
        <w:lang w:val="it-IT" w:eastAsia="en-US" w:bidi="ar-SA"/>
      </w:rPr>
    </w:lvl>
    <w:lvl w:ilvl="1" w:tplc="8FE26BE4">
      <w:numFmt w:val="bullet"/>
      <w:lvlText w:val="•"/>
      <w:lvlJc w:val="left"/>
      <w:pPr>
        <w:ind w:left="2724" w:hanging="262"/>
      </w:pPr>
      <w:rPr>
        <w:rFonts w:hint="default"/>
        <w:lang w:val="it-IT" w:eastAsia="en-US" w:bidi="ar-SA"/>
      </w:rPr>
    </w:lvl>
    <w:lvl w:ilvl="2" w:tplc="6DF83872">
      <w:numFmt w:val="bullet"/>
      <w:lvlText w:val="•"/>
      <w:lvlJc w:val="left"/>
      <w:pPr>
        <w:ind w:left="3669" w:hanging="262"/>
      </w:pPr>
      <w:rPr>
        <w:rFonts w:hint="default"/>
        <w:lang w:val="it-IT" w:eastAsia="en-US" w:bidi="ar-SA"/>
      </w:rPr>
    </w:lvl>
    <w:lvl w:ilvl="3" w:tplc="E886E196">
      <w:numFmt w:val="bullet"/>
      <w:lvlText w:val="•"/>
      <w:lvlJc w:val="left"/>
      <w:pPr>
        <w:ind w:left="4613" w:hanging="262"/>
      </w:pPr>
      <w:rPr>
        <w:rFonts w:hint="default"/>
        <w:lang w:val="it-IT" w:eastAsia="en-US" w:bidi="ar-SA"/>
      </w:rPr>
    </w:lvl>
    <w:lvl w:ilvl="4" w:tplc="FD4E4D44">
      <w:numFmt w:val="bullet"/>
      <w:lvlText w:val="•"/>
      <w:lvlJc w:val="left"/>
      <w:pPr>
        <w:ind w:left="5558" w:hanging="262"/>
      </w:pPr>
      <w:rPr>
        <w:rFonts w:hint="default"/>
        <w:lang w:val="it-IT" w:eastAsia="en-US" w:bidi="ar-SA"/>
      </w:rPr>
    </w:lvl>
    <w:lvl w:ilvl="5" w:tplc="8DBCD10A">
      <w:numFmt w:val="bullet"/>
      <w:lvlText w:val="•"/>
      <w:lvlJc w:val="left"/>
      <w:pPr>
        <w:ind w:left="6503" w:hanging="262"/>
      </w:pPr>
      <w:rPr>
        <w:rFonts w:hint="default"/>
        <w:lang w:val="it-IT" w:eastAsia="en-US" w:bidi="ar-SA"/>
      </w:rPr>
    </w:lvl>
    <w:lvl w:ilvl="6" w:tplc="2B42047A">
      <w:numFmt w:val="bullet"/>
      <w:lvlText w:val="•"/>
      <w:lvlJc w:val="left"/>
      <w:pPr>
        <w:ind w:left="7447" w:hanging="262"/>
      </w:pPr>
      <w:rPr>
        <w:rFonts w:hint="default"/>
        <w:lang w:val="it-IT" w:eastAsia="en-US" w:bidi="ar-SA"/>
      </w:rPr>
    </w:lvl>
    <w:lvl w:ilvl="7" w:tplc="110073EA">
      <w:numFmt w:val="bullet"/>
      <w:lvlText w:val="•"/>
      <w:lvlJc w:val="left"/>
      <w:pPr>
        <w:ind w:left="8392" w:hanging="262"/>
      </w:pPr>
      <w:rPr>
        <w:rFonts w:hint="default"/>
        <w:lang w:val="it-IT" w:eastAsia="en-US" w:bidi="ar-SA"/>
      </w:rPr>
    </w:lvl>
    <w:lvl w:ilvl="8" w:tplc="42F64A98">
      <w:numFmt w:val="bullet"/>
      <w:lvlText w:val="•"/>
      <w:lvlJc w:val="left"/>
      <w:pPr>
        <w:ind w:left="9337" w:hanging="262"/>
      </w:pPr>
      <w:rPr>
        <w:rFonts w:hint="default"/>
        <w:lang w:val="it-IT" w:eastAsia="en-US" w:bidi="ar-SA"/>
      </w:rPr>
    </w:lvl>
  </w:abstractNum>
  <w:abstractNum w:abstractNumId="30" w15:restartNumberingAfterBreak="0">
    <w:nsid w:val="5CC83733"/>
    <w:multiLevelType w:val="hybridMultilevel"/>
    <w:tmpl w:val="B6BA7896"/>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31" w15:restartNumberingAfterBreak="0">
    <w:nsid w:val="5E996A50"/>
    <w:multiLevelType w:val="hybridMultilevel"/>
    <w:tmpl w:val="8638B2D6"/>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2" w15:restartNumberingAfterBreak="0">
    <w:nsid w:val="5F226F40"/>
    <w:multiLevelType w:val="hybridMultilevel"/>
    <w:tmpl w:val="8DEAF31A"/>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33" w15:restartNumberingAfterBreak="0">
    <w:nsid w:val="61F07A3B"/>
    <w:multiLevelType w:val="hybridMultilevel"/>
    <w:tmpl w:val="E892D6C8"/>
    <w:lvl w:ilvl="0" w:tplc="5D9E0F14">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4" w15:restartNumberingAfterBreak="0">
    <w:nsid w:val="64473BC0"/>
    <w:multiLevelType w:val="multilevel"/>
    <w:tmpl w:val="CCBA8FA0"/>
    <w:lvl w:ilvl="0">
      <w:start w:val="1"/>
      <w:numFmt w:val="bullet"/>
      <w:lvlText w:val="-"/>
      <w:lvlJc w:val="left"/>
      <w:pPr>
        <w:ind w:left="410" w:hanging="360"/>
      </w:pPr>
      <w:rPr>
        <w:rFonts w:ascii="Tahoma" w:hAnsi="Tahoma" w:hint="default"/>
        <w:color w:val="000000"/>
        <w:sz w:val="21"/>
      </w:r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35" w15:restartNumberingAfterBreak="0">
    <w:nsid w:val="652872EE"/>
    <w:multiLevelType w:val="multilevel"/>
    <w:tmpl w:val="BF361B9E"/>
    <w:lvl w:ilvl="0">
      <w:start w:val="1"/>
      <w:numFmt w:val="decimal"/>
      <w:lvlText w:val="%1"/>
      <w:lvlJc w:val="left"/>
      <w:pPr>
        <w:ind w:left="360" w:hanging="36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6" w15:restartNumberingAfterBreak="0">
    <w:nsid w:val="66D379FD"/>
    <w:multiLevelType w:val="multilevel"/>
    <w:tmpl w:val="12627882"/>
    <w:lvl w:ilvl="0">
      <w:start w:val="1"/>
      <w:numFmt w:val="decimal"/>
      <w:lvlText w:val="%1."/>
      <w:lvlJc w:val="left"/>
      <w:pPr>
        <w:ind w:left="1173" w:hanging="360"/>
      </w:pPr>
      <w:rPr>
        <w:rFonts w:hint="default"/>
      </w:rPr>
    </w:lvl>
    <w:lvl w:ilvl="1">
      <w:start w:val="1"/>
      <w:numFmt w:val="decimal"/>
      <w:isLgl/>
      <w:lvlText w:val="%1.%2"/>
      <w:lvlJc w:val="left"/>
      <w:pPr>
        <w:ind w:left="1543" w:hanging="370"/>
      </w:pPr>
      <w:rPr>
        <w:rFonts w:hint="default"/>
      </w:rPr>
    </w:lvl>
    <w:lvl w:ilvl="2">
      <w:start w:val="1"/>
      <w:numFmt w:val="decimal"/>
      <w:isLgl/>
      <w:lvlText w:val="%1.%2.%3"/>
      <w:lvlJc w:val="left"/>
      <w:pPr>
        <w:ind w:left="2253" w:hanging="720"/>
      </w:pPr>
      <w:rPr>
        <w:rFonts w:hint="default"/>
      </w:rPr>
    </w:lvl>
    <w:lvl w:ilvl="3">
      <w:start w:val="1"/>
      <w:numFmt w:val="decimal"/>
      <w:isLgl/>
      <w:lvlText w:val="%1.%2.%3.%4"/>
      <w:lvlJc w:val="left"/>
      <w:pPr>
        <w:ind w:left="2613" w:hanging="720"/>
      </w:pPr>
      <w:rPr>
        <w:rFonts w:hint="default"/>
      </w:rPr>
    </w:lvl>
    <w:lvl w:ilvl="4">
      <w:start w:val="1"/>
      <w:numFmt w:val="decimal"/>
      <w:isLgl/>
      <w:lvlText w:val="%1.%2.%3.%4.%5"/>
      <w:lvlJc w:val="left"/>
      <w:pPr>
        <w:ind w:left="3333" w:hanging="1080"/>
      </w:pPr>
      <w:rPr>
        <w:rFonts w:hint="default"/>
      </w:rPr>
    </w:lvl>
    <w:lvl w:ilvl="5">
      <w:start w:val="1"/>
      <w:numFmt w:val="decimal"/>
      <w:isLgl/>
      <w:lvlText w:val="%1.%2.%3.%4.%5.%6"/>
      <w:lvlJc w:val="left"/>
      <w:pPr>
        <w:ind w:left="3693" w:hanging="1080"/>
      </w:pPr>
      <w:rPr>
        <w:rFonts w:hint="default"/>
      </w:rPr>
    </w:lvl>
    <w:lvl w:ilvl="6">
      <w:start w:val="1"/>
      <w:numFmt w:val="decimal"/>
      <w:isLgl/>
      <w:lvlText w:val="%1.%2.%3.%4.%5.%6.%7"/>
      <w:lvlJc w:val="left"/>
      <w:pPr>
        <w:ind w:left="4413" w:hanging="1440"/>
      </w:pPr>
      <w:rPr>
        <w:rFonts w:hint="default"/>
      </w:rPr>
    </w:lvl>
    <w:lvl w:ilvl="7">
      <w:start w:val="1"/>
      <w:numFmt w:val="decimal"/>
      <w:isLgl/>
      <w:lvlText w:val="%1.%2.%3.%4.%5.%6.%7.%8"/>
      <w:lvlJc w:val="left"/>
      <w:pPr>
        <w:ind w:left="4773" w:hanging="1440"/>
      </w:pPr>
      <w:rPr>
        <w:rFonts w:hint="default"/>
      </w:rPr>
    </w:lvl>
    <w:lvl w:ilvl="8">
      <w:start w:val="1"/>
      <w:numFmt w:val="decimal"/>
      <w:isLgl/>
      <w:lvlText w:val="%1.%2.%3.%4.%5.%6.%7.%8.%9"/>
      <w:lvlJc w:val="left"/>
      <w:pPr>
        <w:ind w:left="5493" w:hanging="1800"/>
      </w:pPr>
      <w:rPr>
        <w:rFonts w:hint="default"/>
      </w:rPr>
    </w:lvl>
  </w:abstractNum>
  <w:abstractNum w:abstractNumId="37" w15:restartNumberingAfterBreak="0">
    <w:nsid w:val="67131B73"/>
    <w:multiLevelType w:val="hybridMultilevel"/>
    <w:tmpl w:val="5BE02E5C"/>
    <w:lvl w:ilvl="0" w:tplc="E1286A60">
      <w:start w:val="2"/>
      <w:numFmt w:val="bullet"/>
      <w:lvlText w:val="-"/>
      <w:lvlJc w:val="left"/>
      <w:pPr>
        <w:ind w:left="1494" w:hanging="360"/>
      </w:pPr>
      <w:rPr>
        <w:rFonts w:ascii="Arial" w:eastAsia="Arial" w:hAnsi="Arial" w:cs="Arial"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38" w15:restartNumberingAfterBreak="0">
    <w:nsid w:val="67B01AC5"/>
    <w:multiLevelType w:val="hybridMultilevel"/>
    <w:tmpl w:val="389AF0F0"/>
    <w:lvl w:ilvl="0" w:tplc="BAEEF190">
      <w:start w:val="1"/>
      <w:numFmt w:val="bullet"/>
      <w:lvlText w:val="·"/>
      <w:lvlJc w:val="left"/>
      <w:pPr>
        <w:ind w:left="720" w:hanging="360"/>
      </w:pPr>
      <w:rPr>
        <w:rFonts w:ascii="Symbol" w:hAnsi="Symbol" w:hint="default"/>
      </w:rPr>
    </w:lvl>
    <w:lvl w:ilvl="1" w:tplc="E5687A98">
      <w:start w:val="1"/>
      <w:numFmt w:val="bullet"/>
      <w:lvlText w:val="o"/>
      <w:lvlJc w:val="left"/>
      <w:pPr>
        <w:ind w:left="1440" w:hanging="360"/>
      </w:pPr>
      <w:rPr>
        <w:rFonts w:ascii="Courier New" w:hAnsi="Courier New" w:hint="default"/>
      </w:rPr>
    </w:lvl>
    <w:lvl w:ilvl="2" w:tplc="BE36D09A">
      <w:start w:val="1"/>
      <w:numFmt w:val="bullet"/>
      <w:lvlText w:val=""/>
      <w:lvlJc w:val="left"/>
      <w:pPr>
        <w:ind w:left="2160" w:hanging="360"/>
      </w:pPr>
      <w:rPr>
        <w:rFonts w:ascii="Wingdings" w:hAnsi="Wingdings" w:hint="default"/>
      </w:rPr>
    </w:lvl>
    <w:lvl w:ilvl="3" w:tplc="28C2F1B8">
      <w:start w:val="1"/>
      <w:numFmt w:val="bullet"/>
      <w:lvlText w:val=""/>
      <w:lvlJc w:val="left"/>
      <w:pPr>
        <w:ind w:left="2880" w:hanging="360"/>
      </w:pPr>
      <w:rPr>
        <w:rFonts w:ascii="Symbol" w:hAnsi="Symbol" w:hint="default"/>
      </w:rPr>
    </w:lvl>
    <w:lvl w:ilvl="4" w:tplc="B31CCCDA">
      <w:start w:val="1"/>
      <w:numFmt w:val="bullet"/>
      <w:lvlText w:val="o"/>
      <w:lvlJc w:val="left"/>
      <w:pPr>
        <w:ind w:left="3600" w:hanging="360"/>
      </w:pPr>
      <w:rPr>
        <w:rFonts w:ascii="Courier New" w:hAnsi="Courier New" w:hint="default"/>
      </w:rPr>
    </w:lvl>
    <w:lvl w:ilvl="5" w:tplc="716E0DF6">
      <w:start w:val="1"/>
      <w:numFmt w:val="bullet"/>
      <w:lvlText w:val=""/>
      <w:lvlJc w:val="left"/>
      <w:pPr>
        <w:ind w:left="4320" w:hanging="360"/>
      </w:pPr>
      <w:rPr>
        <w:rFonts w:ascii="Wingdings" w:hAnsi="Wingdings" w:hint="default"/>
      </w:rPr>
    </w:lvl>
    <w:lvl w:ilvl="6" w:tplc="F6165AD4">
      <w:start w:val="1"/>
      <w:numFmt w:val="bullet"/>
      <w:lvlText w:val=""/>
      <w:lvlJc w:val="left"/>
      <w:pPr>
        <w:ind w:left="5040" w:hanging="360"/>
      </w:pPr>
      <w:rPr>
        <w:rFonts w:ascii="Symbol" w:hAnsi="Symbol" w:hint="default"/>
      </w:rPr>
    </w:lvl>
    <w:lvl w:ilvl="7" w:tplc="EE4EBD1C">
      <w:start w:val="1"/>
      <w:numFmt w:val="bullet"/>
      <w:lvlText w:val="o"/>
      <w:lvlJc w:val="left"/>
      <w:pPr>
        <w:ind w:left="5760" w:hanging="360"/>
      </w:pPr>
      <w:rPr>
        <w:rFonts w:ascii="Courier New" w:hAnsi="Courier New" w:hint="default"/>
      </w:rPr>
    </w:lvl>
    <w:lvl w:ilvl="8" w:tplc="963CEDD6">
      <w:start w:val="1"/>
      <w:numFmt w:val="bullet"/>
      <w:lvlText w:val=""/>
      <w:lvlJc w:val="left"/>
      <w:pPr>
        <w:ind w:left="6480" w:hanging="360"/>
      </w:pPr>
      <w:rPr>
        <w:rFonts w:ascii="Wingdings" w:hAnsi="Wingdings" w:hint="default"/>
      </w:rPr>
    </w:lvl>
  </w:abstractNum>
  <w:abstractNum w:abstractNumId="39" w15:restartNumberingAfterBreak="0">
    <w:nsid w:val="685A1FDB"/>
    <w:multiLevelType w:val="hybridMultilevel"/>
    <w:tmpl w:val="A9A6DD78"/>
    <w:lvl w:ilvl="0" w:tplc="04100001">
      <w:start w:val="1"/>
      <w:numFmt w:val="bullet"/>
      <w:lvlText w:val=""/>
      <w:lvlJc w:val="left"/>
      <w:pPr>
        <w:ind w:left="2073" w:hanging="360"/>
      </w:pPr>
      <w:rPr>
        <w:rFonts w:ascii="Symbol" w:hAnsi="Symbol" w:hint="default"/>
      </w:rPr>
    </w:lvl>
    <w:lvl w:ilvl="1" w:tplc="04100003">
      <w:start w:val="1"/>
      <w:numFmt w:val="bullet"/>
      <w:lvlText w:val="o"/>
      <w:lvlJc w:val="left"/>
      <w:pPr>
        <w:ind w:left="2793" w:hanging="360"/>
      </w:pPr>
      <w:rPr>
        <w:rFonts w:ascii="Courier New" w:hAnsi="Courier New" w:cs="Courier New" w:hint="default"/>
      </w:rPr>
    </w:lvl>
    <w:lvl w:ilvl="2" w:tplc="04100005" w:tentative="1">
      <w:start w:val="1"/>
      <w:numFmt w:val="bullet"/>
      <w:lvlText w:val=""/>
      <w:lvlJc w:val="left"/>
      <w:pPr>
        <w:ind w:left="3513" w:hanging="360"/>
      </w:pPr>
      <w:rPr>
        <w:rFonts w:ascii="Wingdings" w:hAnsi="Wingdings" w:hint="default"/>
      </w:rPr>
    </w:lvl>
    <w:lvl w:ilvl="3" w:tplc="04100001" w:tentative="1">
      <w:start w:val="1"/>
      <w:numFmt w:val="bullet"/>
      <w:lvlText w:val=""/>
      <w:lvlJc w:val="left"/>
      <w:pPr>
        <w:ind w:left="4233" w:hanging="360"/>
      </w:pPr>
      <w:rPr>
        <w:rFonts w:ascii="Symbol" w:hAnsi="Symbol" w:hint="default"/>
      </w:rPr>
    </w:lvl>
    <w:lvl w:ilvl="4" w:tplc="04100003" w:tentative="1">
      <w:start w:val="1"/>
      <w:numFmt w:val="bullet"/>
      <w:lvlText w:val="o"/>
      <w:lvlJc w:val="left"/>
      <w:pPr>
        <w:ind w:left="4953" w:hanging="360"/>
      </w:pPr>
      <w:rPr>
        <w:rFonts w:ascii="Courier New" w:hAnsi="Courier New" w:cs="Courier New" w:hint="default"/>
      </w:rPr>
    </w:lvl>
    <w:lvl w:ilvl="5" w:tplc="04100005" w:tentative="1">
      <w:start w:val="1"/>
      <w:numFmt w:val="bullet"/>
      <w:lvlText w:val=""/>
      <w:lvlJc w:val="left"/>
      <w:pPr>
        <w:ind w:left="5673" w:hanging="360"/>
      </w:pPr>
      <w:rPr>
        <w:rFonts w:ascii="Wingdings" w:hAnsi="Wingdings" w:hint="default"/>
      </w:rPr>
    </w:lvl>
    <w:lvl w:ilvl="6" w:tplc="04100001" w:tentative="1">
      <w:start w:val="1"/>
      <w:numFmt w:val="bullet"/>
      <w:lvlText w:val=""/>
      <w:lvlJc w:val="left"/>
      <w:pPr>
        <w:ind w:left="6393" w:hanging="360"/>
      </w:pPr>
      <w:rPr>
        <w:rFonts w:ascii="Symbol" w:hAnsi="Symbol" w:hint="default"/>
      </w:rPr>
    </w:lvl>
    <w:lvl w:ilvl="7" w:tplc="04100003" w:tentative="1">
      <w:start w:val="1"/>
      <w:numFmt w:val="bullet"/>
      <w:lvlText w:val="o"/>
      <w:lvlJc w:val="left"/>
      <w:pPr>
        <w:ind w:left="7113" w:hanging="360"/>
      </w:pPr>
      <w:rPr>
        <w:rFonts w:ascii="Courier New" w:hAnsi="Courier New" w:cs="Courier New" w:hint="default"/>
      </w:rPr>
    </w:lvl>
    <w:lvl w:ilvl="8" w:tplc="04100005" w:tentative="1">
      <w:start w:val="1"/>
      <w:numFmt w:val="bullet"/>
      <w:lvlText w:val=""/>
      <w:lvlJc w:val="left"/>
      <w:pPr>
        <w:ind w:left="7833" w:hanging="360"/>
      </w:pPr>
      <w:rPr>
        <w:rFonts w:ascii="Wingdings" w:hAnsi="Wingdings" w:hint="default"/>
      </w:rPr>
    </w:lvl>
  </w:abstractNum>
  <w:abstractNum w:abstractNumId="40" w15:restartNumberingAfterBreak="0">
    <w:nsid w:val="68B64BAF"/>
    <w:multiLevelType w:val="hybridMultilevel"/>
    <w:tmpl w:val="70BEBA68"/>
    <w:lvl w:ilvl="0" w:tplc="28B87E4A">
      <w:start w:val="1"/>
      <w:numFmt w:val="bullet"/>
      <w:lvlText w:val="-"/>
      <w:lvlJc w:val="left"/>
      <w:pPr>
        <w:ind w:left="1287" w:hanging="360"/>
      </w:pPr>
      <w:rPr>
        <w:rFonts w:ascii="Times New Roman" w:eastAsia="Times New Roman" w:hAnsi="Times New Roman" w:cs="Times New Roman" w:hint="default"/>
      </w:rPr>
    </w:lvl>
    <w:lvl w:ilvl="1" w:tplc="04100003">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1" w15:restartNumberingAfterBreak="0">
    <w:nsid w:val="69541807"/>
    <w:multiLevelType w:val="hybridMultilevel"/>
    <w:tmpl w:val="152CA204"/>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42" w15:restartNumberingAfterBreak="0">
    <w:nsid w:val="6A870A4C"/>
    <w:multiLevelType w:val="hybridMultilevel"/>
    <w:tmpl w:val="8436975A"/>
    <w:lvl w:ilvl="0" w:tplc="04100003">
      <w:start w:val="1"/>
      <w:numFmt w:val="bullet"/>
      <w:lvlText w:val="o"/>
      <w:lvlJc w:val="left"/>
      <w:pPr>
        <w:ind w:left="720" w:hanging="360"/>
      </w:pPr>
      <w:rPr>
        <w:rFonts w:ascii="Courier New" w:hAnsi="Courier New" w:cs="Courier New"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E0E6577"/>
    <w:multiLevelType w:val="hybridMultilevel"/>
    <w:tmpl w:val="865CFF52"/>
    <w:lvl w:ilvl="0" w:tplc="04100001">
      <w:start w:val="1"/>
      <w:numFmt w:val="bullet"/>
      <w:lvlText w:val=""/>
      <w:lvlJc w:val="left"/>
      <w:pPr>
        <w:ind w:left="1494" w:hanging="360"/>
      </w:pPr>
      <w:rPr>
        <w:rFonts w:ascii="Symbol" w:hAnsi="Symbol"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44" w15:restartNumberingAfterBreak="0">
    <w:nsid w:val="706A535A"/>
    <w:multiLevelType w:val="hybridMultilevel"/>
    <w:tmpl w:val="FFFFFFFF"/>
    <w:lvl w:ilvl="0" w:tplc="F89E7EF0">
      <w:start w:val="1"/>
      <w:numFmt w:val="bullet"/>
      <w:lvlText w:val="-"/>
      <w:lvlJc w:val="left"/>
      <w:pPr>
        <w:ind w:left="720" w:hanging="360"/>
      </w:pPr>
      <w:rPr>
        <w:rFonts w:ascii="Calibri" w:hAnsi="Calibri" w:hint="default"/>
      </w:rPr>
    </w:lvl>
    <w:lvl w:ilvl="1" w:tplc="3DB22BF0">
      <w:start w:val="1"/>
      <w:numFmt w:val="bullet"/>
      <w:lvlText w:val="o"/>
      <w:lvlJc w:val="left"/>
      <w:pPr>
        <w:ind w:left="1440" w:hanging="360"/>
      </w:pPr>
      <w:rPr>
        <w:rFonts w:ascii="Courier New" w:hAnsi="Courier New" w:hint="default"/>
      </w:rPr>
    </w:lvl>
    <w:lvl w:ilvl="2" w:tplc="19C02B70">
      <w:start w:val="1"/>
      <w:numFmt w:val="bullet"/>
      <w:lvlText w:val=""/>
      <w:lvlJc w:val="left"/>
      <w:pPr>
        <w:ind w:left="2160" w:hanging="360"/>
      </w:pPr>
      <w:rPr>
        <w:rFonts w:ascii="Wingdings" w:hAnsi="Wingdings" w:hint="default"/>
      </w:rPr>
    </w:lvl>
    <w:lvl w:ilvl="3" w:tplc="EC2016FC">
      <w:start w:val="1"/>
      <w:numFmt w:val="bullet"/>
      <w:lvlText w:val=""/>
      <w:lvlJc w:val="left"/>
      <w:pPr>
        <w:ind w:left="2880" w:hanging="360"/>
      </w:pPr>
      <w:rPr>
        <w:rFonts w:ascii="Symbol" w:hAnsi="Symbol" w:hint="default"/>
      </w:rPr>
    </w:lvl>
    <w:lvl w:ilvl="4" w:tplc="4830D6E4">
      <w:start w:val="1"/>
      <w:numFmt w:val="bullet"/>
      <w:lvlText w:val="o"/>
      <w:lvlJc w:val="left"/>
      <w:pPr>
        <w:ind w:left="3600" w:hanging="360"/>
      </w:pPr>
      <w:rPr>
        <w:rFonts w:ascii="Courier New" w:hAnsi="Courier New" w:hint="default"/>
      </w:rPr>
    </w:lvl>
    <w:lvl w:ilvl="5" w:tplc="7CAC5E08">
      <w:start w:val="1"/>
      <w:numFmt w:val="bullet"/>
      <w:lvlText w:val=""/>
      <w:lvlJc w:val="left"/>
      <w:pPr>
        <w:ind w:left="4320" w:hanging="360"/>
      </w:pPr>
      <w:rPr>
        <w:rFonts w:ascii="Wingdings" w:hAnsi="Wingdings" w:hint="default"/>
      </w:rPr>
    </w:lvl>
    <w:lvl w:ilvl="6" w:tplc="C67CFE80">
      <w:start w:val="1"/>
      <w:numFmt w:val="bullet"/>
      <w:lvlText w:val=""/>
      <w:lvlJc w:val="left"/>
      <w:pPr>
        <w:ind w:left="5040" w:hanging="360"/>
      </w:pPr>
      <w:rPr>
        <w:rFonts w:ascii="Symbol" w:hAnsi="Symbol" w:hint="default"/>
      </w:rPr>
    </w:lvl>
    <w:lvl w:ilvl="7" w:tplc="01AC7F76">
      <w:start w:val="1"/>
      <w:numFmt w:val="bullet"/>
      <w:lvlText w:val="o"/>
      <w:lvlJc w:val="left"/>
      <w:pPr>
        <w:ind w:left="5760" w:hanging="360"/>
      </w:pPr>
      <w:rPr>
        <w:rFonts w:ascii="Courier New" w:hAnsi="Courier New" w:hint="default"/>
      </w:rPr>
    </w:lvl>
    <w:lvl w:ilvl="8" w:tplc="3B42C908">
      <w:start w:val="1"/>
      <w:numFmt w:val="bullet"/>
      <w:lvlText w:val=""/>
      <w:lvlJc w:val="left"/>
      <w:pPr>
        <w:ind w:left="6480" w:hanging="360"/>
      </w:pPr>
      <w:rPr>
        <w:rFonts w:ascii="Wingdings" w:hAnsi="Wingdings" w:hint="default"/>
      </w:rPr>
    </w:lvl>
  </w:abstractNum>
  <w:abstractNum w:abstractNumId="45" w15:restartNumberingAfterBreak="0">
    <w:nsid w:val="724B0425"/>
    <w:multiLevelType w:val="multilevel"/>
    <w:tmpl w:val="1516652E"/>
    <w:lvl w:ilvl="0">
      <w:start w:val="1"/>
      <w:numFmt w:val="decimal"/>
      <w:lvlText w:val="%1."/>
      <w:lvlJc w:val="left"/>
      <w:pPr>
        <w:ind w:left="1069" w:hanging="360"/>
      </w:pPr>
      <w:rPr>
        <w:rFonts w:hint="default"/>
      </w:rPr>
    </w:lvl>
    <w:lvl w:ilvl="1">
      <w:start w:val="1"/>
      <w:numFmt w:val="decimal"/>
      <w:isLgl/>
      <w:lvlText w:val="%1.%2"/>
      <w:lvlJc w:val="left"/>
      <w:pPr>
        <w:ind w:left="1353" w:hanging="360"/>
      </w:pPr>
      <w:rPr>
        <w:rFonts w:hint="default"/>
        <w:b/>
        <w:bCs w:val="0"/>
        <w:sz w:val="22"/>
        <w:szCs w:val="22"/>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46" w15:restartNumberingAfterBreak="0">
    <w:nsid w:val="74442E1F"/>
    <w:multiLevelType w:val="hybridMultilevel"/>
    <w:tmpl w:val="48E85F72"/>
    <w:lvl w:ilvl="0" w:tplc="0A8CF9EC">
      <w:numFmt w:val="bullet"/>
      <w:lvlText w:val=""/>
      <w:lvlJc w:val="left"/>
      <w:pPr>
        <w:ind w:left="102" w:hanging="238"/>
      </w:pPr>
      <w:rPr>
        <w:rFonts w:ascii="Symbol" w:eastAsia="Symbol" w:hAnsi="Symbol" w:cs="Symbol" w:hint="default"/>
        <w:w w:val="100"/>
        <w:sz w:val="15"/>
        <w:szCs w:val="15"/>
        <w:lang w:val="it-IT" w:eastAsia="en-US" w:bidi="ar-SA"/>
      </w:rPr>
    </w:lvl>
    <w:lvl w:ilvl="1" w:tplc="9D88F536">
      <w:numFmt w:val="bullet"/>
      <w:lvlText w:val="•"/>
      <w:lvlJc w:val="left"/>
      <w:pPr>
        <w:ind w:left="234" w:hanging="238"/>
      </w:pPr>
      <w:rPr>
        <w:rFonts w:hint="default"/>
        <w:lang w:val="it-IT" w:eastAsia="en-US" w:bidi="ar-SA"/>
      </w:rPr>
    </w:lvl>
    <w:lvl w:ilvl="2" w:tplc="B56C77C0">
      <w:numFmt w:val="bullet"/>
      <w:lvlText w:val="•"/>
      <w:lvlJc w:val="left"/>
      <w:pPr>
        <w:ind w:left="369" w:hanging="238"/>
      </w:pPr>
      <w:rPr>
        <w:rFonts w:hint="default"/>
        <w:lang w:val="it-IT" w:eastAsia="en-US" w:bidi="ar-SA"/>
      </w:rPr>
    </w:lvl>
    <w:lvl w:ilvl="3" w:tplc="5B1A6042">
      <w:numFmt w:val="bullet"/>
      <w:lvlText w:val="•"/>
      <w:lvlJc w:val="left"/>
      <w:pPr>
        <w:ind w:left="503" w:hanging="238"/>
      </w:pPr>
      <w:rPr>
        <w:rFonts w:hint="default"/>
        <w:lang w:val="it-IT" w:eastAsia="en-US" w:bidi="ar-SA"/>
      </w:rPr>
    </w:lvl>
    <w:lvl w:ilvl="4" w:tplc="3FFC2EEC">
      <w:numFmt w:val="bullet"/>
      <w:lvlText w:val="•"/>
      <w:lvlJc w:val="left"/>
      <w:pPr>
        <w:ind w:left="638" w:hanging="238"/>
      </w:pPr>
      <w:rPr>
        <w:rFonts w:hint="default"/>
        <w:lang w:val="it-IT" w:eastAsia="en-US" w:bidi="ar-SA"/>
      </w:rPr>
    </w:lvl>
    <w:lvl w:ilvl="5" w:tplc="6AE44F4A">
      <w:numFmt w:val="bullet"/>
      <w:lvlText w:val="•"/>
      <w:lvlJc w:val="left"/>
      <w:pPr>
        <w:ind w:left="772" w:hanging="238"/>
      </w:pPr>
      <w:rPr>
        <w:rFonts w:hint="default"/>
        <w:lang w:val="it-IT" w:eastAsia="en-US" w:bidi="ar-SA"/>
      </w:rPr>
    </w:lvl>
    <w:lvl w:ilvl="6" w:tplc="5572706E">
      <w:numFmt w:val="bullet"/>
      <w:lvlText w:val="•"/>
      <w:lvlJc w:val="left"/>
      <w:pPr>
        <w:ind w:left="907" w:hanging="238"/>
      </w:pPr>
      <w:rPr>
        <w:rFonts w:hint="default"/>
        <w:lang w:val="it-IT" w:eastAsia="en-US" w:bidi="ar-SA"/>
      </w:rPr>
    </w:lvl>
    <w:lvl w:ilvl="7" w:tplc="9F3ADCC4">
      <w:numFmt w:val="bullet"/>
      <w:lvlText w:val="•"/>
      <w:lvlJc w:val="left"/>
      <w:pPr>
        <w:ind w:left="1041" w:hanging="238"/>
      </w:pPr>
      <w:rPr>
        <w:rFonts w:hint="default"/>
        <w:lang w:val="it-IT" w:eastAsia="en-US" w:bidi="ar-SA"/>
      </w:rPr>
    </w:lvl>
    <w:lvl w:ilvl="8" w:tplc="0A0A6A3E">
      <w:numFmt w:val="bullet"/>
      <w:lvlText w:val="•"/>
      <w:lvlJc w:val="left"/>
      <w:pPr>
        <w:ind w:left="1176" w:hanging="238"/>
      </w:pPr>
      <w:rPr>
        <w:rFonts w:hint="default"/>
        <w:lang w:val="it-IT" w:eastAsia="en-US" w:bidi="ar-SA"/>
      </w:rPr>
    </w:lvl>
  </w:abstractNum>
  <w:abstractNum w:abstractNumId="47" w15:restartNumberingAfterBreak="0">
    <w:nsid w:val="749E177E"/>
    <w:multiLevelType w:val="hybridMultilevel"/>
    <w:tmpl w:val="C7D008DE"/>
    <w:lvl w:ilvl="0" w:tplc="657247BA">
      <w:numFmt w:val="bullet"/>
      <w:lvlText w:val=""/>
      <w:lvlJc w:val="left"/>
      <w:pPr>
        <w:ind w:left="107" w:hanging="224"/>
      </w:pPr>
      <w:rPr>
        <w:rFonts w:ascii="Symbol" w:eastAsia="Symbol" w:hAnsi="Symbol" w:cs="Symbol" w:hint="default"/>
        <w:w w:val="100"/>
        <w:sz w:val="15"/>
        <w:szCs w:val="15"/>
        <w:lang w:val="it-IT" w:eastAsia="en-US" w:bidi="ar-SA"/>
      </w:rPr>
    </w:lvl>
    <w:lvl w:ilvl="1" w:tplc="3CEC99CE">
      <w:numFmt w:val="bullet"/>
      <w:lvlText w:val="•"/>
      <w:lvlJc w:val="left"/>
      <w:pPr>
        <w:ind w:left="227" w:hanging="224"/>
      </w:pPr>
      <w:rPr>
        <w:rFonts w:hint="default"/>
        <w:lang w:val="it-IT" w:eastAsia="en-US" w:bidi="ar-SA"/>
      </w:rPr>
    </w:lvl>
    <w:lvl w:ilvl="2" w:tplc="0A4C7040">
      <w:numFmt w:val="bullet"/>
      <w:lvlText w:val="•"/>
      <w:lvlJc w:val="left"/>
      <w:pPr>
        <w:ind w:left="355" w:hanging="224"/>
      </w:pPr>
      <w:rPr>
        <w:rFonts w:hint="default"/>
        <w:lang w:val="it-IT" w:eastAsia="en-US" w:bidi="ar-SA"/>
      </w:rPr>
    </w:lvl>
    <w:lvl w:ilvl="3" w:tplc="DD9AE012">
      <w:numFmt w:val="bullet"/>
      <w:lvlText w:val="•"/>
      <w:lvlJc w:val="left"/>
      <w:pPr>
        <w:ind w:left="483" w:hanging="224"/>
      </w:pPr>
      <w:rPr>
        <w:rFonts w:hint="default"/>
        <w:lang w:val="it-IT" w:eastAsia="en-US" w:bidi="ar-SA"/>
      </w:rPr>
    </w:lvl>
    <w:lvl w:ilvl="4" w:tplc="C4C071BA">
      <w:numFmt w:val="bullet"/>
      <w:lvlText w:val="•"/>
      <w:lvlJc w:val="left"/>
      <w:pPr>
        <w:ind w:left="611" w:hanging="224"/>
      </w:pPr>
      <w:rPr>
        <w:rFonts w:hint="default"/>
        <w:lang w:val="it-IT" w:eastAsia="en-US" w:bidi="ar-SA"/>
      </w:rPr>
    </w:lvl>
    <w:lvl w:ilvl="5" w:tplc="46B2AD94">
      <w:numFmt w:val="bullet"/>
      <w:lvlText w:val="•"/>
      <w:lvlJc w:val="left"/>
      <w:pPr>
        <w:ind w:left="739" w:hanging="224"/>
      </w:pPr>
      <w:rPr>
        <w:rFonts w:hint="default"/>
        <w:lang w:val="it-IT" w:eastAsia="en-US" w:bidi="ar-SA"/>
      </w:rPr>
    </w:lvl>
    <w:lvl w:ilvl="6" w:tplc="B680C024">
      <w:numFmt w:val="bullet"/>
      <w:lvlText w:val="•"/>
      <w:lvlJc w:val="left"/>
      <w:pPr>
        <w:ind w:left="867" w:hanging="224"/>
      </w:pPr>
      <w:rPr>
        <w:rFonts w:hint="default"/>
        <w:lang w:val="it-IT" w:eastAsia="en-US" w:bidi="ar-SA"/>
      </w:rPr>
    </w:lvl>
    <w:lvl w:ilvl="7" w:tplc="D4905224">
      <w:numFmt w:val="bullet"/>
      <w:lvlText w:val="•"/>
      <w:lvlJc w:val="left"/>
      <w:pPr>
        <w:ind w:left="995" w:hanging="224"/>
      </w:pPr>
      <w:rPr>
        <w:rFonts w:hint="default"/>
        <w:lang w:val="it-IT" w:eastAsia="en-US" w:bidi="ar-SA"/>
      </w:rPr>
    </w:lvl>
    <w:lvl w:ilvl="8" w:tplc="B0C4DDF0">
      <w:numFmt w:val="bullet"/>
      <w:lvlText w:val="•"/>
      <w:lvlJc w:val="left"/>
      <w:pPr>
        <w:ind w:left="1123" w:hanging="224"/>
      </w:pPr>
      <w:rPr>
        <w:rFonts w:hint="default"/>
        <w:lang w:val="it-IT" w:eastAsia="en-US" w:bidi="ar-SA"/>
      </w:rPr>
    </w:lvl>
  </w:abstractNum>
  <w:abstractNum w:abstractNumId="48" w15:restartNumberingAfterBreak="0">
    <w:nsid w:val="772357EC"/>
    <w:multiLevelType w:val="hybridMultilevel"/>
    <w:tmpl w:val="C4D83D64"/>
    <w:lvl w:ilvl="0" w:tplc="4492E2F8">
      <w:start w:val="6"/>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92E3B51"/>
    <w:multiLevelType w:val="hybridMultilevel"/>
    <w:tmpl w:val="FFFFFFFF"/>
    <w:lvl w:ilvl="0" w:tplc="AA8404CA">
      <w:start w:val="1"/>
      <w:numFmt w:val="bullet"/>
      <w:lvlText w:val="-"/>
      <w:lvlJc w:val="left"/>
      <w:pPr>
        <w:ind w:left="1080" w:hanging="360"/>
      </w:pPr>
      <w:rPr>
        <w:rFonts w:ascii="Calibri" w:hAnsi="Calibri" w:hint="default"/>
      </w:rPr>
    </w:lvl>
    <w:lvl w:ilvl="1" w:tplc="F1CE0BB6">
      <w:start w:val="1"/>
      <w:numFmt w:val="bullet"/>
      <w:lvlText w:val="o"/>
      <w:lvlJc w:val="left"/>
      <w:pPr>
        <w:ind w:left="1800" w:hanging="360"/>
      </w:pPr>
      <w:rPr>
        <w:rFonts w:ascii="Courier New" w:hAnsi="Courier New" w:hint="default"/>
      </w:rPr>
    </w:lvl>
    <w:lvl w:ilvl="2" w:tplc="BD68B534">
      <w:start w:val="1"/>
      <w:numFmt w:val="bullet"/>
      <w:lvlText w:val=""/>
      <w:lvlJc w:val="left"/>
      <w:pPr>
        <w:ind w:left="2520" w:hanging="360"/>
      </w:pPr>
      <w:rPr>
        <w:rFonts w:ascii="Wingdings" w:hAnsi="Wingdings" w:hint="default"/>
      </w:rPr>
    </w:lvl>
    <w:lvl w:ilvl="3" w:tplc="11486D4A">
      <w:start w:val="1"/>
      <w:numFmt w:val="bullet"/>
      <w:lvlText w:val=""/>
      <w:lvlJc w:val="left"/>
      <w:pPr>
        <w:ind w:left="3240" w:hanging="360"/>
      </w:pPr>
      <w:rPr>
        <w:rFonts w:ascii="Symbol" w:hAnsi="Symbol" w:hint="default"/>
      </w:rPr>
    </w:lvl>
    <w:lvl w:ilvl="4" w:tplc="49665066">
      <w:start w:val="1"/>
      <w:numFmt w:val="bullet"/>
      <w:lvlText w:val="o"/>
      <w:lvlJc w:val="left"/>
      <w:pPr>
        <w:ind w:left="3960" w:hanging="360"/>
      </w:pPr>
      <w:rPr>
        <w:rFonts w:ascii="Courier New" w:hAnsi="Courier New" w:hint="default"/>
      </w:rPr>
    </w:lvl>
    <w:lvl w:ilvl="5" w:tplc="BDBEB44C">
      <w:start w:val="1"/>
      <w:numFmt w:val="bullet"/>
      <w:lvlText w:val=""/>
      <w:lvlJc w:val="left"/>
      <w:pPr>
        <w:ind w:left="4680" w:hanging="360"/>
      </w:pPr>
      <w:rPr>
        <w:rFonts w:ascii="Wingdings" w:hAnsi="Wingdings" w:hint="default"/>
      </w:rPr>
    </w:lvl>
    <w:lvl w:ilvl="6" w:tplc="582E4570">
      <w:start w:val="1"/>
      <w:numFmt w:val="bullet"/>
      <w:lvlText w:val=""/>
      <w:lvlJc w:val="left"/>
      <w:pPr>
        <w:ind w:left="5400" w:hanging="360"/>
      </w:pPr>
      <w:rPr>
        <w:rFonts w:ascii="Symbol" w:hAnsi="Symbol" w:hint="default"/>
      </w:rPr>
    </w:lvl>
    <w:lvl w:ilvl="7" w:tplc="5888C182">
      <w:start w:val="1"/>
      <w:numFmt w:val="bullet"/>
      <w:lvlText w:val="o"/>
      <w:lvlJc w:val="left"/>
      <w:pPr>
        <w:ind w:left="6120" w:hanging="360"/>
      </w:pPr>
      <w:rPr>
        <w:rFonts w:ascii="Courier New" w:hAnsi="Courier New" w:hint="default"/>
      </w:rPr>
    </w:lvl>
    <w:lvl w:ilvl="8" w:tplc="1AB60CDE">
      <w:start w:val="1"/>
      <w:numFmt w:val="bullet"/>
      <w:lvlText w:val=""/>
      <w:lvlJc w:val="left"/>
      <w:pPr>
        <w:ind w:left="6840" w:hanging="360"/>
      </w:pPr>
      <w:rPr>
        <w:rFonts w:ascii="Wingdings" w:hAnsi="Wingdings" w:hint="default"/>
      </w:rPr>
    </w:lvl>
  </w:abstractNum>
  <w:abstractNum w:abstractNumId="50" w15:restartNumberingAfterBreak="0">
    <w:nsid w:val="79B13C02"/>
    <w:multiLevelType w:val="hybridMultilevel"/>
    <w:tmpl w:val="8D0EEB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33871474">
    <w:abstractNumId w:val="26"/>
  </w:num>
  <w:num w:numId="2" w16cid:durableId="275916356">
    <w:abstractNumId w:val="29"/>
  </w:num>
  <w:num w:numId="3" w16cid:durableId="1208369495">
    <w:abstractNumId w:val="9"/>
  </w:num>
  <w:num w:numId="4" w16cid:durableId="857936985">
    <w:abstractNumId w:val="12"/>
  </w:num>
  <w:num w:numId="5" w16cid:durableId="404227275">
    <w:abstractNumId w:val="47"/>
  </w:num>
  <w:num w:numId="6" w16cid:durableId="1218978778">
    <w:abstractNumId w:val="46"/>
  </w:num>
  <w:num w:numId="7" w16cid:durableId="102384435">
    <w:abstractNumId w:val="11"/>
  </w:num>
  <w:num w:numId="8" w16cid:durableId="2079017792">
    <w:abstractNumId w:val="14"/>
  </w:num>
  <w:num w:numId="9" w16cid:durableId="2098212511">
    <w:abstractNumId w:val="15"/>
  </w:num>
  <w:num w:numId="10" w16cid:durableId="2005009721">
    <w:abstractNumId w:val="5"/>
  </w:num>
  <w:num w:numId="11" w16cid:durableId="1110589985">
    <w:abstractNumId w:val="18"/>
  </w:num>
  <w:num w:numId="12" w16cid:durableId="1859346227">
    <w:abstractNumId w:val="36"/>
  </w:num>
  <w:num w:numId="13" w16cid:durableId="1186749235">
    <w:abstractNumId w:val="37"/>
  </w:num>
  <w:num w:numId="14" w16cid:durableId="1355769998">
    <w:abstractNumId w:val="1"/>
  </w:num>
  <w:num w:numId="15" w16cid:durableId="1626501772">
    <w:abstractNumId w:val="6"/>
  </w:num>
  <w:num w:numId="16" w16cid:durableId="2077699093">
    <w:abstractNumId w:val="43"/>
  </w:num>
  <w:num w:numId="17" w16cid:durableId="557594293">
    <w:abstractNumId w:val="35"/>
  </w:num>
  <w:num w:numId="18" w16cid:durableId="1591742153">
    <w:abstractNumId w:val="13"/>
  </w:num>
  <w:num w:numId="19" w16cid:durableId="677851154">
    <w:abstractNumId w:val="30"/>
  </w:num>
  <w:num w:numId="20" w16cid:durableId="1241283423">
    <w:abstractNumId w:val="20"/>
  </w:num>
  <w:num w:numId="21" w16cid:durableId="432172627">
    <w:abstractNumId w:val="27"/>
  </w:num>
  <w:num w:numId="22" w16cid:durableId="1625767913">
    <w:abstractNumId w:val="0"/>
  </w:num>
  <w:num w:numId="23" w16cid:durableId="2007396868">
    <w:abstractNumId w:val="21"/>
  </w:num>
  <w:num w:numId="24" w16cid:durableId="1811435638">
    <w:abstractNumId w:val="4"/>
  </w:num>
  <w:num w:numId="25" w16cid:durableId="2037654121">
    <w:abstractNumId w:val="39"/>
  </w:num>
  <w:num w:numId="26" w16cid:durableId="895624476">
    <w:abstractNumId w:val="28"/>
  </w:num>
  <w:num w:numId="27" w16cid:durableId="1644119348">
    <w:abstractNumId w:val="41"/>
  </w:num>
  <w:num w:numId="28" w16cid:durableId="25832774">
    <w:abstractNumId w:val="32"/>
  </w:num>
  <w:num w:numId="29" w16cid:durableId="1094012214">
    <w:abstractNumId w:val="24"/>
  </w:num>
  <w:num w:numId="30" w16cid:durableId="1274247500">
    <w:abstractNumId w:val="8"/>
  </w:num>
  <w:num w:numId="31" w16cid:durableId="1487818029">
    <w:abstractNumId w:val="25"/>
  </w:num>
  <w:num w:numId="32" w16cid:durableId="131484081">
    <w:abstractNumId w:val="33"/>
  </w:num>
  <w:num w:numId="33" w16cid:durableId="633367732">
    <w:abstractNumId w:val="22"/>
  </w:num>
  <w:num w:numId="34" w16cid:durableId="1157647297">
    <w:abstractNumId w:val="2"/>
  </w:num>
  <w:num w:numId="35" w16cid:durableId="1734113046">
    <w:abstractNumId w:val="38"/>
  </w:num>
  <w:num w:numId="36" w16cid:durableId="1346050989">
    <w:abstractNumId w:val="16"/>
  </w:num>
  <w:num w:numId="37" w16cid:durableId="1241863643">
    <w:abstractNumId w:val="48"/>
  </w:num>
  <w:num w:numId="38" w16cid:durableId="844978095">
    <w:abstractNumId w:val="10"/>
  </w:num>
  <w:num w:numId="39" w16cid:durableId="1941645266">
    <w:abstractNumId w:val="23"/>
  </w:num>
  <w:num w:numId="40" w16cid:durableId="873228142">
    <w:abstractNumId w:val="45"/>
  </w:num>
  <w:num w:numId="41" w16cid:durableId="2131363861">
    <w:abstractNumId w:val="49"/>
  </w:num>
  <w:num w:numId="42" w16cid:durableId="1206020155">
    <w:abstractNumId w:val="17"/>
  </w:num>
  <w:num w:numId="43" w16cid:durableId="2120490640">
    <w:abstractNumId w:val="44"/>
  </w:num>
  <w:num w:numId="44" w16cid:durableId="60641806">
    <w:abstractNumId w:val="50"/>
  </w:num>
  <w:num w:numId="45" w16cid:durableId="1524783108">
    <w:abstractNumId w:val="40"/>
  </w:num>
  <w:num w:numId="46" w16cid:durableId="1024214380">
    <w:abstractNumId w:val="19"/>
  </w:num>
  <w:num w:numId="47" w16cid:durableId="36898800">
    <w:abstractNumId w:val="34"/>
  </w:num>
  <w:num w:numId="48" w16cid:durableId="739600610">
    <w:abstractNumId w:val="31"/>
  </w:num>
  <w:num w:numId="49" w16cid:durableId="27608830">
    <w:abstractNumId w:val="42"/>
  </w:num>
  <w:num w:numId="50" w16cid:durableId="1007246207">
    <w:abstractNumId w:val="7"/>
  </w:num>
  <w:num w:numId="51" w16cid:durableId="1495800005">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CF6"/>
    <w:rsid w:val="00001B74"/>
    <w:rsid w:val="00007BD4"/>
    <w:rsid w:val="000106F6"/>
    <w:rsid w:val="00011AA8"/>
    <w:rsid w:val="00011C05"/>
    <w:rsid w:val="0001211F"/>
    <w:rsid w:val="00014436"/>
    <w:rsid w:val="000146B8"/>
    <w:rsid w:val="000147CE"/>
    <w:rsid w:val="0001480C"/>
    <w:rsid w:val="000149A7"/>
    <w:rsid w:val="00015111"/>
    <w:rsid w:val="0001730A"/>
    <w:rsid w:val="00020220"/>
    <w:rsid w:val="0002296B"/>
    <w:rsid w:val="000258EC"/>
    <w:rsid w:val="00027079"/>
    <w:rsid w:val="0003038B"/>
    <w:rsid w:val="00030C3E"/>
    <w:rsid w:val="00032391"/>
    <w:rsid w:val="00034D26"/>
    <w:rsid w:val="000351D5"/>
    <w:rsid w:val="00036380"/>
    <w:rsid w:val="00037713"/>
    <w:rsid w:val="000377E5"/>
    <w:rsid w:val="00040C85"/>
    <w:rsid w:val="00047951"/>
    <w:rsid w:val="00050AA3"/>
    <w:rsid w:val="00050B6D"/>
    <w:rsid w:val="00051702"/>
    <w:rsid w:val="00055F2A"/>
    <w:rsid w:val="000560F4"/>
    <w:rsid w:val="00057BF5"/>
    <w:rsid w:val="0006042D"/>
    <w:rsid w:val="000608D0"/>
    <w:rsid w:val="00061DAA"/>
    <w:rsid w:val="00061EF6"/>
    <w:rsid w:val="00063183"/>
    <w:rsid w:val="0006437D"/>
    <w:rsid w:val="00064861"/>
    <w:rsid w:val="0006560B"/>
    <w:rsid w:val="00066B0F"/>
    <w:rsid w:val="00076566"/>
    <w:rsid w:val="00084694"/>
    <w:rsid w:val="00085BD3"/>
    <w:rsid w:val="00085C4C"/>
    <w:rsid w:val="00086276"/>
    <w:rsid w:val="00091290"/>
    <w:rsid w:val="00091B09"/>
    <w:rsid w:val="00092AA3"/>
    <w:rsid w:val="00093BEB"/>
    <w:rsid w:val="00094497"/>
    <w:rsid w:val="00094C8C"/>
    <w:rsid w:val="00096BAD"/>
    <w:rsid w:val="000A2517"/>
    <w:rsid w:val="000A435A"/>
    <w:rsid w:val="000A4737"/>
    <w:rsid w:val="000A5932"/>
    <w:rsid w:val="000A612D"/>
    <w:rsid w:val="000B05EB"/>
    <w:rsid w:val="000B5A54"/>
    <w:rsid w:val="000C05C6"/>
    <w:rsid w:val="000C0AAC"/>
    <w:rsid w:val="000C0FAE"/>
    <w:rsid w:val="000D1387"/>
    <w:rsid w:val="000D4362"/>
    <w:rsid w:val="000D4FDD"/>
    <w:rsid w:val="000D5722"/>
    <w:rsid w:val="000D6E2A"/>
    <w:rsid w:val="000E1B04"/>
    <w:rsid w:val="000E2B42"/>
    <w:rsid w:val="000E2E23"/>
    <w:rsid w:val="000E49E5"/>
    <w:rsid w:val="000E4DD7"/>
    <w:rsid w:val="000E5BEC"/>
    <w:rsid w:val="000E6BC3"/>
    <w:rsid w:val="000E7D95"/>
    <w:rsid w:val="000E7E2D"/>
    <w:rsid w:val="000F2BF5"/>
    <w:rsid w:val="000F3D0C"/>
    <w:rsid w:val="000F49E2"/>
    <w:rsid w:val="000F52C7"/>
    <w:rsid w:val="001004A2"/>
    <w:rsid w:val="00101E0D"/>
    <w:rsid w:val="00101FC0"/>
    <w:rsid w:val="001126D3"/>
    <w:rsid w:val="00112F48"/>
    <w:rsid w:val="00113FDD"/>
    <w:rsid w:val="00114E3A"/>
    <w:rsid w:val="0011650B"/>
    <w:rsid w:val="00116792"/>
    <w:rsid w:val="001203CB"/>
    <w:rsid w:val="001215C4"/>
    <w:rsid w:val="001230B6"/>
    <w:rsid w:val="001276F2"/>
    <w:rsid w:val="00132D9D"/>
    <w:rsid w:val="00134F5B"/>
    <w:rsid w:val="001359C2"/>
    <w:rsid w:val="00136388"/>
    <w:rsid w:val="0014102C"/>
    <w:rsid w:val="0014153F"/>
    <w:rsid w:val="001459A4"/>
    <w:rsid w:val="001461C3"/>
    <w:rsid w:val="00146618"/>
    <w:rsid w:val="001475D4"/>
    <w:rsid w:val="00150B54"/>
    <w:rsid w:val="00151109"/>
    <w:rsid w:val="00152362"/>
    <w:rsid w:val="00152F76"/>
    <w:rsid w:val="00156719"/>
    <w:rsid w:val="00156BB8"/>
    <w:rsid w:val="00160FE9"/>
    <w:rsid w:val="00161E4B"/>
    <w:rsid w:val="0016267A"/>
    <w:rsid w:val="001650FB"/>
    <w:rsid w:val="001655E5"/>
    <w:rsid w:val="00167742"/>
    <w:rsid w:val="0016780C"/>
    <w:rsid w:val="00171257"/>
    <w:rsid w:val="0017375D"/>
    <w:rsid w:val="00173A46"/>
    <w:rsid w:val="0017689D"/>
    <w:rsid w:val="001804B4"/>
    <w:rsid w:val="00185863"/>
    <w:rsid w:val="0018631F"/>
    <w:rsid w:val="00191673"/>
    <w:rsid w:val="00191B6C"/>
    <w:rsid w:val="00194903"/>
    <w:rsid w:val="001A0B59"/>
    <w:rsid w:val="001A110B"/>
    <w:rsid w:val="001A2227"/>
    <w:rsid w:val="001A43A0"/>
    <w:rsid w:val="001A46BA"/>
    <w:rsid w:val="001A495C"/>
    <w:rsid w:val="001A61C3"/>
    <w:rsid w:val="001A6AF7"/>
    <w:rsid w:val="001B1350"/>
    <w:rsid w:val="001B217D"/>
    <w:rsid w:val="001B32F9"/>
    <w:rsid w:val="001B65B1"/>
    <w:rsid w:val="001B6AC7"/>
    <w:rsid w:val="001C05FD"/>
    <w:rsid w:val="001C064C"/>
    <w:rsid w:val="001C0C26"/>
    <w:rsid w:val="001C45DB"/>
    <w:rsid w:val="001C48F8"/>
    <w:rsid w:val="001C4D31"/>
    <w:rsid w:val="001C4EDD"/>
    <w:rsid w:val="001C5E14"/>
    <w:rsid w:val="001C5E6A"/>
    <w:rsid w:val="001D0729"/>
    <w:rsid w:val="001D08FA"/>
    <w:rsid w:val="001D1EE1"/>
    <w:rsid w:val="001D2668"/>
    <w:rsid w:val="001D4AF8"/>
    <w:rsid w:val="001E161C"/>
    <w:rsid w:val="001E255A"/>
    <w:rsid w:val="001E2C7C"/>
    <w:rsid w:val="001E3A24"/>
    <w:rsid w:val="001E4CD7"/>
    <w:rsid w:val="001E7C61"/>
    <w:rsid w:val="001F0C8F"/>
    <w:rsid w:val="001F0DC6"/>
    <w:rsid w:val="001F1BF6"/>
    <w:rsid w:val="001F4B4C"/>
    <w:rsid w:val="001F585A"/>
    <w:rsid w:val="0020032D"/>
    <w:rsid w:val="00202B62"/>
    <w:rsid w:val="00204101"/>
    <w:rsid w:val="00207B2F"/>
    <w:rsid w:val="00207BC6"/>
    <w:rsid w:val="00210491"/>
    <w:rsid w:val="00211BB9"/>
    <w:rsid w:val="00212423"/>
    <w:rsid w:val="00213E71"/>
    <w:rsid w:val="00214FCC"/>
    <w:rsid w:val="0021502E"/>
    <w:rsid w:val="00215769"/>
    <w:rsid w:val="00215F66"/>
    <w:rsid w:val="002160A4"/>
    <w:rsid w:val="00220FE8"/>
    <w:rsid w:val="002224B3"/>
    <w:rsid w:val="002237B6"/>
    <w:rsid w:val="0022432D"/>
    <w:rsid w:val="002260F0"/>
    <w:rsid w:val="0022681B"/>
    <w:rsid w:val="002271AB"/>
    <w:rsid w:val="00227415"/>
    <w:rsid w:val="002309D7"/>
    <w:rsid w:val="00230D41"/>
    <w:rsid w:val="002312B9"/>
    <w:rsid w:val="002323A6"/>
    <w:rsid w:val="00233B00"/>
    <w:rsid w:val="00233E17"/>
    <w:rsid w:val="00234088"/>
    <w:rsid w:val="002372A9"/>
    <w:rsid w:val="0024125E"/>
    <w:rsid w:val="00241D7F"/>
    <w:rsid w:val="002428EE"/>
    <w:rsid w:val="00246BF6"/>
    <w:rsid w:val="002470D0"/>
    <w:rsid w:val="0025081F"/>
    <w:rsid w:val="002517A2"/>
    <w:rsid w:val="00253432"/>
    <w:rsid w:val="00260EDA"/>
    <w:rsid w:val="00261140"/>
    <w:rsid w:val="00261F0C"/>
    <w:rsid w:val="00262F04"/>
    <w:rsid w:val="0026328C"/>
    <w:rsid w:val="00263C69"/>
    <w:rsid w:val="0026452E"/>
    <w:rsid w:val="00267473"/>
    <w:rsid w:val="00267F0A"/>
    <w:rsid w:val="00271672"/>
    <w:rsid w:val="00271E7F"/>
    <w:rsid w:val="00272FC1"/>
    <w:rsid w:val="002736C3"/>
    <w:rsid w:val="00274660"/>
    <w:rsid w:val="00275E0B"/>
    <w:rsid w:val="0028159B"/>
    <w:rsid w:val="00281B25"/>
    <w:rsid w:val="00282FBC"/>
    <w:rsid w:val="002833E7"/>
    <w:rsid w:val="00290E5F"/>
    <w:rsid w:val="002914BD"/>
    <w:rsid w:val="0029265B"/>
    <w:rsid w:val="002934FE"/>
    <w:rsid w:val="002961D1"/>
    <w:rsid w:val="00296EF4"/>
    <w:rsid w:val="00297B69"/>
    <w:rsid w:val="002A31CC"/>
    <w:rsid w:val="002A4366"/>
    <w:rsid w:val="002A54F8"/>
    <w:rsid w:val="002A6A35"/>
    <w:rsid w:val="002A72A8"/>
    <w:rsid w:val="002B2AFC"/>
    <w:rsid w:val="002B2C55"/>
    <w:rsid w:val="002B30BB"/>
    <w:rsid w:val="002B37DB"/>
    <w:rsid w:val="002C248A"/>
    <w:rsid w:val="002C35D3"/>
    <w:rsid w:val="002C360A"/>
    <w:rsid w:val="002C55EA"/>
    <w:rsid w:val="002C7D8A"/>
    <w:rsid w:val="002D0D9C"/>
    <w:rsid w:val="002D12A3"/>
    <w:rsid w:val="002D12D5"/>
    <w:rsid w:val="002D13BD"/>
    <w:rsid w:val="002D270E"/>
    <w:rsid w:val="002D31A7"/>
    <w:rsid w:val="002D7555"/>
    <w:rsid w:val="002E06AC"/>
    <w:rsid w:val="002E0F37"/>
    <w:rsid w:val="002E1880"/>
    <w:rsid w:val="002E1D89"/>
    <w:rsid w:val="002E2083"/>
    <w:rsid w:val="002E4CB4"/>
    <w:rsid w:val="002E6433"/>
    <w:rsid w:val="002E6AE7"/>
    <w:rsid w:val="002F009B"/>
    <w:rsid w:val="002F1AFE"/>
    <w:rsid w:val="002F2189"/>
    <w:rsid w:val="002F49E7"/>
    <w:rsid w:val="002F6D6A"/>
    <w:rsid w:val="002F7088"/>
    <w:rsid w:val="002F7F1C"/>
    <w:rsid w:val="0030576F"/>
    <w:rsid w:val="00306D47"/>
    <w:rsid w:val="00307A1B"/>
    <w:rsid w:val="00310329"/>
    <w:rsid w:val="00311760"/>
    <w:rsid w:val="00311ABC"/>
    <w:rsid w:val="003143C5"/>
    <w:rsid w:val="00314613"/>
    <w:rsid w:val="003161D0"/>
    <w:rsid w:val="003163D0"/>
    <w:rsid w:val="00316B82"/>
    <w:rsid w:val="00320642"/>
    <w:rsid w:val="00321AF5"/>
    <w:rsid w:val="00321E41"/>
    <w:rsid w:val="003228AF"/>
    <w:rsid w:val="0033158F"/>
    <w:rsid w:val="003322D7"/>
    <w:rsid w:val="0033577D"/>
    <w:rsid w:val="00336328"/>
    <w:rsid w:val="00336A4D"/>
    <w:rsid w:val="003374A5"/>
    <w:rsid w:val="00337D6D"/>
    <w:rsid w:val="003429C7"/>
    <w:rsid w:val="00343B22"/>
    <w:rsid w:val="003453DD"/>
    <w:rsid w:val="00346AFB"/>
    <w:rsid w:val="00346E6C"/>
    <w:rsid w:val="0035113D"/>
    <w:rsid w:val="00351F22"/>
    <w:rsid w:val="00352E3C"/>
    <w:rsid w:val="00354656"/>
    <w:rsid w:val="00356FC3"/>
    <w:rsid w:val="00356FC6"/>
    <w:rsid w:val="00360729"/>
    <w:rsid w:val="00363302"/>
    <w:rsid w:val="00363851"/>
    <w:rsid w:val="0036551D"/>
    <w:rsid w:val="00366087"/>
    <w:rsid w:val="003667A9"/>
    <w:rsid w:val="00373B3F"/>
    <w:rsid w:val="00375203"/>
    <w:rsid w:val="00375C52"/>
    <w:rsid w:val="00377FA6"/>
    <w:rsid w:val="00380AF8"/>
    <w:rsid w:val="00381658"/>
    <w:rsid w:val="00382BD3"/>
    <w:rsid w:val="00383AE1"/>
    <w:rsid w:val="00383C12"/>
    <w:rsid w:val="0038469F"/>
    <w:rsid w:val="0038641E"/>
    <w:rsid w:val="0039489E"/>
    <w:rsid w:val="0039568B"/>
    <w:rsid w:val="00396654"/>
    <w:rsid w:val="003A0DA3"/>
    <w:rsid w:val="003A2C98"/>
    <w:rsid w:val="003A70A0"/>
    <w:rsid w:val="003B13C3"/>
    <w:rsid w:val="003B23C3"/>
    <w:rsid w:val="003C00FF"/>
    <w:rsid w:val="003C0B3D"/>
    <w:rsid w:val="003C0CA6"/>
    <w:rsid w:val="003C5C5D"/>
    <w:rsid w:val="003C5F81"/>
    <w:rsid w:val="003C6147"/>
    <w:rsid w:val="003D0191"/>
    <w:rsid w:val="003D03FA"/>
    <w:rsid w:val="003D1ABF"/>
    <w:rsid w:val="003D2851"/>
    <w:rsid w:val="003D47F4"/>
    <w:rsid w:val="003D4A4A"/>
    <w:rsid w:val="003D7B8D"/>
    <w:rsid w:val="003E0DC8"/>
    <w:rsid w:val="003E0E78"/>
    <w:rsid w:val="003E2769"/>
    <w:rsid w:val="003E3FE2"/>
    <w:rsid w:val="003E495D"/>
    <w:rsid w:val="003E5039"/>
    <w:rsid w:val="003E75AB"/>
    <w:rsid w:val="003F1226"/>
    <w:rsid w:val="003F1973"/>
    <w:rsid w:val="003F280B"/>
    <w:rsid w:val="003F4634"/>
    <w:rsid w:val="003F7525"/>
    <w:rsid w:val="003F7577"/>
    <w:rsid w:val="003F7923"/>
    <w:rsid w:val="00400992"/>
    <w:rsid w:val="0040178C"/>
    <w:rsid w:val="00402440"/>
    <w:rsid w:val="004066E0"/>
    <w:rsid w:val="00411A9C"/>
    <w:rsid w:val="00411BB3"/>
    <w:rsid w:val="00415088"/>
    <w:rsid w:val="00415D8A"/>
    <w:rsid w:val="00416700"/>
    <w:rsid w:val="004216ED"/>
    <w:rsid w:val="00423014"/>
    <w:rsid w:val="0042490F"/>
    <w:rsid w:val="00424E12"/>
    <w:rsid w:val="00427536"/>
    <w:rsid w:val="004309DC"/>
    <w:rsid w:val="00430A4D"/>
    <w:rsid w:val="00433C5E"/>
    <w:rsid w:val="00435F63"/>
    <w:rsid w:val="00440D86"/>
    <w:rsid w:val="00443355"/>
    <w:rsid w:val="00450021"/>
    <w:rsid w:val="00451B5D"/>
    <w:rsid w:val="00457714"/>
    <w:rsid w:val="004577BC"/>
    <w:rsid w:val="00460239"/>
    <w:rsid w:val="0046059F"/>
    <w:rsid w:val="00461B5D"/>
    <w:rsid w:val="00463EB5"/>
    <w:rsid w:val="00465615"/>
    <w:rsid w:val="004668FD"/>
    <w:rsid w:val="00470C9E"/>
    <w:rsid w:val="004737A3"/>
    <w:rsid w:val="00474D5D"/>
    <w:rsid w:val="00475854"/>
    <w:rsid w:val="004809C6"/>
    <w:rsid w:val="00480BEA"/>
    <w:rsid w:val="0048562E"/>
    <w:rsid w:val="00486697"/>
    <w:rsid w:val="00491830"/>
    <w:rsid w:val="0049409E"/>
    <w:rsid w:val="0049436D"/>
    <w:rsid w:val="00494BA4"/>
    <w:rsid w:val="00495608"/>
    <w:rsid w:val="004A07FF"/>
    <w:rsid w:val="004A2B1C"/>
    <w:rsid w:val="004A2BCA"/>
    <w:rsid w:val="004A2F6C"/>
    <w:rsid w:val="004A43EF"/>
    <w:rsid w:val="004B0884"/>
    <w:rsid w:val="004B0C76"/>
    <w:rsid w:val="004B1BCC"/>
    <w:rsid w:val="004B28CB"/>
    <w:rsid w:val="004B3079"/>
    <w:rsid w:val="004B3982"/>
    <w:rsid w:val="004B5416"/>
    <w:rsid w:val="004B5B4A"/>
    <w:rsid w:val="004B6091"/>
    <w:rsid w:val="004C1146"/>
    <w:rsid w:val="004C19F8"/>
    <w:rsid w:val="004C246B"/>
    <w:rsid w:val="004C3BCA"/>
    <w:rsid w:val="004C462F"/>
    <w:rsid w:val="004C532A"/>
    <w:rsid w:val="004D033C"/>
    <w:rsid w:val="004D1411"/>
    <w:rsid w:val="004D17FE"/>
    <w:rsid w:val="004D3053"/>
    <w:rsid w:val="004D42AE"/>
    <w:rsid w:val="004D4A81"/>
    <w:rsid w:val="004D4B00"/>
    <w:rsid w:val="004D6B98"/>
    <w:rsid w:val="004D72A0"/>
    <w:rsid w:val="004E2F48"/>
    <w:rsid w:val="004F1766"/>
    <w:rsid w:val="004F29CA"/>
    <w:rsid w:val="004F335F"/>
    <w:rsid w:val="004F457B"/>
    <w:rsid w:val="004F4B10"/>
    <w:rsid w:val="004F4B41"/>
    <w:rsid w:val="0050059F"/>
    <w:rsid w:val="0050311B"/>
    <w:rsid w:val="005032F3"/>
    <w:rsid w:val="00504B9C"/>
    <w:rsid w:val="005067BE"/>
    <w:rsid w:val="00507EB5"/>
    <w:rsid w:val="00507F10"/>
    <w:rsid w:val="005107D2"/>
    <w:rsid w:val="00511486"/>
    <w:rsid w:val="005118B9"/>
    <w:rsid w:val="00512336"/>
    <w:rsid w:val="005136C4"/>
    <w:rsid w:val="005140B8"/>
    <w:rsid w:val="00514491"/>
    <w:rsid w:val="00514A2C"/>
    <w:rsid w:val="0051603E"/>
    <w:rsid w:val="005163F3"/>
    <w:rsid w:val="00517E9A"/>
    <w:rsid w:val="00522231"/>
    <w:rsid w:val="00522A36"/>
    <w:rsid w:val="005240B5"/>
    <w:rsid w:val="005241AF"/>
    <w:rsid w:val="00527CA7"/>
    <w:rsid w:val="005324E4"/>
    <w:rsid w:val="005333B0"/>
    <w:rsid w:val="00534315"/>
    <w:rsid w:val="00535709"/>
    <w:rsid w:val="0053584A"/>
    <w:rsid w:val="00535934"/>
    <w:rsid w:val="00535FC2"/>
    <w:rsid w:val="005376DF"/>
    <w:rsid w:val="005439DC"/>
    <w:rsid w:val="0054628A"/>
    <w:rsid w:val="00546DDB"/>
    <w:rsid w:val="005476CF"/>
    <w:rsid w:val="00547DB7"/>
    <w:rsid w:val="00553551"/>
    <w:rsid w:val="00553FA9"/>
    <w:rsid w:val="005567C3"/>
    <w:rsid w:val="00557235"/>
    <w:rsid w:val="005579AA"/>
    <w:rsid w:val="00560D98"/>
    <w:rsid w:val="005624D2"/>
    <w:rsid w:val="0056353D"/>
    <w:rsid w:val="00564768"/>
    <w:rsid w:val="0057151B"/>
    <w:rsid w:val="00571759"/>
    <w:rsid w:val="00572B50"/>
    <w:rsid w:val="0057390A"/>
    <w:rsid w:val="0057586D"/>
    <w:rsid w:val="005816BA"/>
    <w:rsid w:val="005848CE"/>
    <w:rsid w:val="00585E1F"/>
    <w:rsid w:val="00586510"/>
    <w:rsid w:val="00587D4F"/>
    <w:rsid w:val="00590125"/>
    <w:rsid w:val="005940AB"/>
    <w:rsid w:val="00594312"/>
    <w:rsid w:val="00594476"/>
    <w:rsid w:val="00594D09"/>
    <w:rsid w:val="00597697"/>
    <w:rsid w:val="005A223A"/>
    <w:rsid w:val="005B03EB"/>
    <w:rsid w:val="005B1DAB"/>
    <w:rsid w:val="005B1EAC"/>
    <w:rsid w:val="005B2411"/>
    <w:rsid w:val="005B59ED"/>
    <w:rsid w:val="005B5B10"/>
    <w:rsid w:val="005C27D6"/>
    <w:rsid w:val="005C2D5B"/>
    <w:rsid w:val="005C3DA7"/>
    <w:rsid w:val="005D02EA"/>
    <w:rsid w:val="005D3EA6"/>
    <w:rsid w:val="005D46B4"/>
    <w:rsid w:val="005D63F4"/>
    <w:rsid w:val="005D7378"/>
    <w:rsid w:val="005D794D"/>
    <w:rsid w:val="005E052B"/>
    <w:rsid w:val="005E086B"/>
    <w:rsid w:val="005E0D33"/>
    <w:rsid w:val="005E26B1"/>
    <w:rsid w:val="005E4366"/>
    <w:rsid w:val="005E4394"/>
    <w:rsid w:val="005E5313"/>
    <w:rsid w:val="005F27B9"/>
    <w:rsid w:val="005F2A15"/>
    <w:rsid w:val="005F50D2"/>
    <w:rsid w:val="005F5AF3"/>
    <w:rsid w:val="005F5F54"/>
    <w:rsid w:val="005F61A3"/>
    <w:rsid w:val="005F7096"/>
    <w:rsid w:val="00601667"/>
    <w:rsid w:val="00601E1A"/>
    <w:rsid w:val="006033DC"/>
    <w:rsid w:val="00604F8C"/>
    <w:rsid w:val="00605073"/>
    <w:rsid w:val="00605657"/>
    <w:rsid w:val="00605F9F"/>
    <w:rsid w:val="006072DA"/>
    <w:rsid w:val="00610DBB"/>
    <w:rsid w:val="00612449"/>
    <w:rsid w:val="0061285B"/>
    <w:rsid w:val="006144A0"/>
    <w:rsid w:val="00617D71"/>
    <w:rsid w:val="006215D3"/>
    <w:rsid w:val="00621816"/>
    <w:rsid w:val="00622031"/>
    <w:rsid w:val="006232DE"/>
    <w:rsid w:val="006238E8"/>
    <w:rsid w:val="00624AE6"/>
    <w:rsid w:val="00624CD7"/>
    <w:rsid w:val="00631EA1"/>
    <w:rsid w:val="006332C3"/>
    <w:rsid w:val="0063391F"/>
    <w:rsid w:val="00633DB3"/>
    <w:rsid w:val="00635C82"/>
    <w:rsid w:val="006403A4"/>
    <w:rsid w:val="00640422"/>
    <w:rsid w:val="00641199"/>
    <w:rsid w:val="00641BB4"/>
    <w:rsid w:val="006430A7"/>
    <w:rsid w:val="00647671"/>
    <w:rsid w:val="00647F33"/>
    <w:rsid w:val="006510BE"/>
    <w:rsid w:val="00654A16"/>
    <w:rsid w:val="00655083"/>
    <w:rsid w:val="00657119"/>
    <w:rsid w:val="006637C5"/>
    <w:rsid w:val="006653E9"/>
    <w:rsid w:val="00667231"/>
    <w:rsid w:val="00667425"/>
    <w:rsid w:val="00670052"/>
    <w:rsid w:val="006701D2"/>
    <w:rsid w:val="0067173D"/>
    <w:rsid w:val="00671FC6"/>
    <w:rsid w:val="006728F8"/>
    <w:rsid w:val="00672CC3"/>
    <w:rsid w:val="006738F6"/>
    <w:rsid w:val="0067450B"/>
    <w:rsid w:val="00674568"/>
    <w:rsid w:val="00674666"/>
    <w:rsid w:val="006746EE"/>
    <w:rsid w:val="0067716A"/>
    <w:rsid w:val="00680505"/>
    <w:rsid w:val="0068202B"/>
    <w:rsid w:val="00683238"/>
    <w:rsid w:val="0068354E"/>
    <w:rsid w:val="00683F73"/>
    <w:rsid w:val="00686DB1"/>
    <w:rsid w:val="00687DF8"/>
    <w:rsid w:val="006904FA"/>
    <w:rsid w:val="006948DA"/>
    <w:rsid w:val="00695910"/>
    <w:rsid w:val="00697B28"/>
    <w:rsid w:val="006A1E52"/>
    <w:rsid w:val="006A1F94"/>
    <w:rsid w:val="006A212F"/>
    <w:rsid w:val="006A2DC2"/>
    <w:rsid w:val="006A3716"/>
    <w:rsid w:val="006A3A97"/>
    <w:rsid w:val="006B0E8B"/>
    <w:rsid w:val="006B2B70"/>
    <w:rsid w:val="006B2C76"/>
    <w:rsid w:val="006B647F"/>
    <w:rsid w:val="006B669B"/>
    <w:rsid w:val="006C0E81"/>
    <w:rsid w:val="006C1EBB"/>
    <w:rsid w:val="006C4334"/>
    <w:rsid w:val="006C456C"/>
    <w:rsid w:val="006C4732"/>
    <w:rsid w:val="006C53ED"/>
    <w:rsid w:val="006C74BF"/>
    <w:rsid w:val="006D0440"/>
    <w:rsid w:val="006D3D98"/>
    <w:rsid w:val="006D49C4"/>
    <w:rsid w:val="006E0204"/>
    <w:rsid w:val="006E137F"/>
    <w:rsid w:val="006E2AF5"/>
    <w:rsid w:val="006E2C0B"/>
    <w:rsid w:val="006E4761"/>
    <w:rsid w:val="006E4A54"/>
    <w:rsid w:val="006E7592"/>
    <w:rsid w:val="006F1768"/>
    <w:rsid w:val="006F23D5"/>
    <w:rsid w:val="006F4488"/>
    <w:rsid w:val="006F58C1"/>
    <w:rsid w:val="006F62F6"/>
    <w:rsid w:val="006F67AF"/>
    <w:rsid w:val="006F6E70"/>
    <w:rsid w:val="0070394B"/>
    <w:rsid w:val="00705378"/>
    <w:rsid w:val="007104B4"/>
    <w:rsid w:val="00710C50"/>
    <w:rsid w:val="00714BBB"/>
    <w:rsid w:val="007158F3"/>
    <w:rsid w:val="007202BC"/>
    <w:rsid w:val="00721C27"/>
    <w:rsid w:val="007223F4"/>
    <w:rsid w:val="0072299E"/>
    <w:rsid w:val="00722A42"/>
    <w:rsid w:val="00722C12"/>
    <w:rsid w:val="0072615E"/>
    <w:rsid w:val="007264FF"/>
    <w:rsid w:val="007273C8"/>
    <w:rsid w:val="00732D1C"/>
    <w:rsid w:val="0073552C"/>
    <w:rsid w:val="007365D0"/>
    <w:rsid w:val="007411AB"/>
    <w:rsid w:val="00742236"/>
    <w:rsid w:val="00745495"/>
    <w:rsid w:val="00747AD4"/>
    <w:rsid w:val="0075220F"/>
    <w:rsid w:val="00754236"/>
    <w:rsid w:val="00756F9B"/>
    <w:rsid w:val="00757709"/>
    <w:rsid w:val="0076022C"/>
    <w:rsid w:val="00761394"/>
    <w:rsid w:val="00762B3D"/>
    <w:rsid w:val="00764394"/>
    <w:rsid w:val="007674B5"/>
    <w:rsid w:val="00772EED"/>
    <w:rsid w:val="00773BFB"/>
    <w:rsid w:val="00781F55"/>
    <w:rsid w:val="00782575"/>
    <w:rsid w:val="00782B92"/>
    <w:rsid w:val="007838D2"/>
    <w:rsid w:val="007844BF"/>
    <w:rsid w:val="0078503F"/>
    <w:rsid w:val="00787A86"/>
    <w:rsid w:val="007916BD"/>
    <w:rsid w:val="00791DD9"/>
    <w:rsid w:val="007924F5"/>
    <w:rsid w:val="00793951"/>
    <w:rsid w:val="00793F3F"/>
    <w:rsid w:val="00794510"/>
    <w:rsid w:val="00795474"/>
    <w:rsid w:val="00795F49"/>
    <w:rsid w:val="0079613B"/>
    <w:rsid w:val="00796CEF"/>
    <w:rsid w:val="007A1C46"/>
    <w:rsid w:val="007A20B2"/>
    <w:rsid w:val="007A456B"/>
    <w:rsid w:val="007B1587"/>
    <w:rsid w:val="007B2395"/>
    <w:rsid w:val="007B72C9"/>
    <w:rsid w:val="007B79FB"/>
    <w:rsid w:val="007B7D08"/>
    <w:rsid w:val="007C0179"/>
    <w:rsid w:val="007C18A0"/>
    <w:rsid w:val="007C4DE6"/>
    <w:rsid w:val="007C6FD9"/>
    <w:rsid w:val="007C725D"/>
    <w:rsid w:val="007D11C8"/>
    <w:rsid w:val="007D14B1"/>
    <w:rsid w:val="007D37FB"/>
    <w:rsid w:val="007D57AE"/>
    <w:rsid w:val="007E15EC"/>
    <w:rsid w:val="007E3322"/>
    <w:rsid w:val="007E4596"/>
    <w:rsid w:val="007E4797"/>
    <w:rsid w:val="007E6785"/>
    <w:rsid w:val="007E7693"/>
    <w:rsid w:val="007F00B0"/>
    <w:rsid w:val="007F03B1"/>
    <w:rsid w:val="007F2569"/>
    <w:rsid w:val="007F3D5D"/>
    <w:rsid w:val="007F4044"/>
    <w:rsid w:val="007F4CBD"/>
    <w:rsid w:val="007F77EF"/>
    <w:rsid w:val="007F7F16"/>
    <w:rsid w:val="00801D97"/>
    <w:rsid w:val="00804E47"/>
    <w:rsid w:val="00805AE3"/>
    <w:rsid w:val="00807330"/>
    <w:rsid w:val="008107B6"/>
    <w:rsid w:val="00814993"/>
    <w:rsid w:val="00816166"/>
    <w:rsid w:val="008166CE"/>
    <w:rsid w:val="00817388"/>
    <w:rsid w:val="008173F0"/>
    <w:rsid w:val="00821350"/>
    <w:rsid w:val="00821F3E"/>
    <w:rsid w:val="00823934"/>
    <w:rsid w:val="00823D0A"/>
    <w:rsid w:val="008249A0"/>
    <w:rsid w:val="00827270"/>
    <w:rsid w:val="00830082"/>
    <w:rsid w:val="00833D29"/>
    <w:rsid w:val="0083588A"/>
    <w:rsid w:val="00836C11"/>
    <w:rsid w:val="00841D92"/>
    <w:rsid w:val="00841E5C"/>
    <w:rsid w:val="008422ED"/>
    <w:rsid w:val="008445D4"/>
    <w:rsid w:val="00844E54"/>
    <w:rsid w:val="008464FF"/>
    <w:rsid w:val="00850D27"/>
    <w:rsid w:val="00852774"/>
    <w:rsid w:val="008530C5"/>
    <w:rsid w:val="00856780"/>
    <w:rsid w:val="00856E6E"/>
    <w:rsid w:val="00857AFC"/>
    <w:rsid w:val="008610D4"/>
    <w:rsid w:val="00865BD1"/>
    <w:rsid w:val="008747D7"/>
    <w:rsid w:val="0087538A"/>
    <w:rsid w:val="00875717"/>
    <w:rsid w:val="0087744D"/>
    <w:rsid w:val="00877EF7"/>
    <w:rsid w:val="0088234D"/>
    <w:rsid w:val="0088555A"/>
    <w:rsid w:val="00890150"/>
    <w:rsid w:val="00890B91"/>
    <w:rsid w:val="00896DF7"/>
    <w:rsid w:val="008A013C"/>
    <w:rsid w:val="008A1607"/>
    <w:rsid w:val="008A393E"/>
    <w:rsid w:val="008A450E"/>
    <w:rsid w:val="008A48B2"/>
    <w:rsid w:val="008A5A81"/>
    <w:rsid w:val="008A6A86"/>
    <w:rsid w:val="008B0F3E"/>
    <w:rsid w:val="008B1FDF"/>
    <w:rsid w:val="008B302D"/>
    <w:rsid w:val="008B52BB"/>
    <w:rsid w:val="008B7A85"/>
    <w:rsid w:val="008C060A"/>
    <w:rsid w:val="008C1726"/>
    <w:rsid w:val="008C3017"/>
    <w:rsid w:val="008C37C2"/>
    <w:rsid w:val="008C480F"/>
    <w:rsid w:val="008C48F3"/>
    <w:rsid w:val="008D0C66"/>
    <w:rsid w:val="008D1000"/>
    <w:rsid w:val="008D2644"/>
    <w:rsid w:val="008D2D3D"/>
    <w:rsid w:val="008D4E37"/>
    <w:rsid w:val="008E109E"/>
    <w:rsid w:val="008E2A0E"/>
    <w:rsid w:val="008E3461"/>
    <w:rsid w:val="008E4392"/>
    <w:rsid w:val="008E61C2"/>
    <w:rsid w:val="008E7F59"/>
    <w:rsid w:val="008F04D2"/>
    <w:rsid w:val="008F1707"/>
    <w:rsid w:val="008F179C"/>
    <w:rsid w:val="008F19C7"/>
    <w:rsid w:val="008F1B39"/>
    <w:rsid w:val="008F24A5"/>
    <w:rsid w:val="00901C2D"/>
    <w:rsid w:val="00902822"/>
    <w:rsid w:val="00902A4B"/>
    <w:rsid w:val="00902FCF"/>
    <w:rsid w:val="00903BE8"/>
    <w:rsid w:val="00903CE3"/>
    <w:rsid w:val="009063FF"/>
    <w:rsid w:val="00906FA0"/>
    <w:rsid w:val="0091122B"/>
    <w:rsid w:val="00911A21"/>
    <w:rsid w:val="00913461"/>
    <w:rsid w:val="00913F91"/>
    <w:rsid w:val="00917BF3"/>
    <w:rsid w:val="0092026B"/>
    <w:rsid w:val="009210B0"/>
    <w:rsid w:val="00921565"/>
    <w:rsid w:val="00922E60"/>
    <w:rsid w:val="00924FE7"/>
    <w:rsid w:val="009256CA"/>
    <w:rsid w:val="00926039"/>
    <w:rsid w:val="0092622B"/>
    <w:rsid w:val="00926416"/>
    <w:rsid w:val="0093074C"/>
    <w:rsid w:val="0093149B"/>
    <w:rsid w:val="00931934"/>
    <w:rsid w:val="009340F2"/>
    <w:rsid w:val="00934AE7"/>
    <w:rsid w:val="009355FB"/>
    <w:rsid w:val="00940C96"/>
    <w:rsid w:val="00941610"/>
    <w:rsid w:val="00941B41"/>
    <w:rsid w:val="00944D4D"/>
    <w:rsid w:val="009453DC"/>
    <w:rsid w:val="00951B03"/>
    <w:rsid w:val="00955600"/>
    <w:rsid w:val="00960EA8"/>
    <w:rsid w:val="00961305"/>
    <w:rsid w:val="00961896"/>
    <w:rsid w:val="00963B8A"/>
    <w:rsid w:val="00964642"/>
    <w:rsid w:val="00964AF7"/>
    <w:rsid w:val="009650E0"/>
    <w:rsid w:val="009671C5"/>
    <w:rsid w:val="00971D92"/>
    <w:rsid w:val="00973772"/>
    <w:rsid w:val="009739C2"/>
    <w:rsid w:val="00973A27"/>
    <w:rsid w:val="00976EAC"/>
    <w:rsid w:val="00977210"/>
    <w:rsid w:val="009811F8"/>
    <w:rsid w:val="00986CFF"/>
    <w:rsid w:val="00987123"/>
    <w:rsid w:val="00987455"/>
    <w:rsid w:val="00987AD8"/>
    <w:rsid w:val="0099086E"/>
    <w:rsid w:val="009969B7"/>
    <w:rsid w:val="009976B8"/>
    <w:rsid w:val="009A2F32"/>
    <w:rsid w:val="009A40E9"/>
    <w:rsid w:val="009A5AF8"/>
    <w:rsid w:val="009A61F9"/>
    <w:rsid w:val="009B0F10"/>
    <w:rsid w:val="009B0F7A"/>
    <w:rsid w:val="009B1AD3"/>
    <w:rsid w:val="009B36A1"/>
    <w:rsid w:val="009B69EA"/>
    <w:rsid w:val="009B7333"/>
    <w:rsid w:val="009B7E2B"/>
    <w:rsid w:val="009C0428"/>
    <w:rsid w:val="009C092A"/>
    <w:rsid w:val="009C216D"/>
    <w:rsid w:val="009C45BA"/>
    <w:rsid w:val="009C738B"/>
    <w:rsid w:val="009D0566"/>
    <w:rsid w:val="009D59CF"/>
    <w:rsid w:val="009D6727"/>
    <w:rsid w:val="009D6B73"/>
    <w:rsid w:val="009E0725"/>
    <w:rsid w:val="009E29FB"/>
    <w:rsid w:val="009E45B8"/>
    <w:rsid w:val="009E6199"/>
    <w:rsid w:val="009E7529"/>
    <w:rsid w:val="009E786C"/>
    <w:rsid w:val="009F0269"/>
    <w:rsid w:val="009F36C5"/>
    <w:rsid w:val="009F5423"/>
    <w:rsid w:val="009F62F7"/>
    <w:rsid w:val="009F67F6"/>
    <w:rsid w:val="009F6DD0"/>
    <w:rsid w:val="009F72A5"/>
    <w:rsid w:val="009F774D"/>
    <w:rsid w:val="00A001E6"/>
    <w:rsid w:val="00A01969"/>
    <w:rsid w:val="00A01EEB"/>
    <w:rsid w:val="00A02C24"/>
    <w:rsid w:val="00A030FB"/>
    <w:rsid w:val="00A0588E"/>
    <w:rsid w:val="00A05BCD"/>
    <w:rsid w:val="00A11BCF"/>
    <w:rsid w:val="00A12A65"/>
    <w:rsid w:val="00A1429E"/>
    <w:rsid w:val="00A157A2"/>
    <w:rsid w:val="00A16285"/>
    <w:rsid w:val="00A16766"/>
    <w:rsid w:val="00A2120F"/>
    <w:rsid w:val="00A24ED6"/>
    <w:rsid w:val="00A26A87"/>
    <w:rsid w:val="00A34ADB"/>
    <w:rsid w:val="00A366F1"/>
    <w:rsid w:val="00A40917"/>
    <w:rsid w:val="00A40EB7"/>
    <w:rsid w:val="00A411CA"/>
    <w:rsid w:val="00A4124F"/>
    <w:rsid w:val="00A525CD"/>
    <w:rsid w:val="00A53342"/>
    <w:rsid w:val="00A56A2A"/>
    <w:rsid w:val="00A62EB6"/>
    <w:rsid w:val="00A6429D"/>
    <w:rsid w:val="00A64405"/>
    <w:rsid w:val="00A71BFF"/>
    <w:rsid w:val="00A731C3"/>
    <w:rsid w:val="00A742F1"/>
    <w:rsid w:val="00A7503F"/>
    <w:rsid w:val="00A7587D"/>
    <w:rsid w:val="00A75A76"/>
    <w:rsid w:val="00A75ABE"/>
    <w:rsid w:val="00A80555"/>
    <w:rsid w:val="00A835CD"/>
    <w:rsid w:val="00A840CE"/>
    <w:rsid w:val="00A854BC"/>
    <w:rsid w:val="00A8690A"/>
    <w:rsid w:val="00A91AE2"/>
    <w:rsid w:val="00A91FAC"/>
    <w:rsid w:val="00A925D4"/>
    <w:rsid w:val="00A92751"/>
    <w:rsid w:val="00AA06A0"/>
    <w:rsid w:val="00AA1A17"/>
    <w:rsid w:val="00AA41E7"/>
    <w:rsid w:val="00AA42A7"/>
    <w:rsid w:val="00AA5A13"/>
    <w:rsid w:val="00AA5D8E"/>
    <w:rsid w:val="00AA606F"/>
    <w:rsid w:val="00AA7D8D"/>
    <w:rsid w:val="00AB2CA5"/>
    <w:rsid w:val="00AB3E66"/>
    <w:rsid w:val="00AB4953"/>
    <w:rsid w:val="00AB4E58"/>
    <w:rsid w:val="00AC489C"/>
    <w:rsid w:val="00AC59AF"/>
    <w:rsid w:val="00AC5D2E"/>
    <w:rsid w:val="00AC72E2"/>
    <w:rsid w:val="00AD10AB"/>
    <w:rsid w:val="00AD1203"/>
    <w:rsid w:val="00AD27D7"/>
    <w:rsid w:val="00AD2978"/>
    <w:rsid w:val="00AE0F64"/>
    <w:rsid w:val="00AE115B"/>
    <w:rsid w:val="00AE17F5"/>
    <w:rsid w:val="00AE31A5"/>
    <w:rsid w:val="00AE4F08"/>
    <w:rsid w:val="00AE73A6"/>
    <w:rsid w:val="00AE7A08"/>
    <w:rsid w:val="00AF074D"/>
    <w:rsid w:val="00AF0C88"/>
    <w:rsid w:val="00AF30FB"/>
    <w:rsid w:val="00AF40E6"/>
    <w:rsid w:val="00AF6C0E"/>
    <w:rsid w:val="00AF6D6E"/>
    <w:rsid w:val="00B01249"/>
    <w:rsid w:val="00B01C02"/>
    <w:rsid w:val="00B0645F"/>
    <w:rsid w:val="00B06D20"/>
    <w:rsid w:val="00B103F7"/>
    <w:rsid w:val="00B1093B"/>
    <w:rsid w:val="00B13BC6"/>
    <w:rsid w:val="00B13CDF"/>
    <w:rsid w:val="00B14716"/>
    <w:rsid w:val="00B15337"/>
    <w:rsid w:val="00B15C97"/>
    <w:rsid w:val="00B175C7"/>
    <w:rsid w:val="00B20FDC"/>
    <w:rsid w:val="00B2395D"/>
    <w:rsid w:val="00B304AE"/>
    <w:rsid w:val="00B30C23"/>
    <w:rsid w:val="00B342E4"/>
    <w:rsid w:val="00B34DF4"/>
    <w:rsid w:val="00B401DF"/>
    <w:rsid w:val="00B40BF6"/>
    <w:rsid w:val="00B417DB"/>
    <w:rsid w:val="00B41E2F"/>
    <w:rsid w:val="00B4310D"/>
    <w:rsid w:val="00B44A46"/>
    <w:rsid w:val="00B51BC8"/>
    <w:rsid w:val="00B549EE"/>
    <w:rsid w:val="00B56DD3"/>
    <w:rsid w:val="00B56F8B"/>
    <w:rsid w:val="00B6024A"/>
    <w:rsid w:val="00B6099E"/>
    <w:rsid w:val="00B64509"/>
    <w:rsid w:val="00B6542E"/>
    <w:rsid w:val="00B671AF"/>
    <w:rsid w:val="00B71CE4"/>
    <w:rsid w:val="00B72151"/>
    <w:rsid w:val="00B76429"/>
    <w:rsid w:val="00B77AC9"/>
    <w:rsid w:val="00B81B92"/>
    <w:rsid w:val="00B8216D"/>
    <w:rsid w:val="00B83650"/>
    <w:rsid w:val="00B8572F"/>
    <w:rsid w:val="00B86E11"/>
    <w:rsid w:val="00B908AF"/>
    <w:rsid w:val="00B91F52"/>
    <w:rsid w:val="00B92938"/>
    <w:rsid w:val="00B934E4"/>
    <w:rsid w:val="00B958FD"/>
    <w:rsid w:val="00B970C1"/>
    <w:rsid w:val="00BA132E"/>
    <w:rsid w:val="00BA2C89"/>
    <w:rsid w:val="00BA6BE2"/>
    <w:rsid w:val="00BB16F2"/>
    <w:rsid w:val="00BB363A"/>
    <w:rsid w:val="00BB5574"/>
    <w:rsid w:val="00BB59A4"/>
    <w:rsid w:val="00BC0717"/>
    <w:rsid w:val="00BC2CD5"/>
    <w:rsid w:val="00BC4E26"/>
    <w:rsid w:val="00BC587B"/>
    <w:rsid w:val="00BC5A8D"/>
    <w:rsid w:val="00BC6001"/>
    <w:rsid w:val="00BC695F"/>
    <w:rsid w:val="00BD31BD"/>
    <w:rsid w:val="00BD3C0F"/>
    <w:rsid w:val="00BD48A1"/>
    <w:rsid w:val="00BD4FF0"/>
    <w:rsid w:val="00BD5414"/>
    <w:rsid w:val="00BE4671"/>
    <w:rsid w:val="00BE5B53"/>
    <w:rsid w:val="00BE7A7A"/>
    <w:rsid w:val="00BE7B22"/>
    <w:rsid w:val="00BF01F1"/>
    <w:rsid w:val="00BF0500"/>
    <w:rsid w:val="00BF3EEE"/>
    <w:rsid w:val="00C007AC"/>
    <w:rsid w:val="00C00936"/>
    <w:rsid w:val="00C02FD3"/>
    <w:rsid w:val="00C035B6"/>
    <w:rsid w:val="00C064F3"/>
    <w:rsid w:val="00C06E28"/>
    <w:rsid w:val="00C115FC"/>
    <w:rsid w:val="00C11FBA"/>
    <w:rsid w:val="00C12C58"/>
    <w:rsid w:val="00C13F4B"/>
    <w:rsid w:val="00C16C2E"/>
    <w:rsid w:val="00C171F8"/>
    <w:rsid w:val="00C17A02"/>
    <w:rsid w:val="00C20DA3"/>
    <w:rsid w:val="00C212E7"/>
    <w:rsid w:val="00C2230F"/>
    <w:rsid w:val="00C23616"/>
    <w:rsid w:val="00C256D2"/>
    <w:rsid w:val="00C26270"/>
    <w:rsid w:val="00C2697A"/>
    <w:rsid w:val="00C26F46"/>
    <w:rsid w:val="00C32C05"/>
    <w:rsid w:val="00C33E78"/>
    <w:rsid w:val="00C33F87"/>
    <w:rsid w:val="00C347AB"/>
    <w:rsid w:val="00C4051B"/>
    <w:rsid w:val="00C406EC"/>
    <w:rsid w:val="00C40891"/>
    <w:rsid w:val="00C4565A"/>
    <w:rsid w:val="00C50C06"/>
    <w:rsid w:val="00C50C59"/>
    <w:rsid w:val="00C54A31"/>
    <w:rsid w:val="00C558FE"/>
    <w:rsid w:val="00C55BB6"/>
    <w:rsid w:val="00C57C92"/>
    <w:rsid w:val="00C623A0"/>
    <w:rsid w:val="00C62D70"/>
    <w:rsid w:val="00C63E47"/>
    <w:rsid w:val="00C66F49"/>
    <w:rsid w:val="00C7419A"/>
    <w:rsid w:val="00C74E44"/>
    <w:rsid w:val="00C76145"/>
    <w:rsid w:val="00C77E38"/>
    <w:rsid w:val="00C83156"/>
    <w:rsid w:val="00C8319D"/>
    <w:rsid w:val="00C83340"/>
    <w:rsid w:val="00C84978"/>
    <w:rsid w:val="00C84B97"/>
    <w:rsid w:val="00C84C24"/>
    <w:rsid w:val="00C852A0"/>
    <w:rsid w:val="00C854F1"/>
    <w:rsid w:val="00C85B72"/>
    <w:rsid w:val="00C87184"/>
    <w:rsid w:val="00C928BE"/>
    <w:rsid w:val="00C92CBD"/>
    <w:rsid w:val="00C93685"/>
    <w:rsid w:val="00C944AD"/>
    <w:rsid w:val="00C9534B"/>
    <w:rsid w:val="00C95D28"/>
    <w:rsid w:val="00C97FE8"/>
    <w:rsid w:val="00CA0439"/>
    <w:rsid w:val="00CA0639"/>
    <w:rsid w:val="00CA0E4A"/>
    <w:rsid w:val="00CA0EC7"/>
    <w:rsid w:val="00CA285A"/>
    <w:rsid w:val="00CA2CC0"/>
    <w:rsid w:val="00CA2DED"/>
    <w:rsid w:val="00CA688A"/>
    <w:rsid w:val="00CA6E28"/>
    <w:rsid w:val="00CA7EFC"/>
    <w:rsid w:val="00CB0B6B"/>
    <w:rsid w:val="00CB28C0"/>
    <w:rsid w:val="00CB399B"/>
    <w:rsid w:val="00CB4ADB"/>
    <w:rsid w:val="00CB5F21"/>
    <w:rsid w:val="00CB6039"/>
    <w:rsid w:val="00CB78F1"/>
    <w:rsid w:val="00CB7943"/>
    <w:rsid w:val="00CC4FF5"/>
    <w:rsid w:val="00CC5A95"/>
    <w:rsid w:val="00CC5F0C"/>
    <w:rsid w:val="00CD1FE7"/>
    <w:rsid w:val="00CD2302"/>
    <w:rsid w:val="00CD2FC6"/>
    <w:rsid w:val="00CD45FA"/>
    <w:rsid w:val="00CD655E"/>
    <w:rsid w:val="00CD6E6B"/>
    <w:rsid w:val="00CE1B3E"/>
    <w:rsid w:val="00CE2900"/>
    <w:rsid w:val="00CE2A23"/>
    <w:rsid w:val="00CE5009"/>
    <w:rsid w:val="00CE684D"/>
    <w:rsid w:val="00CE68D8"/>
    <w:rsid w:val="00CE69C2"/>
    <w:rsid w:val="00CE754B"/>
    <w:rsid w:val="00CF18EA"/>
    <w:rsid w:val="00CF238D"/>
    <w:rsid w:val="00CF2840"/>
    <w:rsid w:val="00CF2AA6"/>
    <w:rsid w:val="00CF53C7"/>
    <w:rsid w:val="00D0098A"/>
    <w:rsid w:val="00D0200A"/>
    <w:rsid w:val="00D02044"/>
    <w:rsid w:val="00D02ECC"/>
    <w:rsid w:val="00D039EE"/>
    <w:rsid w:val="00D03F19"/>
    <w:rsid w:val="00D04216"/>
    <w:rsid w:val="00D11482"/>
    <w:rsid w:val="00D12E3D"/>
    <w:rsid w:val="00D14B66"/>
    <w:rsid w:val="00D17C64"/>
    <w:rsid w:val="00D21637"/>
    <w:rsid w:val="00D21E23"/>
    <w:rsid w:val="00D22BE3"/>
    <w:rsid w:val="00D22E01"/>
    <w:rsid w:val="00D3668D"/>
    <w:rsid w:val="00D36CB1"/>
    <w:rsid w:val="00D37084"/>
    <w:rsid w:val="00D41EB1"/>
    <w:rsid w:val="00D448AC"/>
    <w:rsid w:val="00D514DD"/>
    <w:rsid w:val="00D563E2"/>
    <w:rsid w:val="00D56C39"/>
    <w:rsid w:val="00D60DB3"/>
    <w:rsid w:val="00D62A69"/>
    <w:rsid w:val="00D646D9"/>
    <w:rsid w:val="00D64C4D"/>
    <w:rsid w:val="00D6556C"/>
    <w:rsid w:val="00D66C14"/>
    <w:rsid w:val="00D66EAE"/>
    <w:rsid w:val="00D70ACA"/>
    <w:rsid w:val="00D73752"/>
    <w:rsid w:val="00D740C6"/>
    <w:rsid w:val="00D74A4A"/>
    <w:rsid w:val="00D74C1A"/>
    <w:rsid w:val="00D75B01"/>
    <w:rsid w:val="00D75FA3"/>
    <w:rsid w:val="00D76C27"/>
    <w:rsid w:val="00D77EE0"/>
    <w:rsid w:val="00D84328"/>
    <w:rsid w:val="00D87C8F"/>
    <w:rsid w:val="00D90479"/>
    <w:rsid w:val="00D92332"/>
    <w:rsid w:val="00D9557D"/>
    <w:rsid w:val="00D96752"/>
    <w:rsid w:val="00D96CB8"/>
    <w:rsid w:val="00DA454F"/>
    <w:rsid w:val="00DA6D53"/>
    <w:rsid w:val="00DB4F92"/>
    <w:rsid w:val="00DB6059"/>
    <w:rsid w:val="00DC13B5"/>
    <w:rsid w:val="00DC2AE7"/>
    <w:rsid w:val="00DC3C5D"/>
    <w:rsid w:val="00DC5645"/>
    <w:rsid w:val="00DC5673"/>
    <w:rsid w:val="00DC6F12"/>
    <w:rsid w:val="00DC7A6B"/>
    <w:rsid w:val="00DC7EC4"/>
    <w:rsid w:val="00DD13D3"/>
    <w:rsid w:val="00DD1D82"/>
    <w:rsid w:val="00DD28DC"/>
    <w:rsid w:val="00DD33D9"/>
    <w:rsid w:val="00DD4800"/>
    <w:rsid w:val="00DD51CA"/>
    <w:rsid w:val="00DD6129"/>
    <w:rsid w:val="00DE4041"/>
    <w:rsid w:val="00DE491D"/>
    <w:rsid w:val="00DE52FB"/>
    <w:rsid w:val="00DE6984"/>
    <w:rsid w:val="00DF0519"/>
    <w:rsid w:val="00DF34A6"/>
    <w:rsid w:val="00DF6442"/>
    <w:rsid w:val="00DF6BC2"/>
    <w:rsid w:val="00DF7C7D"/>
    <w:rsid w:val="00E005DA"/>
    <w:rsid w:val="00E0250B"/>
    <w:rsid w:val="00E05951"/>
    <w:rsid w:val="00E115DB"/>
    <w:rsid w:val="00E133F7"/>
    <w:rsid w:val="00E14173"/>
    <w:rsid w:val="00E149C8"/>
    <w:rsid w:val="00E15521"/>
    <w:rsid w:val="00E15D99"/>
    <w:rsid w:val="00E1683C"/>
    <w:rsid w:val="00E16901"/>
    <w:rsid w:val="00E20DEB"/>
    <w:rsid w:val="00E211BE"/>
    <w:rsid w:val="00E213E7"/>
    <w:rsid w:val="00E214FD"/>
    <w:rsid w:val="00E22AB9"/>
    <w:rsid w:val="00E22CF6"/>
    <w:rsid w:val="00E238D8"/>
    <w:rsid w:val="00E24368"/>
    <w:rsid w:val="00E247DE"/>
    <w:rsid w:val="00E254BB"/>
    <w:rsid w:val="00E303CD"/>
    <w:rsid w:val="00E30C15"/>
    <w:rsid w:val="00E30DD6"/>
    <w:rsid w:val="00E34C52"/>
    <w:rsid w:val="00E35FA8"/>
    <w:rsid w:val="00E3673B"/>
    <w:rsid w:val="00E425BB"/>
    <w:rsid w:val="00E432F9"/>
    <w:rsid w:val="00E43AA5"/>
    <w:rsid w:val="00E43D2E"/>
    <w:rsid w:val="00E440BA"/>
    <w:rsid w:val="00E44746"/>
    <w:rsid w:val="00E47416"/>
    <w:rsid w:val="00E477E4"/>
    <w:rsid w:val="00E51088"/>
    <w:rsid w:val="00E5162B"/>
    <w:rsid w:val="00E53191"/>
    <w:rsid w:val="00E55BD2"/>
    <w:rsid w:val="00E61079"/>
    <w:rsid w:val="00E61E91"/>
    <w:rsid w:val="00E62A60"/>
    <w:rsid w:val="00E62F28"/>
    <w:rsid w:val="00E63CDF"/>
    <w:rsid w:val="00E64A03"/>
    <w:rsid w:val="00E662DE"/>
    <w:rsid w:val="00E66B05"/>
    <w:rsid w:val="00E7049F"/>
    <w:rsid w:val="00E7738A"/>
    <w:rsid w:val="00E776F3"/>
    <w:rsid w:val="00E80D13"/>
    <w:rsid w:val="00E82BF5"/>
    <w:rsid w:val="00E87531"/>
    <w:rsid w:val="00E90F85"/>
    <w:rsid w:val="00E95743"/>
    <w:rsid w:val="00E959B2"/>
    <w:rsid w:val="00E95DB6"/>
    <w:rsid w:val="00EA05AB"/>
    <w:rsid w:val="00EA2963"/>
    <w:rsid w:val="00EA30AE"/>
    <w:rsid w:val="00EA3111"/>
    <w:rsid w:val="00EA31DE"/>
    <w:rsid w:val="00EA3B60"/>
    <w:rsid w:val="00EA6FC3"/>
    <w:rsid w:val="00EA737B"/>
    <w:rsid w:val="00EA7C2D"/>
    <w:rsid w:val="00EB4E4F"/>
    <w:rsid w:val="00EB4ECF"/>
    <w:rsid w:val="00EB55FF"/>
    <w:rsid w:val="00EC2532"/>
    <w:rsid w:val="00EC3F9F"/>
    <w:rsid w:val="00EC6682"/>
    <w:rsid w:val="00ED7509"/>
    <w:rsid w:val="00ED75A1"/>
    <w:rsid w:val="00EE63CA"/>
    <w:rsid w:val="00EE6611"/>
    <w:rsid w:val="00EE7238"/>
    <w:rsid w:val="00EF0174"/>
    <w:rsid w:val="00EF6828"/>
    <w:rsid w:val="00F01275"/>
    <w:rsid w:val="00F01863"/>
    <w:rsid w:val="00F01AB5"/>
    <w:rsid w:val="00F03B49"/>
    <w:rsid w:val="00F04810"/>
    <w:rsid w:val="00F11261"/>
    <w:rsid w:val="00F11D59"/>
    <w:rsid w:val="00F130A3"/>
    <w:rsid w:val="00F132B2"/>
    <w:rsid w:val="00F14AC6"/>
    <w:rsid w:val="00F14B4B"/>
    <w:rsid w:val="00F15727"/>
    <w:rsid w:val="00F16634"/>
    <w:rsid w:val="00F22B53"/>
    <w:rsid w:val="00F234AA"/>
    <w:rsid w:val="00F2369A"/>
    <w:rsid w:val="00F26CD2"/>
    <w:rsid w:val="00F27C35"/>
    <w:rsid w:val="00F27F93"/>
    <w:rsid w:val="00F320EA"/>
    <w:rsid w:val="00F32E0D"/>
    <w:rsid w:val="00F337AD"/>
    <w:rsid w:val="00F33AB6"/>
    <w:rsid w:val="00F33CB6"/>
    <w:rsid w:val="00F3655C"/>
    <w:rsid w:val="00F36834"/>
    <w:rsid w:val="00F36E54"/>
    <w:rsid w:val="00F440E2"/>
    <w:rsid w:val="00F449BA"/>
    <w:rsid w:val="00F45D24"/>
    <w:rsid w:val="00F46032"/>
    <w:rsid w:val="00F50110"/>
    <w:rsid w:val="00F50FDE"/>
    <w:rsid w:val="00F5161F"/>
    <w:rsid w:val="00F51A89"/>
    <w:rsid w:val="00F55280"/>
    <w:rsid w:val="00F56779"/>
    <w:rsid w:val="00F6354B"/>
    <w:rsid w:val="00F63715"/>
    <w:rsid w:val="00F64298"/>
    <w:rsid w:val="00F64F98"/>
    <w:rsid w:val="00F653D0"/>
    <w:rsid w:val="00F758D2"/>
    <w:rsid w:val="00F75E5D"/>
    <w:rsid w:val="00F7711E"/>
    <w:rsid w:val="00F77AEB"/>
    <w:rsid w:val="00F81C9F"/>
    <w:rsid w:val="00F85F4D"/>
    <w:rsid w:val="00F913AA"/>
    <w:rsid w:val="00F92A66"/>
    <w:rsid w:val="00F947CA"/>
    <w:rsid w:val="00F95294"/>
    <w:rsid w:val="00F9651C"/>
    <w:rsid w:val="00F97E00"/>
    <w:rsid w:val="00FA4C31"/>
    <w:rsid w:val="00FA5B39"/>
    <w:rsid w:val="00FA6EAC"/>
    <w:rsid w:val="00FA7FD8"/>
    <w:rsid w:val="00FB0D1C"/>
    <w:rsid w:val="00FB159B"/>
    <w:rsid w:val="00FB1A53"/>
    <w:rsid w:val="00FB3A34"/>
    <w:rsid w:val="00FB69B8"/>
    <w:rsid w:val="00FB77D9"/>
    <w:rsid w:val="00FC0D4F"/>
    <w:rsid w:val="00FC1AC9"/>
    <w:rsid w:val="00FC2CF5"/>
    <w:rsid w:val="00FC3F19"/>
    <w:rsid w:val="00FC6A5D"/>
    <w:rsid w:val="00FC775A"/>
    <w:rsid w:val="00FD03D0"/>
    <w:rsid w:val="00FD17A3"/>
    <w:rsid w:val="00FD1F0C"/>
    <w:rsid w:val="00FD28ED"/>
    <w:rsid w:val="00FD3846"/>
    <w:rsid w:val="00FD4EC4"/>
    <w:rsid w:val="00FD7974"/>
    <w:rsid w:val="00FD7EC6"/>
    <w:rsid w:val="00FE3268"/>
    <w:rsid w:val="00FE6E5B"/>
    <w:rsid w:val="00FF5CEF"/>
    <w:rsid w:val="00FF69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43520"/>
  <w15:docId w15:val="{D472C6BF-736F-410D-A914-B17536AF3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587D4F"/>
    <w:rPr>
      <w:rFonts w:ascii="Arial MT" w:eastAsia="Arial MT" w:hAnsi="Arial MT" w:cs="Arial MT"/>
      <w:lang w:val="it-IT"/>
    </w:rPr>
  </w:style>
  <w:style w:type="paragraph" w:styleId="Titolo1">
    <w:name w:val="heading 1"/>
    <w:basedOn w:val="Normale"/>
    <w:link w:val="Titolo1Carattere"/>
    <w:uiPriority w:val="1"/>
    <w:qFormat/>
    <w:pPr>
      <w:ind w:left="813"/>
      <w:jc w:val="both"/>
      <w:outlineLvl w:val="0"/>
    </w:pPr>
    <w:rPr>
      <w:rFonts w:ascii="Arial" w:eastAsia="Arial" w:hAnsi="Arial" w:cs="Arial"/>
      <w:b/>
      <w:bCs/>
    </w:rPr>
  </w:style>
  <w:style w:type="paragraph" w:styleId="Titolo2">
    <w:name w:val="heading 2"/>
    <w:basedOn w:val="Normale"/>
    <w:link w:val="Titolo2Carattere"/>
    <w:uiPriority w:val="1"/>
    <w:qFormat/>
    <w:pPr>
      <w:spacing w:before="57"/>
      <w:ind w:left="1494" w:right="499"/>
      <w:jc w:val="both"/>
      <w:outlineLvl w:val="1"/>
    </w:pPr>
    <w:rPr>
      <w:sz w:val="21"/>
      <w:szCs w:val="21"/>
    </w:rPr>
  </w:style>
  <w:style w:type="paragraph" w:styleId="Titolo3">
    <w:name w:val="heading 3"/>
    <w:basedOn w:val="Normale"/>
    <w:link w:val="Titolo3Carattere"/>
    <w:uiPriority w:val="1"/>
    <w:qFormat/>
    <w:pPr>
      <w:spacing w:before="71"/>
      <w:ind w:left="813"/>
      <w:outlineLvl w:val="2"/>
    </w:pPr>
    <w:rPr>
      <w:rFonts w:ascii="Arial" w:eastAsia="Arial" w:hAnsi="Arial" w:cs="Arial"/>
      <w:b/>
      <w:bCs/>
      <w:sz w:val="20"/>
      <w:szCs w:val="20"/>
    </w:rPr>
  </w:style>
  <w:style w:type="paragraph" w:styleId="Titolo4">
    <w:name w:val="heading 4"/>
    <w:basedOn w:val="Normale"/>
    <w:uiPriority w:val="1"/>
    <w:qFormat/>
    <w:pPr>
      <w:ind w:left="813"/>
      <w:jc w:val="both"/>
      <w:outlineLvl w:val="3"/>
    </w:pPr>
    <w:rPr>
      <w:rFonts w:ascii="Arial" w:eastAsia="Arial" w:hAnsi="Arial" w:cs="Arial"/>
      <w:b/>
      <w:bCs/>
      <w:i/>
      <w:i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Titolo">
    <w:name w:val="Title"/>
    <w:basedOn w:val="Normale"/>
    <w:uiPriority w:val="1"/>
    <w:qFormat/>
    <w:pPr>
      <w:spacing w:line="505" w:lineRule="exact"/>
      <w:ind w:left="813"/>
    </w:pPr>
    <w:rPr>
      <w:rFonts w:ascii="Arial" w:eastAsia="Arial" w:hAnsi="Arial" w:cs="Arial"/>
      <w:b/>
      <w:bCs/>
      <w:sz w:val="48"/>
      <w:szCs w:val="48"/>
    </w:rPr>
  </w:style>
  <w:style w:type="paragraph" w:styleId="Paragrafoelenco">
    <w:name w:val="List Paragraph"/>
    <w:aliases w:val="numbered list,2,OBC Bullet,Normal 1,Task Body,Viñetas (Inicio Parrafo),3 Txt tabla,Zerrenda-paragrafoa,Fiche List Paragraph,Dot pt,F5 List Paragraph,List Paragraph1,No Spacing1,List Paragraph Char Char Char,Indicator Text,Reference list"/>
    <w:basedOn w:val="Normale"/>
    <w:link w:val="ParagrafoelencoCarattere"/>
    <w:qFormat/>
    <w:pPr>
      <w:ind w:left="1240" w:hanging="428"/>
    </w:pPr>
  </w:style>
  <w:style w:type="paragraph" w:customStyle="1" w:styleId="TableParagraph">
    <w:name w:val="Table Paragraph"/>
    <w:basedOn w:val="Normale"/>
    <w:uiPriority w:val="1"/>
    <w:qFormat/>
  </w:style>
  <w:style w:type="character" w:customStyle="1" w:styleId="Titolo3Carattere">
    <w:name w:val="Titolo 3 Carattere"/>
    <w:basedOn w:val="Carpredefinitoparagrafo"/>
    <w:link w:val="Titolo3"/>
    <w:uiPriority w:val="1"/>
    <w:rsid w:val="002F1AFE"/>
    <w:rPr>
      <w:rFonts w:ascii="Arial" w:eastAsia="Arial" w:hAnsi="Arial" w:cs="Arial"/>
      <w:b/>
      <w:bCs/>
      <w:sz w:val="20"/>
      <w:szCs w:val="20"/>
      <w:lang w:val="it-IT"/>
    </w:rPr>
  </w:style>
  <w:style w:type="paragraph" w:styleId="Testofumetto">
    <w:name w:val="Balloon Text"/>
    <w:basedOn w:val="Normale"/>
    <w:link w:val="TestofumettoCarattere"/>
    <w:uiPriority w:val="99"/>
    <w:semiHidden/>
    <w:unhideWhenUsed/>
    <w:rsid w:val="001C4D3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C4D31"/>
    <w:rPr>
      <w:rFonts w:ascii="Tahoma" w:eastAsia="Arial MT" w:hAnsi="Tahoma" w:cs="Tahoma"/>
      <w:sz w:val="16"/>
      <w:szCs w:val="16"/>
      <w:lang w:val="it-IT"/>
    </w:rPr>
  </w:style>
  <w:style w:type="paragraph" w:styleId="Intestazione">
    <w:name w:val="header"/>
    <w:basedOn w:val="Normale"/>
    <w:link w:val="IntestazioneCarattere"/>
    <w:uiPriority w:val="99"/>
    <w:unhideWhenUsed/>
    <w:rsid w:val="00B13BC6"/>
    <w:pPr>
      <w:tabs>
        <w:tab w:val="center" w:pos="4819"/>
        <w:tab w:val="right" w:pos="9638"/>
      </w:tabs>
    </w:pPr>
  </w:style>
  <w:style w:type="character" w:customStyle="1" w:styleId="IntestazioneCarattere">
    <w:name w:val="Intestazione Carattere"/>
    <w:basedOn w:val="Carpredefinitoparagrafo"/>
    <w:link w:val="Intestazione"/>
    <w:uiPriority w:val="99"/>
    <w:rsid w:val="00B13BC6"/>
    <w:rPr>
      <w:rFonts w:ascii="Arial MT" w:eastAsia="Arial MT" w:hAnsi="Arial MT" w:cs="Arial MT"/>
      <w:lang w:val="it-IT"/>
    </w:rPr>
  </w:style>
  <w:style w:type="paragraph" w:styleId="Pidipagina">
    <w:name w:val="footer"/>
    <w:basedOn w:val="Normale"/>
    <w:link w:val="PidipaginaCarattere"/>
    <w:uiPriority w:val="99"/>
    <w:unhideWhenUsed/>
    <w:rsid w:val="00B13BC6"/>
    <w:pPr>
      <w:tabs>
        <w:tab w:val="center" w:pos="4819"/>
        <w:tab w:val="right" w:pos="9638"/>
      </w:tabs>
    </w:pPr>
  </w:style>
  <w:style w:type="character" w:customStyle="1" w:styleId="PidipaginaCarattere">
    <w:name w:val="Piè di pagina Carattere"/>
    <w:basedOn w:val="Carpredefinitoparagrafo"/>
    <w:link w:val="Pidipagina"/>
    <w:uiPriority w:val="99"/>
    <w:rsid w:val="00B13BC6"/>
    <w:rPr>
      <w:rFonts w:ascii="Arial MT" w:eastAsia="Arial MT" w:hAnsi="Arial MT" w:cs="Arial MT"/>
      <w:lang w:val="it-IT"/>
    </w:rPr>
  </w:style>
  <w:style w:type="paragraph" w:styleId="Didascalia">
    <w:name w:val="caption"/>
    <w:basedOn w:val="Normale"/>
    <w:next w:val="Normale"/>
    <w:uiPriority w:val="35"/>
    <w:unhideWhenUsed/>
    <w:qFormat/>
    <w:rsid w:val="009C216D"/>
    <w:pPr>
      <w:spacing w:after="200"/>
    </w:pPr>
    <w:rPr>
      <w:b/>
      <w:bCs/>
      <w:color w:val="4F81BD" w:themeColor="accent1"/>
      <w:sz w:val="18"/>
      <w:szCs w:val="18"/>
    </w:rPr>
  </w:style>
  <w:style w:type="character" w:customStyle="1" w:styleId="Titolo2Carattere">
    <w:name w:val="Titolo 2 Carattere"/>
    <w:basedOn w:val="Carpredefinitoparagrafo"/>
    <w:link w:val="Titolo2"/>
    <w:uiPriority w:val="1"/>
    <w:rsid w:val="009A2F32"/>
    <w:rPr>
      <w:rFonts w:ascii="Arial MT" w:eastAsia="Arial MT" w:hAnsi="Arial MT" w:cs="Arial MT"/>
      <w:sz w:val="21"/>
      <w:szCs w:val="21"/>
      <w:lang w:val="it-IT"/>
    </w:rPr>
  </w:style>
  <w:style w:type="character" w:styleId="Rimandocommento">
    <w:name w:val="annotation reference"/>
    <w:basedOn w:val="Carpredefinitoparagrafo"/>
    <w:uiPriority w:val="99"/>
    <w:semiHidden/>
    <w:unhideWhenUsed/>
    <w:rsid w:val="00267473"/>
    <w:rPr>
      <w:sz w:val="16"/>
      <w:szCs w:val="16"/>
    </w:rPr>
  </w:style>
  <w:style w:type="paragraph" w:styleId="Testocommento">
    <w:name w:val="annotation text"/>
    <w:basedOn w:val="Normale"/>
    <w:link w:val="TestocommentoCarattere"/>
    <w:uiPriority w:val="99"/>
    <w:unhideWhenUsed/>
    <w:rsid w:val="00267473"/>
    <w:rPr>
      <w:sz w:val="20"/>
      <w:szCs w:val="20"/>
    </w:rPr>
  </w:style>
  <w:style w:type="character" w:customStyle="1" w:styleId="TestocommentoCarattere">
    <w:name w:val="Testo commento Carattere"/>
    <w:basedOn w:val="Carpredefinitoparagrafo"/>
    <w:link w:val="Testocommento"/>
    <w:uiPriority w:val="99"/>
    <w:rsid w:val="00267473"/>
    <w:rPr>
      <w:rFonts w:ascii="Arial MT" w:eastAsia="Arial MT" w:hAnsi="Arial MT" w:cs="Arial MT"/>
      <w:sz w:val="20"/>
      <w:szCs w:val="20"/>
      <w:lang w:val="it-IT"/>
    </w:rPr>
  </w:style>
  <w:style w:type="paragraph" w:styleId="Soggettocommento">
    <w:name w:val="annotation subject"/>
    <w:basedOn w:val="Testocommento"/>
    <w:next w:val="Testocommento"/>
    <w:link w:val="SoggettocommentoCarattere"/>
    <w:uiPriority w:val="99"/>
    <w:semiHidden/>
    <w:unhideWhenUsed/>
    <w:rsid w:val="00267473"/>
    <w:rPr>
      <w:b/>
      <w:bCs/>
    </w:rPr>
  </w:style>
  <w:style w:type="character" w:customStyle="1" w:styleId="SoggettocommentoCarattere">
    <w:name w:val="Soggetto commento Carattere"/>
    <w:basedOn w:val="TestocommentoCarattere"/>
    <w:link w:val="Soggettocommento"/>
    <w:uiPriority w:val="99"/>
    <w:semiHidden/>
    <w:rsid w:val="00267473"/>
    <w:rPr>
      <w:rFonts w:ascii="Arial MT" w:eastAsia="Arial MT" w:hAnsi="Arial MT" w:cs="Arial MT"/>
      <w:b/>
      <w:bCs/>
      <w:sz w:val="20"/>
      <w:szCs w:val="20"/>
      <w:lang w:val="it-IT"/>
    </w:rPr>
  </w:style>
  <w:style w:type="paragraph" w:styleId="Revisione">
    <w:name w:val="Revision"/>
    <w:hidden/>
    <w:uiPriority w:val="99"/>
    <w:semiHidden/>
    <w:rsid w:val="001F0DC6"/>
    <w:pPr>
      <w:widowControl/>
      <w:autoSpaceDE/>
      <w:autoSpaceDN/>
    </w:pPr>
    <w:rPr>
      <w:rFonts w:ascii="Arial MT" w:eastAsia="Arial MT" w:hAnsi="Arial MT" w:cs="Arial MT"/>
      <w:lang w:val="it-IT"/>
    </w:rPr>
  </w:style>
  <w:style w:type="paragraph" w:customStyle="1" w:styleId="paragraph">
    <w:name w:val="paragraph"/>
    <w:basedOn w:val="Normale"/>
    <w:rsid w:val="00E62F28"/>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E62F28"/>
  </w:style>
  <w:style w:type="character" w:customStyle="1" w:styleId="eop">
    <w:name w:val="eop"/>
    <w:basedOn w:val="Carpredefinitoparagrafo"/>
    <w:rsid w:val="00E62F28"/>
  </w:style>
  <w:style w:type="character" w:customStyle="1" w:styleId="Titolo1Carattere">
    <w:name w:val="Titolo 1 Carattere"/>
    <w:basedOn w:val="Carpredefinitoparagrafo"/>
    <w:link w:val="Titolo1"/>
    <w:uiPriority w:val="1"/>
    <w:rsid w:val="00B34DF4"/>
    <w:rPr>
      <w:rFonts w:ascii="Arial" w:eastAsia="Arial" w:hAnsi="Arial" w:cs="Arial"/>
      <w:b/>
      <w:bCs/>
      <w:lang w:val="it-IT"/>
    </w:rPr>
  </w:style>
  <w:style w:type="paragraph" w:styleId="Testonotaapidipagina">
    <w:name w:val="footnote text"/>
    <w:basedOn w:val="Normale"/>
    <w:link w:val="TestonotaapidipaginaCarattere"/>
    <w:uiPriority w:val="99"/>
    <w:semiHidden/>
    <w:unhideWhenUsed/>
    <w:rsid w:val="00B34DF4"/>
    <w:rPr>
      <w:sz w:val="20"/>
      <w:szCs w:val="20"/>
    </w:rPr>
  </w:style>
  <w:style w:type="character" w:customStyle="1" w:styleId="TestonotaapidipaginaCarattere">
    <w:name w:val="Testo nota a piè di pagina Carattere"/>
    <w:basedOn w:val="Carpredefinitoparagrafo"/>
    <w:link w:val="Testonotaapidipagina"/>
    <w:uiPriority w:val="99"/>
    <w:semiHidden/>
    <w:rsid w:val="00B34DF4"/>
    <w:rPr>
      <w:rFonts w:ascii="Arial MT" w:eastAsia="Arial MT" w:hAnsi="Arial MT" w:cs="Arial MT"/>
      <w:sz w:val="20"/>
      <w:szCs w:val="20"/>
      <w:lang w:val="it-IT"/>
    </w:rPr>
  </w:style>
  <w:style w:type="character" w:styleId="Rimandonotaapidipagina">
    <w:name w:val="footnote reference"/>
    <w:basedOn w:val="Carpredefinitoparagrafo"/>
    <w:uiPriority w:val="99"/>
    <w:semiHidden/>
    <w:unhideWhenUsed/>
    <w:rsid w:val="00B34DF4"/>
    <w:rPr>
      <w:vertAlign w:val="superscript"/>
    </w:rPr>
  </w:style>
  <w:style w:type="character" w:styleId="Collegamentoipertestuale">
    <w:name w:val="Hyperlink"/>
    <w:basedOn w:val="Carpredefinitoparagrafo"/>
    <w:uiPriority w:val="99"/>
    <w:unhideWhenUsed/>
    <w:rsid w:val="004C1146"/>
    <w:rPr>
      <w:color w:val="0000FF" w:themeColor="hyperlink"/>
      <w:u w:val="single"/>
    </w:rPr>
  </w:style>
  <w:style w:type="table" w:styleId="Grigliatabella">
    <w:name w:val="Table Grid"/>
    <w:basedOn w:val="Tabellanormale"/>
    <w:uiPriority w:val="39"/>
    <w:rsid w:val="003B1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535934"/>
    <w:rPr>
      <w:b/>
      <w:bCs/>
    </w:rPr>
  </w:style>
  <w:style w:type="character" w:customStyle="1" w:styleId="fontstyle01">
    <w:name w:val="fontstyle01"/>
    <w:basedOn w:val="Carpredefinitoparagrafo"/>
    <w:rsid w:val="007B79FB"/>
    <w:rPr>
      <w:rFonts w:ascii="TrebuchetMS-Bold" w:hAnsi="TrebuchetMS-Bold" w:hint="default"/>
      <w:b/>
      <w:bCs/>
      <w:i w:val="0"/>
      <w:iCs w:val="0"/>
      <w:color w:val="5F5F5F"/>
      <w:sz w:val="22"/>
      <w:szCs w:val="22"/>
    </w:rPr>
  </w:style>
  <w:style w:type="character" w:customStyle="1" w:styleId="ParagrafoelencoCarattere">
    <w:name w:val="Paragrafo elenco Carattere"/>
    <w:aliases w:val="numbered list Carattere,2 Carattere,OBC Bullet Carattere,Normal 1 Carattere,Task Body Carattere,Viñetas (Inicio Parrafo) Carattere,3 Txt tabla Carattere,Zerrenda-paragrafoa Carattere,Fiche List Paragraph Carattere"/>
    <w:link w:val="Paragrafoelenco"/>
    <w:qFormat/>
    <w:rsid w:val="00624CD7"/>
    <w:rPr>
      <w:rFonts w:ascii="Arial MT" w:eastAsia="Arial MT" w:hAnsi="Arial MT" w:cs="Arial MT"/>
      <w:lang w:val="it-IT"/>
    </w:rPr>
  </w:style>
  <w:style w:type="character" w:customStyle="1" w:styleId="Menzionenonrisolta1">
    <w:name w:val="Menzione non risolta1"/>
    <w:basedOn w:val="Carpredefinitoparagrafo"/>
    <w:uiPriority w:val="99"/>
    <w:unhideWhenUsed/>
    <w:rsid w:val="00624CD7"/>
    <w:rPr>
      <w:color w:val="605E5C"/>
      <w:shd w:val="clear" w:color="auto" w:fill="E1DFDD"/>
    </w:rPr>
  </w:style>
  <w:style w:type="character" w:customStyle="1" w:styleId="Menzione1">
    <w:name w:val="Menzione1"/>
    <w:basedOn w:val="Carpredefinitoparagrafo"/>
    <w:uiPriority w:val="99"/>
    <w:unhideWhenUsed/>
    <w:rsid w:val="00624CD7"/>
    <w:rPr>
      <w:color w:val="2B579A"/>
      <w:shd w:val="clear" w:color="auto" w:fill="E1DFDD"/>
    </w:rPr>
  </w:style>
  <w:style w:type="character" w:customStyle="1" w:styleId="UnresolvedMention1">
    <w:name w:val="Unresolved Mention1"/>
    <w:basedOn w:val="Carpredefinitoparagrafo"/>
    <w:uiPriority w:val="99"/>
    <w:unhideWhenUsed/>
    <w:rsid w:val="00624CD7"/>
    <w:rPr>
      <w:color w:val="605E5C"/>
      <w:shd w:val="clear" w:color="auto" w:fill="E1DFDD"/>
    </w:rPr>
  </w:style>
  <w:style w:type="character" w:customStyle="1" w:styleId="Mention1">
    <w:name w:val="Mention1"/>
    <w:basedOn w:val="Carpredefinitoparagrafo"/>
    <w:uiPriority w:val="99"/>
    <w:unhideWhenUsed/>
    <w:rsid w:val="00624CD7"/>
    <w:rPr>
      <w:color w:val="2B579A"/>
      <w:shd w:val="clear" w:color="auto" w:fill="E1DFDD"/>
    </w:rPr>
  </w:style>
  <w:style w:type="paragraph" w:customStyle="1" w:styleId="Default">
    <w:name w:val="Default"/>
    <w:rsid w:val="00624CD7"/>
    <w:pPr>
      <w:widowControl/>
      <w:adjustRightInd w:val="0"/>
    </w:pPr>
    <w:rPr>
      <w:rFonts w:ascii="Times New Roman" w:hAnsi="Times New Roman" w:cs="Times New Roman"/>
      <w:color w:val="000000"/>
      <w:sz w:val="24"/>
      <w:szCs w:val="24"/>
      <w:lang w:val="it-IT"/>
    </w:rPr>
  </w:style>
  <w:style w:type="paragraph" w:styleId="Titolosommario">
    <w:name w:val="TOC Heading"/>
    <w:basedOn w:val="Titolo1"/>
    <w:next w:val="Normale"/>
    <w:uiPriority w:val="39"/>
    <w:unhideWhenUsed/>
    <w:qFormat/>
    <w:rsid w:val="00624CD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eastAsia="it-IT"/>
    </w:rPr>
  </w:style>
  <w:style w:type="paragraph" w:styleId="Sommario1">
    <w:name w:val="toc 1"/>
    <w:basedOn w:val="Normale"/>
    <w:next w:val="Normale"/>
    <w:autoRedefine/>
    <w:uiPriority w:val="39"/>
    <w:unhideWhenUsed/>
    <w:rsid w:val="00624CD7"/>
    <w:pPr>
      <w:spacing w:after="100"/>
    </w:pPr>
  </w:style>
  <w:style w:type="character" w:styleId="Enfasiintensa">
    <w:name w:val="Intense Emphasis"/>
    <w:basedOn w:val="Carpredefinitoparagrafo"/>
    <w:uiPriority w:val="21"/>
    <w:qFormat/>
    <w:rsid w:val="00624CD7"/>
    <w:rPr>
      <w:i/>
      <w:iCs/>
      <w:color w:val="4F81BD" w:themeColor="accent1"/>
    </w:rPr>
  </w:style>
  <w:style w:type="paragraph" w:styleId="Sommario2">
    <w:name w:val="toc 2"/>
    <w:basedOn w:val="Normale"/>
    <w:next w:val="Normale"/>
    <w:autoRedefine/>
    <w:uiPriority w:val="39"/>
    <w:unhideWhenUsed/>
    <w:rsid w:val="00624CD7"/>
    <w:pPr>
      <w:widowControl/>
      <w:tabs>
        <w:tab w:val="right" w:leader="dot" w:pos="10160"/>
      </w:tabs>
      <w:autoSpaceDE/>
      <w:autoSpaceDN/>
      <w:spacing w:after="100" w:line="259" w:lineRule="auto"/>
      <w:ind w:left="220"/>
    </w:pPr>
    <w:rPr>
      <w:rFonts w:asciiTheme="minorHAnsi" w:eastAsiaTheme="minorEastAsia" w:hAnsiTheme="minorHAnsi" w:cs="Times New Roman"/>
      <w:lang w:eastAsia="it-IT"/>
    </w:rPr>
  </w:style>
  <w:style w:type="paragraph" w:styleId="Sommario3">
    <w:name w:val="toc 3"/>
    <w:basedOn w:val="Normale"/>
    <w:next w:val="Normale"/>
    <w:autoRedefine/>
    <w:uiPriority w:val="39"/>
    <w:unhideWhenUsed/>
    <w:rsid w:val="00624CD7"/>
    <w:pPr>
      <w:widowControl/>
      <w:autoSpaceDE/>
      <w:autoSpaceDN/>
      <w:spacing w:after="100" w:line="259" w:lineRule="auto"/>
      <w:ind w:left="440"/>
    </w:pPr>
    <w:rPr>
      <w:rFonts w:asciiTheme="minorHAnsi" w:eastAsiaTheme="minorEastAsia" w:hAnsiTheme="minorHAnsi" w:cs="Times New Roman"/>
      <w:lang w:eastAsia="it-IT"/>
    </w:rPr>
  </w:style>
  <w:style w:type="character" w:customStyle="1" w:styleId="Menzionenonrisolta2">
    <w:name w:val="Menzione non risolta2"/>
    <w:basedOn w:val="Carpredefinitoparagrafo"/>
    <w:uiPriority w:val="99"/>
    <w:semiHidden/>
    <w:unhideWhenUsed/>
    <w:rsid w:val="00624CD7"/>
    <w:rPr>
      <w:color w:val="605E5C"/>
      <w:shd w:val="clear" w:color="auto" w:fill="E1DFDD"/>
    </w:rPr>
  </w:style>
  <w:style w:type="paragraph" w:styleId="NormaleWeb">
    <w:name w:val="Normal (Web)"/>
    <w:basedOn w:val="Normale"/>
    <w:uiPriority w:val="99"/>
    <w:rsid w:val="00B8216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841E5C"/>
    <w:rPr>
      <w:color w:val="800080" w:themeColor="followedHyperlink"/>
      <w:u w:val="single"/>
    </w:rPr>
  </w:style>
  <w:style w:type="paragraph" w:customStyle="1" w:styleId="Stile1">
    <w:name w:val="Stile1"/>
    <w:basedOn w:val="Sommario1"/>
    <w:link w:val="Stile1Carattere"/>
    <w:qFormat/>
    <w:rsid w:val="001A61C3"/>
    <w:pPr>
      <w:widowControl/>
      <w:suppressAutoHyphens/>
      <w:autoSpaceDE/>
      <w:textAlignment w:val="baseline"/>
    </w:pPr>
    <w:rPr>
      <w:rFonts w:ascii="ArialMT" w:eastAsia="Calibri" w:hAnsi="ArialMT" w:cs="Times New Roman"/>
      <w:color w:val="244061" w:themeColor="accent1" w:themeShade="80"/>
    </w:rPr>
  </w:style>
  <w:style w:type="character" w:customStyle="1" w:styleId="Stile1Carattere">
    <w:name w:val="Stile1 Carattere"/>
    <w:basedOn w:val="Carpredefinitoparagrafo"/>
    <w:link w:val="Stile1"/>
    <w:rsid w:val="001A61C3"/>
    <w:rPr>
      <w:rFonts w:ascii="ArialMT" w:eastAsia="Calibri" w:hAnsi="ArialMT" w:cs="Times New Roman"/>
      <w:color w:val="244061" w:themeColor="accent1" w:themeShade="80"/>
      <w:lang w:val="it-IT"/>
    </w:rPr>
  </w:style>
  <w:style w:type="paragraph" w:customStyle="1" w:styleId="Stile1istat">
    <w:name w:val="Stile1 istat"/>
    <w:basedOn w:val="Normale"/>
    <w:link w:val="Stile1istatCarattere"/>
    <w:qFormat/>
    <w:rsid w:val="00C93685"/>
    <w:pPr>
      <w:widowControl/>
      <w:suppressAutoHyphens/>
      <w:autoSpaceDE/>
      <w:spacing w:line="360" w:lineRule="auto"/>
      <w:jc w:val="both"/>
      <w:textAlignment w:val="baseline"/>
    </w:pPr>
    <w:rPr>
      <w:rFonts w:ascii="Arial" w:eastAsia="Arial" w:hAnsi="Arial" w:cs="Arial"/>
      <w:b/>
      <w:bCs/>
      <w:caps/>
      <w:color w:val="17365D"/>
      <w:kern w:val="3"/>
      <w:sz w:val="24"/>
      <w:szCs w:val="24"/>
      <w:lang w:eastAsia="it-IT"/>
    </w:rPr>
  </w:style>
  <w:style w:type="character" w:customStyle="1" w:styleId="Stile1istatCarattere">
    <w:name w:val="Stile1 istat Carattere"/>
    <w:basedOn w:val="Carpredefinitoparagrafo"/>
    <w:link w:val="Stile1istat"/>
    <w:rsid w:val="00C93685"/>
    <w:rPr>
      <w:rFonts w:ascii="Arial" w:eastAsia="Arial" w:hAnsi="Arial" w:cs="Arial"/>
      <w:b/>
      <w:bCs/>
      <w:caps/>
      <w:color w:val="17365D"/>
      <w:kern w:val="3"/>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130">
      <w:bodyDiv w:val="1"/>
      <w:marLeft w:val="0"/>
      <w:marRight w:val="0"/>
      <w:marTop w:val="0"/>
      <w:marBottom w:val="0"/>
      <w:divBdr>
        <w:top w:val="none" w:sz="0" w:space="0" w:color="auto"/>
        <w:left w:val="none" w:sz="0" w:space="0" w:color="auto"/>
        <w:bottom w:val="none" w:sz="0" w:space="0" w:color="auto"/>
        <w:right w:val="none" w:sz="0" w:space="0" w:color="auto"/>
      </w:divBdr>
    </w:div>
    <w:div w:id="24252093">
      <w:bodyDiv w:val="1"/>
      <w:marLeft w:val="0"/>
      <w:marRight w:val="0"/>
      <w:marTop w:val="0"/>
      <w:marBottom w:val="0"/>
      <w:divBdr>
        <w:top w:val="none" w:sz="0" w:space="0" w:color="auto"/>
        <w:left w:val="none" w:sz="0" w:space="0" w:color="auto"/>
        <w:bottom w:val="none" w:sz="0" w:space="0" w:color="auto"/>
        <w:right w:val="none" w:sz="0" w:space="0" w:color="auto"/>
      </w:divBdr>
    </w:div>
    <w:div w:id="61413084">
      <w:bodyDiv w:val="1"/>
      <w:marLeft w:val="0"/>
      <w:marRight w:val="0"/>
      <w:marTop w:val="0"/>
      <w:marBottom w:val="0"/>
      <w:divBdr>
        <w:top w:val="none" w:sz="0" w:space="0" w:color="auto"/>
        <w:left w:val="none" w:sz="0" w:space="0" w:color="auto"/>
        <w:bottom w:val="none" w:sz="0" w:space="0" w:color="auto"/>
        <w:right w:val="none" w:sz="0" w:space="0" w:color="auto"/>
      </w:divBdr>
    </w:div>
    <w:div w:id="123738969">
      <w:bodyDiv w:val="1"/>
      <w:marLeft w:val="0"/>
      <w:marRight w:val="0"/>
      <w:marTop w:val="0"/>
      <w:marBottom w:val="0"/>
      <w:divBdr>
        <w:top w:val="none" w:sz="0" w:space="0" w:color="auto"/>
        <w:left w:val="none" w:sz="0" w:space="0" w:color="auto"/>
        <w:bottom w:val="none" w:sz="0" w:space="0" w:color="auto"/>
        <w:right w:val="none" w:sz="0" w:space="0" w:color="auto"/>
      </w:divBdr>
    </w:div>
    <w:div w:id="171457057">
      <w:bodyDiv w:val="1"/>
      <w:marLeft w:val="0"/>
      <w:marRight w:val="0"/>
      <w:marTop w:val="0"/>
      <w:marBottom w:val="0"/>
      <w:divBdr>
        <w:top w:val="none" w:sz="0" w:space="0" w:color="auto"/>
        <w:left w:val="none" w:sz="0" w:space="0" w:color="auto"/>
        <w:bottom w:val="none" w:sz="0" w:space="0" w:color="auto"/>
        <w:right w:val="none" w:sz="0" w:space="0" w:color="auto"/>
      </w:divBdr>
    </w:div>
    <w:div w:id="235938164">
      <w:bodyDiv w:val="1"/>
      <w:marLeft w:val="0"/>
      <w:marRight w:val="0"/>
      <w:marTop w:val="0"/>
      <w:marBottom w:val="0"/>
      <w:divBdr>
        <w:top w:val="none" w:sz="0" w:space="0" w:color="auto"/>
        <w:left w:val="none" w:sz="0" w:space="0" w:color="auto"/>
        <w:bottom w:val="none" w:sz="0" w:space="0" w:color="auto"/>
        <w:right w:val="none" w:sz="0" w:space="0" w:color="auto"/>
      </w:divBdr>
    </w:div>
    <w:div w:id="237401712">
      <w:bodyDiv w:val="1"/>
      <w:marLeft w:val="0"/>
      <w:marRight w:val="0"/>
      <w:marTop w:val="0"/>
      <w:marBottom w:val="0"/>
      <w:divBdr>
        <w:top w:val="none" w:sz="0" w:space="0" w:color="auto"/>
        <w:left w:val="none" w:sz="0" w:space="0" w:color="auto"/>
        <w:bottom w:val="none" w:sz="0" w:space="0" w:color="auto"/>
        <w:right w:val="none" w:sz="0" w:space="0" w:color="auto"/>
      </w:divBdr>
    </w:div>
    <w:div w:id="258493903">
      <w:bodyDiv w:val="1"/>
      <w:marLeft w:val="0"/>
      <w:marRight w:val="0"/>
      <w:marTop w:val="0"/>
      <w:marBottom w:val="0"/>
      <w:divBdr>
        <w:top w:val="none" w:sz="0" w:space="0" w:color="auto"/>
        <w:left w:val="none" w:sz="0" w:space="0" w:color="auto"/>
        <w:bottom w:val="none" w:sz="0" w:space="0" w:color="auto"/>
        <w:right w:val="none" w:sz="0" w:space="0" w:color="auto"/>
      </w:divBdr>
    </w:div>
    <w:div w:id="272519800">
      <w:bodyDiv w:val="1"/>
      <w:marLeft w:val="0"/>
      <w:marRight w:val="0"/>
      <w:marTop w:val="0"/>
      <w:marBottom w:val="0"/>
      <w:divBdr>
        <w:top w:val="none" w:sz="0" w:space="0" w:color="auto"/>
        <w:left w:val="none" w:sz="0" w:space="0" w:color="auto"/>
        <w:bottom w:val="none" w:sz="0" w:space="0" w:color="auto"/>
        <w:right w:val="none" w:sz="0" w:space="0" w:color="auto"/>
      </w:divBdr>
    </w:div>
    <w:div w:id="276833021">
      <w:bodyDiv w:val="1"/>
      <w:marLeft w:val="0"/>
      <w:marRight w:val="0"/>
      <w:marTop w:val="0"/>
      <w:marBottom w:val="0"/>
      <w:divBdr>
        <w:top w:val="none" w:sz="0" w:space="0" w:color="auto"/>
        <w:left w:val="none" w:sz="0" w:space="0" w:color="auto"/>
        <w:bottom w:val="none" w:sz="0" w:space="0" w:color="auto"/>
        <w:right w:val="none" w:sz="0" w:space="0" w:color="auto"/>
      </w:divBdr>
    </w:div>
    <w:div w:id="317195842">
      <w:bodyDiv w:val="1"/>
      <w:marLeft w:val="0"/>
      <w:marRight w:val="0"/>
      <w:marTop w:val="0"/>
      <w:marBottom w:val="0"/>
      <w:divBdr>
        <w:top w:val="none" w:sz="0" w:space="0" w:color="auto"/>
        <w:left w:val="none" w:sz="0" w:space="0" w:color="auto"/>
        <w:bottom w:val="none" w:sz="0" w:space="0" w:color="auto"/>
        <w:right w:val="none" w:sz="0" w:space="0" w:color="auto"/>
      </w:divBdr>
    </w:div>
    <w:div w:id="321272898">
      <w:bodyDiv w:val="1"/>
      <w:marLeft w:val="0"/>
      <w:marRight w:val="0"/>
      <w:marTop w:val="0"/>
      <w:marBottom w:val="0"/>
      <w:divBdr>
        <w:top w:val="none" w:sz="0" w:space="0" w:color="auto"/>
        <w:left w:val="none" w:sz="0" w:space="0" w:color="auto"/>
        <w:bottom w:val="none" w:sz="0" w:space="0" w:color="auto"/>
        <w:right w:val="none" w:sz="0" w:space="0" w:color="auto"/>
      </w:divBdr>
    </w:div>
    <w:div w:id="358354346">
      <w:bodyDiv w:val="1"/>
      <w:marLeft w:val="0"/>
      <w:marRight w:val="0"/>
      <w:marTop w:val="0"/>
      <w:marBottom w:val="0"/>
      <w:divBdr>
        <w:top w:val="none" w:sz="0" w:space="0" w:color="auto"/>
        <w:left w:val="none" w:sz="0" w:space="0" w:color="auto"/>
        <w:bottom w:val="none" w:sz="0" w:space="0" w:color="auto"/>
        <w:right w:val="none" w:sz="0" w:space="0" w:color="auto"/>
      </w:divBdr>
    </w:div>
    <w:div w:id="422920132">
      <w:bodyDiv w:val="1"/>
      <w:marLeft w:val="0"/>
      <w:marRight w:val="0"/>
      <w:marTop w:val="0"/>
      <w:marBottom w:val="0"/>
      <w:divBdr>
        <w:top w:val="none" w:sz="0" w:space="0" w:color="auto"/>
        <w:left w:val="none" w:sz="0" w:space="0" w:color="auto"/>
        <w:bottom w:val="none" w:sz="0" w:space="0" w:color="auto"/>
        <w:right w:val="none" w:sz="0" w:space="0" w:color="auto"/>
      </w:divBdr>
    </w:div>
    <w:div w:id="502475424">
      <w:bodyDiv w:val="1"/>
      <w:marLeft w:val="0"/>
      <w:marRight w:val="0"/>
      <w:marTop w:val="0"/>
      <w:marBottom w:val="0"/>
      <w:divBdr>
        <w:top w:val="none" w:sz="0" w:space="0" w:color="auto"/>
        <w:left w:val="none" w:sz="0" w:space="0" w:color="auto"/>
        <w:bottom w:val="none" w:sz="0" w:space="0" w:color="auto"/>
        <w:right w:val="none" w:sz="0" w:space="0" w:color="auto"/>
      </w:divBdr>
    </w:div>
    <w:div w:id="694505639">
      <w:bodyDiv w:val="1"/>
      <w:marLeft w:val="0"/>
      <w:marRight w:val="0"/>
      <w:marTop w:val="0"/>
      <w:marBottom w:val="0"/>
      <w:divBdr>
        <w:top w:val="none" w:sz="0" w:space="0" w:color="auto"/>
        <w:left w:val="none" w:sz="0" w:space="0" w:color="auto"/>
        <w:bottom w:val="none" w:sz="0" w:space="0" w:color="auto"/>
        <w:right w:val="none" w:sz="0" w:space="0" w:color="auto"/>
      </w:divBdr>
    </w:div>
    <w:div w:id="743720485">
      <w:bodyDiv w:val="1"/>
      <w:marLeft w:val="0"/>
      <w:marRight w:val="0"/>
      <w:marTop w:val="0"/>
      <w:marBottom w:val="0"/>
      <w:divBdr>
        <w:top w:val="none" w:sz="0" w:space="0" w:color="auto"/>
        <w:left w:val="none" w:sz="0" w:space="0" w:color="auto"/>
        <w:bottom w:val="none" w:sz="0" w:space="0" w:color="auto"/>
        <w:right w:val="none" w:sz="0" w:space="0" w:color="auto"/>
      </w:divBdr>
    </w:div>
    <w:div w:id="806703687">
      <w:bodyDiv w:val="1"/>
      <w:marLeft w:val="0"/>
      <w:marRight w:val="0"/>
      <w:marTop w:val="0"/>
      <w:marBottom w:val="0"/>
      <w:divBdr>
        <w:top w:val="none" w:sz="0" w:space="0" w:color="auto"/>
        <w:left w:val="none" w:sz="0" w:space="0" w:color="auto"/>
        <w:bottom w:val="none" w:sz="0" w:space="0" w:color="auto"/>
        <w:right w:val="none" w:sz="0" w:space="0" w:color="auto"/>
      </w:divBdr>
    </w:div>
    <w:div w:id="857887333">
      <w:bodyDiv w:val="1"/>
      <w:marLeft w:val="0"/>
      <w:marRight w:val="0"/>
      <w:marTop w:val="0"/>
      <w:marBottom w:val="0"/>
      <w:divBdr>
        <w:top w:val="none" w:sz="0" w:space="0" w:color="auto"/>
        <w:left w:val="none" w:sz="0" w:space="0" w:color="auto"/>
        <w:bottom w:val="none" w:sz="0" w:space="0" w:color="auto"/>
        <w:right w:val="none" w:sz="0" w:space="0" w:color="auto"/>
      </w:divBdr>
    </w:div>
    <w:div w:id="872883513">
      <w:bodyDiv w:val="1"/>
      <w:marLeft w:val="0"/>
      <w:marRight w:val="0"/>
      <w:marTop w:val="0"/>
      <w:marBottom w:val="0"/>
      <w:divBdr>
        <w:top w:val="none" w:sz="0" w:space="0" w:color="auto"/>
        <w:left w:val="none" w:sz="0" w:space="0" w:color="auto"/>
        <w:bottom w:val="none" w:sz="0" w:space="0" w:color="auto"/>
        <w:right w:val="none" w:sz="0" w:space="0" w:color="auto"/>
      </w:divBdr>
    </w:div>
    <w:div w:id="876044874">
      <w:bodyDiv w:val="1"/>
      <w:marLeft w:val="0"/>
      <w:marRight w:val="0"/>
      <w:marTop w:val="0"/>
      <w:marBottom w:val="0"/>
      <w:divBdr>
        <w:top w:val="none" w:sz="0" w:space="0" w:color="auto"/>
        <w:left w:val="none" w:sz="0" w:space="0" w:color="auto"/>
        <w:bottom w:val="none" w:sz="0" w:space="0" w:color="auto"/>
        <w:right w:val="none" w:sz="0" w:space="0" w:color="auto"/>
      </w:divBdr>
    </w:div>
    <w:div w:id="895043920">
      <w:bodyDiv w:val="1"/>
      <w:marLeft w:val="0"/>
      <w:marRight w:val="0"/>
      <w:marTop w:val="0"/>
      <w:marBottom w:val="0"/>
      <w:divBdr>
        <w:top w:val="none" w:sz="0" w:space="0" w:color="auto"/>
        <w:left w:val="none" w:sz="0" w:space="0" w:color="auto"/>
        <w:bottom w:val="none" w:sz="0" w:space="0" w:color="auto"/>
        <w:right w:val="none" w:sz="0" w:space="0" w:color="auto"/>
      </w:divBdr>
    </w:div>
    <w:div w:id="896939597">
      <w:bodyDiv w:val="1"/>
      <w:marLeft w:val="0"/>
      <w:marRight w:val="0"/>
      <w:marTop w:val="0"/>
      <w:marBottom w:val="0"/>
      <w:divBdr>
        <w:top w:val="none" w:sz="0" w:space="0" w:color="auto"/>
        <w:left w:val="none" w:sz="0" w:space="0" w:color="auto"/>
        <w:bottom w:val="none" w:sz="0" w:space="0" w:color="auto"/>
        <w:right w:val="none" w:sz="0" w:space="0" w:color="auto"/>
      </w:divBdr>
    </w:div>
    <w:div w:id="946620798">
      <w:bodyDiv w:val="1"/>
      <w:marLeft w:val="0"/>
      <w:marRight w:val="0"/>
      <w:marTop w:val="0"/>
      <w:marBottom w:val="0"/>
      <w:divBdr>
        <w:top w:val="none" w:sz="0" w:space="0" w:color="auto"/>
        <w:left w:val="none" w:sz="0" w:space="0" w:color="auto"/>
        <w:bottom w:val="none" w:sz="0" w:space="0" w:color="auto"/>
        <w:right w:val="none" w:sz="0" w:space="0" w:color="auto"/>
      </w:divBdr>
    </w:div>
    <w:div w:id="976573440">
      <w:bodyDiv w:val="1"/>
      <w:marLeft w:val="0"/>
      <w:marRight w:val="0"/>
      <w:marTop w:val="0"/>
      <w:marBottom w:val="0"/>
      <w:divBdr>
        <w:top w:val="none" w:sz="0" w:space="0" w:color="auto"/>
        <w:left w:val="none" w:sz="0" w:space="0" w:color="auto"/>
        <w:bottom w:val="none" w:sz="0" w:space="0" w:color="auto"/>
        <w:right w:val="none" w:sz="0" w:space="0" w:color="auto"/>
      </w:divBdr>
    </w:div>
    <w:div w:id="980378854">
      <w:bodyDiv w:val="1"/>
      <w:marLeft w:val="0"/>
      <w:marRight w:val="0"/>
      <w:marTop w:val="0"/>
      <w:marBottom w:val="0"/>
      <w:divBdr>
        <w:top w:val="none" w:sz="0" w:space="0" w:color="auto"/>
        <w:left w:val="none" w:sz="0" w:space="0" w:color="auto"/>
        <w:bottom w:val="none" w:sz="0" w:space="0" w:color="auto"/>
        <w:right w:val="none" w:sz="0" w:space="0" w:color="auto"/>
      </w:divBdr>
    </w:div>
    <w:div w:id="1069691612">
      <w:bodyDiv w:val="1"/>
      <w:marLeft w:val="0"/>
      <w:marRight w:val="0"/>
      <w:marTop w:val="0"/>
      <w:marBottom w:val="0"/>
      <w:divBdr>
        <w:top w:val="none" w:sz="0" w:space="0" w:color="auto"/>
        <w:left w:val="none" w:sz="0" w:space="0" w:color="auto"/>
        <w:bottom w:val="none" w:sz="0" w:space="0" w:color="auto"/>
        <w:right w:val="none" w:sz="0" w:space="0" w:color="auto"/>
      </w:divBdr>
    </w:div>
    <w:div w:id="1147017055">
      <w:bodyDiv w:val="1"/>
      <w:marLeft w:val="0"/>
      <w:marRight w:val="0"/>
      <w:marTop w:val="0"/>
      <w:marBottom w:val="0"/>
      <w:divBdr>
        <w:top w:val="none" w:sz="0" w:space="0" w:color="auto"/>
        <w:left w:val="none" w:sz="0" w:space="0" w:color="auto"/>
        <w:bottom w:val="none" w:sz="0" w:space="0" w:color="auto"/>
        <w:right w:val="none" w:sz="0" w:space="0" w:color="auto"/>
      </w:divBdr>
    </w:div>
    <w:div w:id="1197932684">
      <w:bodyDiv w:val="1"/>
      <w:marLeft w:val="0"/>
      <w:marRight w:val="0"/>
      <w:marTop w:val="0"/>
      <w:marBottom w:val="0"/>
      <w:divBdr>
        <w:top w:val="none" w:sz="0" w:space="0" w:color="auto"/>
        <w:left w:val="none" w:sz="0" w:space="0" w:color="auto"/>
        <w:bottom w:val="none" w:sz="0" w:space="0" w:color="auto"/>
        <w:right w:val="none" w:sz="0" w:space="0" w:color="auto"/>
      </w:divBdr>
    </w:div>
    <w:div w:id="1201550900">
      <w:bodyDiv w:val="1"/>
      <w:marLeft w:val="0"/>
      <w:marRight w:val="0"/>
      <w:marTop w:val="0"/>
      <w:marBottom w:val="0"/>
      <w:divBdr>
        <w:top w:val="none" w:sz="0" w:space="0" w:color="auto"/>
        <w:left w:val="none" w:sz="0" w:space="0" w:color="auto"/>
        <w:bottom w:val="none" w:sz="0" w:space="0" w:color="auto"/>
        <w:right w:val="none" w:sz="0" w:space="0" w:color="auto"/>
      </w:divBdr>
    </w:div>
    <w:div w:id="1207646248">
      <w:bodyDiv w:val="1"/>
      <w:marLeft w:val="0"/>
      <w:marRight w:val="0"/>
      <w:marTop w:val="0"/>
      <w:marBottom w:val="0"/>
      <w:divBdr>
        <w:top w:val="none" w:sz="0" w:space="0" w:color="auto"/>
        <w:left w:val="none" w:sz="0" w:space="0" w:color="auto"/>
        <w:bottom w:val="none" w:sz="0" w:space="0" w:color="auto"/>
        <w:right w:val="none" w:sz="0" w:space="0" w:color="auto"/>
      </w:divBdr>
    </w:div>
    <w:div w:id="1241208616">
      <w:bodyDiv w:val="1"/>
      <w:marLeft w:val="0"/>
      <w:marRight w:val="0"/>
      <w:marTop w:val="0"/>
      <w:marBottom w:val="0"/>
      <w:divBdr>
        <w:top w:val="none" w:sz="0" w:space="0" w:color="auto"/>
        <w:left w:val="none" w:sz="0" w:space="0" w:color="auto"/>
        <w:bottom w:val="none" w:sz="0" w:space="0" w:color="auto"/>
        <w:right w:val="none" w:sz="0" w:space="0" w:color="auto"/>
      </w:divBdr>
    </w:div>
    <w:div w:id="1288127447">
      <w:bodyDiv w:val="1"/>
      <w:marLeft w:val="0"/>
      <w:marRight w:val="0"/>
      <w:marTop w:val="0"/>
      <w:marBottom w:val="0"/>
      <w:divBdr>
        <w:top w:val="none" w:sz="0" w:space="0" w:color="auto"/>
        <w:left w:val="none" w:sz="0" w:space="0" w:color="auto"/>
        <w:bottom w:val="none" w:sz="0" w:space="0" w:color="auto"/>
        <w:right w:val="none" w:sz="0" w:space="0" w:color="auto"/>
      </w:divBdr>
    </w:div>
    <w:div w:id="1406761226">
      <w:bodyDiv w:val="1"/>
      <w:marLeft w:val="0"/>
      <w:marRight w:val="0"/>
      <w:marTop w:val="0"/>
      <w:marBottom w:val="0"/>
      <w:divBdr>
        <w:top w:val="none" w:sz="0" w:space="0" w:color="auto"/>
        <w:left w:val="none" w:sz="0" w:space="0" w:color="auto"/>
        <w:bottom w:val="none" w:sz="0" w:space="0" w:color="auto"/>
        <w:right w:val="none" w:sz="0" w:space="0" w:color="auto"/>
      </w:divBdr>
    </w:div>
    <w:div w:id="1413700006">
      <w:bodyDiv w:val="1"/>
      <w:marLeft w:val="0"/>
      <w:marRight w:val="0"/>
      <w:marTop w:val="0"/>
      <w:marBottom w:val="0"/>
      <w:divBdr>
        <w:top w:val="none" w:sz="0" w:space="0" w:color="auto"/>
        <w:left w:val="none" w:sz="0" w:space="0" w:color="auto"/>
        <w:bottom w:val="none" w:sz="0" w:space="0" w:color="auto"/>
        <w:right w:val="none" w:sz="0" w:space="0" w:color="auto"/>
      </w:divBdr>
    </w:div>
    <w:div w:id="1439594198">
      <w:bodyDiv w:val="1"/>
      <w:marLeft w:val="0"/>
      <w:marRight w:val="0"/>
      <w:marTop w:val="0"/>
      <w:marBottom w:val="0"/>
      <w:divBdr>
        <w:top w:val="none" w:sz="0" w:space="0" w:color="auto"/>
        <w:left w:val="none" w:sz="0" w:space="0" w:color="auto"/>
        <w:bottom w:val="none" w:sz="0" w:space="0" w:color="auto"/>
        <w:right w:val="none" w:sz="0" w:space="0" w:color="auto"/>
      </w:divBdr>
    </w:div>
    <w:div w:id="1463187225">
      <w:bodyDiv w:val="1"/>
      <w:marLeft w:val="0"/>
      <w:marRight w:val="0"/>
      <w:marTop w:val="0"/>
      <w:marBottom w:val="0"/>
      <w:divBdr>
        <w:top w:val="none" w:sz="0" w:space="0" w:color="auto"/>
        <w:left w:val="none" w:sz="0" w:space="0" w:color="auto"/>
        <w:bottom w:val="none" w:sz="0" w:space="0" w:color="auto"/>
        <w:right w:val="none" w:sz="0" w:space="0" w:color="auto"/>
      </w:divBdr>
    </w:div>
    <w:div w:id="1474522783">
      <w:bodyDiv w:val="1"/>
      <w:marLeft w:val="0"/>
      <w:marRight w:val="0"/>
      <w:marTop w:val="0"/>
      <w:marBottom w:val="0"/>
      <w:divBdr>
        <w:top w:val="none" w:sz="0" w:space="0" w:color="auto"/>
        <w:left w:val="none" w:sz="0" w:space="0" w:color="auto"/>
        <w:bottom w:val="none" w:sz="0" w:space="0" w:color="auto"/>
        <w:right w:val="none" w:sz="0" w:space="0" w:color="auto"/>
      </w:divBdr>
    </w:div>
    <w:div w:id="1484351907">
      <w:bodyDiv w:val="1"/>
      <w:marLeft w:val="0"/>
      <w:marRight w:val="0"/>
      <w:marTop w:val="0"/>
      <w:marBottom w:val="0"/>
      <w:divBdr>
        <w:top w:val="none" w:sz="0" w:space="0" w:color="auto"/>
        <w:left w:val="none" w:sz="0" w:space="0" w:color="auto"/>
        <w:bottom w:val="none" w:sz="0" w:space="0" w:color="auto"/>
        <w:right w:val="none" w:sz="0" w:space="0" w:color="auto"/>
      </w:divBdr>
    </w:div>
    <w:div w:id="1544906687">
      <w:bodyDiv w:val="1"/>
      <w:marLeft w:val="0"/>
      <w:marRight w:val="0"/>
      <w:marTop w:val="0"/>
      <w:marBottom w:val="0"/>
      <w:divBdr>
        <w:top w:val="none" w:sz="0" w:space="0" w:color="auto"/>
        <w:left w:val="none" w:sz="0" w:space="0" w:color="auto"/>
        <w:bottom w:val="none" w:sz="0" w:space="0" w:color="auto"/>
        <w:right w:val="none" w:sz="0" w:space="0" w:color="auto"/>
      </w:divBdr>
    </w:div>
    <w:div w:id="1552687310">
      <w:bodyDiv w:val="1"/>
      <w:marLeft w:val="0"/>
      <w:marRight w:val="0"/>
      <w:marTop w:val="0"/>
      <w:marBottom w:val="0"/>
      <w:divBdr>
        <w:top w:val="none" w:sz="0" w:space="0" w:color="auto"/>
        <w:left w:val="none" w:sz="0" w:space="0" w:color="auto"/>
        <w:bottom w:val="none" w:sz="0" w:space="0" w:color="auto"/>
        <w:right w:val="none" w:sz="0" w:space="0" w:color="auto"/>
      </w:divBdr>
    </w:div>
    <w:div w:id="1575118288">
      <w:bodyDiv w:val="1"/>
      <w:marLeft w:val="0"/>
      <w:marRight w:val="0"/>
      <w:marTop w:val="0"/>
      <w:marBottom w:val="0"/>
      <w:divBdr>
        <w:top w:val="none" w:sz="0" w:space="0" w:color="auto"/>
        <w:left w:val="none" w:sz="0" w:space="0" w:color="auto"/>
        <w:bottom w:val="none" w:sz="0" w:space="0" w:color="auto"/>
        <w:right w:val="none" w:sz="0" w:space="0" w:color="auto"/>
      </w:divBdr>
    </w:div>
    <w:div w:id="1583375009">
      <w:bodyDiv w:val="1"/>
      <w:marLeft w:val="0"/>
      <w:marRight w:val="0"/>
      <w:marTop w:val="0"/>
      <w:marBottom w:val="0"/>
      <w:divBdr>
        <w:top w:val="none" w:sz="0" w:space="0" w:color="auto"/>
        <w:left w:val="none" w:sz="0" w:space="0" w:color="auto"/>
        <w:bottom w:val="none" w:sz="0" w:space="0" w:color="auto"/>
        <w:right w:val="none" w:sz="0" w:space="0" w:color="auto"/>
      </w:divBdr>
    </w:div>
    <w:div w:id="1602641289">
      <w:bodyDiv w:val="1"/>
      <w:marLeft w:val="0"/>
      <w:marRight w:val="0"/>
      <w:marTop w:val="0"/>
      <w:marBottom w:val="0"/>
      <w:divBdr>
        <w:top w:val="none" w:sz="0" w:space="0" w:color="auto"/>
        <w:left w:val="none" w:sz="0" w:space="0" w:color="auto"/>
        <w:bottom w:val="none" w:sz="0" w:space="0" w:color="auto"/>
        <w:right w:val="none" w:sz="0" w:space="0" w:color="auto"/>
      </w:divBdr>
    </w:div>
    <w:div w:id="1640304427">
      <w:bodyDiv w:val="1"/>
      <w:marLeft w:val="0"/>
      <w:marRight w:val="0"/>
      <w:marTop w:val="0"/>
      <w:marBottom w:val="0"/>
      <w:divBdr>
        <w:top w:val="none" w:sz="0" w:space="0" w:color="auto"/>
        <w:left w:val="none" w:sz="0" w:space="0" w:color="auto"/>
        <w:bottom w:val="none" w:sz="0" w:space="0" w:color="auto"/>
        <w:right w:val="none" w:sz="0" w:space="0" w:color="auto"/>
      </w:divBdr>
    </w:div>
    <w:div w:id="1686127687">
      <w:bodyDiv w:val="1"/>
      <w:marLeft w:val="0"/>
      <w:marRight w:val="0"/>
      <w:marTop w:val="0"/>
      <w:marBottom w:val="0"/>
      <w:divBdr>
        <w:top w:val="none" w:sz="0" w:space="0" w:color="auto"/>
        <w:left w:val="none" w:sz="0" w:space="0" w:color="auto"/>
        <w:bottom w:val="none" w:sz="0" w:space="0" w:color="auto"/>
        <w:right w:val="none" w:sz="0" w:space="0" w:color="auto"/>
      </w:divBdr>
    </w:div>
    <w:div w:id="1924603931">
      <w:bodyDiv w:val="1"/>
      <w:marLeft w:val="0"/>
      <w:marRight w:val="0"/>
      <w:marTop w:val="0"/>
      <w:marBottom w:val="0"/>
      <w:divBdr>
        <w:top w:val="none" w:sz="0" w:space="0" w:color="auto"/>
        <w:left w:val="none" w:sz="0" w:space="0" w:color="auto"/>
        <w:bottom w:val="none" w:sz="0" w:space="0" w:color="auto"/>
        <w:right w:val="none" w:sz="0" w:space="0" w:color="auto"/>
      </w:divBdr>
    </w:div>
    <w:div w:id="1928079611">
      <w:bodyDiv w:val="1"/>
      <w:marLeft w:val="0"/>
      <w:marRight w:val="0"/>
      <w:marTop w:val="0"/>
      <w:marBottom w:val="0"/>
      <w:divBdr>
        <w:top w:val="none" w:sz="0" w:space="0" w:color="auto"/>
        <w:left w:val="none" w:sz="0" w:space="0" w:color="auto"/>
        <w:bottom w:val="none" w:sz="0" w:space="0" w:color="auto"/>
        <w:right w:val="none" w:sz="0" w:space="0" w:color="auto"/>
      </w:divBdr>
    </w:div>
    <w:div w:id="1992827938">
      <w:bodyDiv w:val="1"/>
      <w:marLeft w:val="0"/>
      <w:marRight w:val="0"/>
      <w:marTop w:val="0"/>
      <w:marBottom w:val="0"/>
      <w:divBdr>
        <w:top w:val="none" w:sz="0" w:space="0" w:color="auto"/>
        <w:left w:val="none" w:sz="0" w:space="0" w:color="auto"/>
        <w:bottom w:val="none" w:sz="0" w:space="0" w:color="auto"/>
        <w:right w:val="none" w:sz="0" w:space="0" w:color="auto"/>
      </w:divBdr>
    </w:div>
    <w:div w:id="1996376610">
      <w:bodyDiv w:val="1"/>
      <w:marLeft w:val="0"/>
      <w:marRight w:val="0"/>
      <w:marTop w:val="0"/>
      <w:marBottom w:val="0"/>
      <w:divBdr>
        <w:top w:val="none" w:sz="0" w:space="0" w:color="auto"/>
        <w:left w:val="none" w:sz="0" w:space="0" w:color="auto"/>
        <w:bottom w:val="none" w:sz="0" w:space="0" w:color="auto"/>
        <w:right w:val="none" w:sz="0" w:space="0" w:color="auto"/>
      </w:divBdr>
    </w:div>
    <w:div w:id="2046636703">
      <w:bodyDiv w:val="1"/>
      <w:marLeft w:val="0"/>
      <w:marRight w:val="0"/>
      <w:marTop w:val="0"/>
      <w:marBottom w:val="0"/>
      <w:divBdr>
        <w:top w:val="none" w:sz="0" w:space="0" w:color="auto"/>
        <w:left w:val="none" w:sz="0" w:space="0" w:color="auto"/>
        <w:bottom w:val="none" w:sz="0" w:space="0" w:color="auto"/>
        <w:right w:val="none" w:sz="0" w:space="0" w:color="auto"/>
      </w:divBdr>
    </w:div>
    <w:div w:id="2056001141">
      <w:bodyDiv w:val="1"/>
      <w:marLeft w:val="0"/>
      <w:marRight w:val="0"/>
      <w:marTop w:val="0"/>
      <w:marBottom w:val="0"/>
      <w:divBdr>
        <w:top w:val="none" w:sz="0" w:space="0" w:color="auto"/>
        <w:left w:val="none" w:sz="0" w:space="0" w:color="auto"/>
        <w:bottom w:val="none" w:sz="0" w:space="0" w:color="auto"/>
        <w:right w:val="none" w:sz="0" w:space="0" w:color="auto"/>
      </w:divBdr>
    </w:div>
    <w:div w:id="2088186703">
      <w:bodyDiv w:val="1"/>
      <w:marLeft w:val="0"/>
      <w:marRight w:val="0"/>
      <w:marTop w:val="0"/>
      <w:marBottom w:val="0"/>
      <w:divBdr>
        <w:top w:val="none" w:sz="0" w:space="0" w:color="auto"/>
        <w:left w:val="none" w:sz="0" w:space="0" w:color="auto"/>
        <w:bottom w:val="none" w:sz="0" w:space="0" w:color="auto"/>
        <w:right w:val="none" w:sz="0" w:space="0" w:color="auto"/>
      </w:divBdr>
    </w:div>
    <w:div w:id="2131387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4.png"/><Relationship Id="rId39" Type="http://schemas.openxmlformats.org/officeDocument/2006/relationships/image" Target="media/image16.emf"/><Relationship Id="rId21" Type="http://schemas.openxmlformats.org/officeDocument/2006/relationships/chart" Target="charts/chart13.xml"/><Relationship Id="rId34" Type="http://schemas.openxmlformats.org/officeDocument/2006/relationships/image" Target="media/image11.wmf"/><Relationship Id="rId42" Type="http://schemas.openxmlformats.org/officeDocument/2006/relationships/image" Target="media/image18.png"/><Relationship Id="rId47" Type="http://schemas.openxmlformats.org/officeDocument/2006/relationships/hyperlink" Target="mailto:golino@istat.it"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6.emf"/><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image" Target="media/image9.wmf"/><Relationship Id="rId37" Type="http://schemas.openxmlformats.org/officeDocument/2006/relationships/image" Target="media/image14.emf"/><Relationship Id="rId40" Type="http://schemas.openxmlformats.org/officeDocument/2006/relationships/image" Target="media/image17.wmf"/><Relationship Id="rId45" Type="http://schemas.openxmlformats.org/officeDocument/2006/relationships/hyperlink" Target="http://www.istat.it/it/conti-nazionali"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media/image13.wmf"/><Relationship Id="rId49"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8.emf"/><Relationship Id="rId44" Type="http://schemas.openxmlformats.org/officeDocument/2006/relationships/hyperlink" Target="http://www.istat.it/it/archivio/162712"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6.xml"/><Relationship Id="rId30" Type="http://schemas.openxmlformats.org/officeDocument/2006/relationships/image" Target="media/image7.wmf"/><Relationship Id="rId35" Type="http://schemas.openxmlformats.org/officeDocument/2006/relationships/image" Target="media/image12.emf"/><Relationship Id="rId43" Type="http://schemas.openxmlformats.org/officeDocument/2006/relationships/image" Target="media/image19.png"/><Relationship Id="rId48" Type="http://schemas.openxmlformats.org/officeDocument/2006/relationships/hyperlink" Target="mailto:golino@istat.it" TargetMode="Externa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3.png"/><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hyperlink" Target="http://ec.europa.eu/eurostat/data/database" TargetMode="External"/><Relationship Id="rId20" Type="http://schemas.openxmlformats.org/officeDocument/2006/relationships/chart" Target="charts/chart12.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nzal\Downloads\Tavole&amp;Grafici_pubblicazione_2022_finale_E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nzal\Downloads\Tavole&amp;Grafici_pubblicazione_2022_finale_E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2.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1'!$A$28</c:f>
              <c:strCache>
                <c:ptCount val="1"/>
                <c:pt idx="0">
                  <c:v>Agriculture, forestry and fishing</c:v>
                </c:pt>
              </c:strCache>
            </c:strRef>
          </c:tx>
          <c:spPr>
            <a:ln w="28575" cap="rnd">
              <a:solidFill>
                <a:schemeClr val="accent1"/>
              </a:solidFill>
              <a:round/>
            </a:ln>
            <a:effectLst/>
          </c:spPr>
          <c:marker>
            <c:symbol val="none"/>
          </c:marker>
          <c:cat>
            <c:numRef>
              <c:f>'FIGURE 1'!$B$27:$W$27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 1'!$B$28:$W$28</c:f>
              <c:numCache>
                <c:formatCode>0.0</c:formatCode>
                <c:ptCount val="22"/>
                <c:pt idx="0" formatCode="General">
                  <c:v>100</c:v>
                </c:pt>
                <c:pt idx="1">
                  <c:v>100.82572502685285</c:v>
                </c:pt>
                <c:pt idx="2">
                  <c:v>97.301288936627301</c:v>
                </c:pt>
                <c:pt idx="3">
                  <c:v>94.253490870032238</c:v>
                </c:pt>
                <c:pt idx="4">
                  <c:v>93.501611170784102</c:v>
                </c:pt>
                <c:pt idx="5">
                  <c:v>89.379699248120318</c:v>
                </c:pt>
                <c:pt idx="6">
                  <c:v>90.849892588614395</c:v>
                </c:pt>
                <c:pt idx="7">
                  <c:v>87.882653061224488</c:v>
                </c:pt>
                <c:pt idx="8">
                  <c:v>85.559881847475836</c:v>
                </c:pt>
                <c:pt idx="9">
                  <c:v>84.358216970998924</c:v>
                </c:pt>
                <c:pt idx="10">
                  <c:v>85.049677765843185</c:v>
                </c:pt>
                <c:pt idx="11">
                  <c:v>83.28410311493019</c:v>
                </c:pt>
                <c:pt idx="12">
                  <c:v>81.437969924812023</c:v>
                </c:pt>
                <c:pt idx="13">
                  <c:v>80.538399570354471</c:v>
                </c:pt>
                <c:pt idx="14">
                  <c:v>82.022019334049418</c:v>
                </c:pt>
                <c:pt idx="15">
                  <c:v>83.519065520945219</c:v>
                </c:pt>
                <c:pt idx="16">
                  <c:v>85.700859291084853</c:v>
                </c:pt>
                <c:pt idx="17">
                  <c:v>83.975563909774436</c:v>
                </c:pt>
                <c:pt idx="18">
                  <c:v>85.24436090225565</c:v>
                </c:pt>
                <c:pt idx="19">
                  <c:v>83.780880773361972</c:v>
                </c:pt>
                <c:pt idx="20">
                  <c:v>82.069011815252424</c:v>
                </c:pt>
                <c:pt idx="21">
                  <c:v>84.505907626208369</c:v>
                </c:pt>
              </c:numCache>
            </c:numRef>
          </c:val>
          <c:smooth val="0"/>
          <c:extLst>
            <c:ext xmlns:c16="http://schemas.microsoft.com/office/drawing/2014/chart" uri="{C3380CC4-5D6E-409C-BE32-E72D297353CC}">
              <c16:uniqueId val="{00000000-CCCA-4DBC-A947-B70784EF4CA0}"/>
            </c:ext>
          </c:extLst>
        </c:ser>
        <c:ser>
          <c:idx val="1"/>
          <c:order val="1"/>
          <c:tx>
            <c:strRef>
              <c:f>'FIGURE 1'!$A$29</c:f>
              <c:strCache>
                <c:ptCount val="1"/>
                <c:pt idx="0">
                  <c:v>Total economy</c:v>
                </c:pt>
              </c:strCache>
            </c:strRef>
          </c:tx>
          <c:spPr>
            <a:ln w="28575" cap="rnd">
              <a:solidFill>
                <a:schemeClr val="accent2"/>
              </a:solidFill>
              <a:round/>
            </a:ln>
            <a:effectLst/>
          </c:spPr>
          <c:marker>
            <c:symbol val="none"/>
          </c:marker>
          <c:cat>
            <c:numRef>
              <c:f>'FIGURE 1'!$B$27:$W$27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 1'!$B$29:$W$29</c:f>
              <c:numCache>
                <c:formatCode>0.0</c:formatCode>
                <c:ptCount val="22"/>
                <c:pt idx="0" formatCode="General">
                  <c:v>100</c:v>
                </c:pt>
                <c:pt idx="1">
                  <c:v>101.74531570869172</c:v>
                </c:pt>
                <c:pt idx="2">
                  <c:v>102.77507323523285</c:v>
                </c:pt>
                <c:pt idx="3">
                  <c:v>103.36350610754208</c:v>
                </c:pt>
                <c:pt idx="4">
                  <c:v>103.82821501609263</c:v>
                </c:pt>
                <c:pt idx="5">
                  <c:v>103.88773857254007</c:v>
                </c:pt>
                <c:pt idx="6">
                  <c:v>105.68875132333622</c:v>
                </c:pt>
                <c:pt idx="7">
                  <c:v>106.74316860897702</c:v>
                </c:pt>
                <c:pt idx="8">
                  <c:v>106.32097652646036</c:v>
                </c:pt>
                <c:pt idx="9">
                  <c:v>103.40942427965869</c:v>
                </c:pt>
                <c:pt idx="10">
                  <c:v>102.54420686986876</c:v>
                </c:pt>
                <c:pt idx="11">
                  <c:v>102.63221669975894</c:v>
                </c:pt>
                <c:pt idx="12">
                  <c:v>101.27380410797575</c:v>
                </c:pt>
                <c:pt idx="13">
                  <c:v>98.807403029749025</c:v>
                </c:pt>
                <c:pt idx="14">
                  <c:v>98.997028073860236</c:v>
                </c:pt>
                <c:pt idx="15">
                  <c:v>99.659865391728772</c:v>
                </c:pt>
                <c:pt idx="16">
                  <c:v>101.01360113264826</c:v>
                </c:pt>
                <c:pt idx="17">
                  <c:v>101.80653993818053</c:v>
                </c:pt>
                <c:pt idx="18">
                  <c:v>102.5718428067908</c:v>
                </c:pt>
                <c:pt idx="19">
                  <c:v>102.62201266151078</c:v>
                </c:pt>
                <c:pt idx="20">
                  <c:v>92.063384084251354</c:v>
                </c:pt>
                <c:pt idx="21">
                  <c:v>99.025514347302959</c:v>
                </c:pt>
              </c:numCache>
            </c:numRef>
          </c:val>
          <c:smooth val="0"/>
          <c:extLst>
            <c:ext xmlns:c16="http://schemas.microsoft.com/office/drawing/2014/chart" uri="{C3380CC4-5D6E-409C-BE32-E72D297353CC}">
              <c16:uniqueId val="{00000001-CCCA-4DBC-A947-B70784EF4CA0}"/>
            </c:ext>
          </c:extLst>
        </c:ser>
        <c:dLbls>
          <c:showLegendKey val="0"/>
          <c:showVal val="0"/>
          <c:showCatName val="0"/>
          <c:showSerName val="0"/>
          <c:showPercent val="0"/>
          <c:showBubbleSize val="0"/>
        </c:dLbls>
        <c:smooth val="0"/>
        <c:axId val="365607584"/>
        <c:axId val="365608144"/>
      </c:lineChart>
      <c:catAx>
        <c:axId val="365607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65608144"/>
        <c:crosses val="autoZero"/>
        <c:auto val="1"/>
        <c:lblAlgn val="ctr"/>
        <c:lblOffset val="100"/>
        <c:noMultiLvlLbl val="0"/>
      </c:catAx>
      <c:valAx>
        <c:axId val="365608144"/>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6350">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6560758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133552324364363E-2"/>
          <c:y val="0.13475022706630335"/>
          <c:w val="0.93523234144580714"/>
          <c:h val="0.73184172325416097"/>
        </c:manualLayout>
      </c:layout>
      <c:lineChart>
        <c:grouping val="standard"/>
        <c:varyColors val="0"/>
        <c:ser>
          <c:idx val="0"/>
          <c:order val="0"/>
          <c:tx>
            <c:strRef>
              <c:f>'FIGURE 10'!$A$9</c:f>
              <c:strCache>
                <c:ptCount val="1"/>
                <c:pt idx="0">
                  <c:v>Renewable energies</c:v>
                </c:pt>
              </c:strCache>
            </c:strRef>
          </c:tx>
          <c:spPr>
            <a:ln w="28575" cap="rnd">
              <a:solidFill>
                <a:schemeClr val="accent1"/>
              </a:solidFill>
              <a:round/>
            </a:ln>
            <a:effectLst/>
          </c:spPr>
          <c:marker>
            <c:symbol val="none"/>
          </c:marker>
          <c:cat>
            <c:numRef>
              <c:f>'FIGURE 10'!$B$8:$AB$8</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10'!$B$9:$AB$9</c:f>
              <c:numCache>
                <c:formatCode>#,##0</c:formatCode>
                <c:ptCount val="27"/>
                <c:pt idx="0">
                  <c:v>0</c:v>
                </c:pt>
                <c:pt idx="1">
                  <c:v>0</c:v>
                </c:pt>
                <c:pt idx="2">
                  <c:v>0</c:v>
                </c:pt>
                <c:pt idx="3">
                  <c:v>0</c:v>
                </c:pt>
                <c:pt idx="4">
                  <c:v>0</c:v>
                </c:pt>
                <c:pt idx="5">
                  <c:v>0.95000000000000018</c:v>
                </c:pt>
                <c:pt idx="6">
                  <c:v>1.59</c:v>
                </c:pt>
                <c:pt idx="7">
                  <c:v>11.900000000000002</c:v>
                </c:pt>
                <c:pt idx="8">
                  <c:v>12.070000000000002</c:v>
                </c:pt>
                <c:pt idx="9">
                  <c:v>9.5294119844090783</c:v>
                </c:pt>
                <c:pt idx="10">
                  <c:v>16.291925032554548</c:v>
                </c:pt>
                <c:pt idx="11">
                  <c:v>19.43418735281384</c:v>
                </c:pt>
                <c:pt idx="12">
                  <c:v>24.428401683477922</c:v>
                </c:pt>
                <c:pt idx="13">
                  <c:v>61.087120871678877</c:v>
                </c:pt>
                <c:pt idx="14">
                  <c:v>90.874633163859116</c:v>
                </c:pt>
                <c:pt idx="15">
                  <c:v>259.49909351049388</c:v>
                </c:pt>
                <c:pt idx="16">
                  <c:v>926.22848159621378</c:v>
                </c:pt>
                <c:pt idx="17">
                  <c:v>1635.5284802099275</c:v>
                </c:pt>
                <c:pt idx="18">
                  <c:v>2162.1986522821467</c:v>
                </c:pt>
                <c:pt idx="19">
                  <c:v>2142.5195613889082</c:v>
                </c:pt>
                <c:pt idx="20">
                  <c:v>2044.4944947803601</c:v>
                </c:pt>
                <c:pt idx="21">
                  <c:v>2042.4255594104161</c:v>
                </c:pt>
                <c:pt idx="22">
                  <c:v>2307.0359887587397</c:v>
                </c:pt>
                <c:pt idx="23">
                  <c:v>2227.0486595201742</c:v>
                </c:pt>
                <c:pt idx="24">
                  <c:v>2188.131534067903</c:v>
                </c:pt>
                <c:pt idx="25">
                  <c:v>2205.5827972055977</c:v>
                </c:pt>
                <c:pt idx="26">
                  <c:v>2536.8613333458784</c:v>
                </c:pt>
              </c:numCache>
            </c:numRef>
          </c:val>
          <c:smooth val="0"/>
          <c:extLst>
            <c:ext xmlns:c16="http://schemas.microsoft.com/office/drawing/2014/chart" uri="{C3380CC4-5D6E-409C-BE32-E72D297353CC}">
              <c16:uniqueId val="{00000000-A740-4E8B-9F3C-58A4F543B7BE}"/>
            </c:ext>
          </c:extLst>
        </c:ser>
        <c:ser>
          <c:idx val="1"/>
          <c:order val="1"/>
          <c:tx>
            <c:strRef>
              <c:f>'FIGURE 10'!$A$10</c:f>
              <c:strCache>
                <c:ptCount val="1"/>
                <c:pt idx="0">
                  <c:v>Agritourism</c:v>
                </c:pt>
              </c:strCache>
            </c:strRef>
          </c:tx>
          <c:spPr>
            <a:ln w="28575" cap="rnd">
              <a:solidFill>
                <a:schemeClr val="accent2"/>
              </a:solidFill>
              <a:round/>
            </a:ln>
            <a:effectLst/>
          </c:spPr>
          <c:marker>
            <c:symbol val="none"/>
          </c:marker>
          <c:cat>
            <c:numRef>
              <c:f>'FIGURE 10'!$B$8:$AB$8</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10'!$B$10:$AB$10</c:f>
              <c:numCache>
                <c:formatCode>#,##0</c:formatCode>
                <c:ptCount val="27"/>
                <c:pt idx="0">
                  <c:v>346.6073475771434</c:v>
                </c:pt>
                <c:pt idx="1">
                  <c:v>413.73153819799722</c:v>
                </c:pt>
                <c:pt idx="2">
                  <c:v>446.28878035541737</c:v>
                </c:pt>
                <c:pt idx="3">
                  <c:v>462.23245038312518</c:v>
                </c:pt>
                <c:pt idx="4">
                  <c:v>498.13920305056791</c:v>
                </c:pt>
                <c:pt idx="5">
                  <c:v>518.90616821270828</c:v>
                </c:pt>
                <c:pt idx="6">
                  <c:v>584.69055462955305</c:v>
                </c:pt>
                <c:pt idx="7">
                  <c:v>638.81864447151895</c:v>
                </c:pt>
                <c:pt idx="8">
                  <c:v>671.10792578813721</c:v>
                </c:pt>
                <c:pt idx="9">
                  <c:v>697.50206860711569</c:v>
                </c:pt>
                <c:pt idx="10">
                  <c:v>703.79914836595822</c:v>
                </c:pt>
                <c:pt idx="11">
                  <c:v>841.61140879032996</c:v>
                </c:pt>
                <c:pt idx="12">
                  <c:v>1099.4330012592245</c:v>
                </c:pt>
                <c:pt idx="13">
                  <c:v>1158.0463656931893</c:v>
                </c:pt>
                <c:pt idx="14">
                  <c:v>1076.0434752122683</c:v>
                </c:pt>
                <c:pt idx="15">
                  <c:v>1108</c:v>
                </c:pt>
                <c:pt idx="16">
                  <c:v>1164</c:v>
                </c:pt>
                <c:pt idx="17">
                  <c:v>1114.0966584223331</c:v>
                </c:pt>
                <c:pt idx="18">
                  <c:v>1138.7816809991896</c:v>
                </c:pt>
                <c:pt idx="19">
                  <c:v>1153.5999999999999</c:v>
                </c:pt>
                <c:pt idx="20">
                  <c:v>1188.4000000000001</c:v>
                </c:pt>
                <c:pt idx="21">
                  <c:v>1228.576888961956</c:v>
                </c:pt>
                <c:pt idx="22">
                  <c:v>1356.2547263448212</c:v>
                </c:pt>
                <c:pt idx="23">
                  <c:v>1471.610020607872</c:v>
                </c:pt>
                <c:pt idx="24">
                  <c:v>1571.4633212812257</c:v>
                </c:pt>
                <c:pt idx="25">
                  <c:v>802.29806119852219</c:v>
                </c:pt>
                <c:pt idx="26">
                  <c:v>991.15902480465434</c:v>
                </c:pt>
              </c:numCache>
            </c:numRef>
          </c:val>
          <c:smooth val="0"/>
          <c:extLst>
            <c:ext xmlns:c16="http://schemas.microsoft.com/office/drawing/2014/chart" uri="{C3380CC4-5D6E-409C-BE32-E72D297353CC}">
              <c16:uniqueId val="{00000001-A740-4E8B-9F3C-58A4F543B7BE}"/>
            </c:ext>
          </c:extLst>
        </c:ser>
        <c:ser>
          <c:idx val="2"/>
          <c:order val="2"/>
          <c:tx>
            <c:strRef>
              <c:f>'FIGURE 10'!$A$11</c:f>
              <c:strCache>
                <c:ptCount val="1"/>
                <c:pt idx="0">
                  <c:v>Processing of agricultural products (Fruit - Milk - Meat)</c:v>
                </c:pt>
              </c:strCache>
            </c:strRef>
          </c:tx>
          <c:spPr>
            <a:ln w="28575" cap="rnd">
              <a:solidFill>
                <a:schemeClr val="accent3"/>
              </a:solidFill>
              <a:round/>
            </a:ln>
            <a:effectLst/>
          </c:spPr>
          <c:marker>
            <c:symbol val="none"/>
          </c:marker>
          <c:cat>
            <c:numRef>
              <c:f>'FIGURE 10'!$B$8:$AB$8</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10'!$B$11:$AB$11</c:f>
              <c:numCache>
                <c:formatCode>#,##0</c:formatCode>
                <c:ptCount val="27"/>
                <c:pt idx="0">
                  <c:v>794.79235668789806</c:v>
                </c:pt>
                <c:pt idx="1">
                  <c:v>804.76152866242035</c:v>
                </c:pt>
                <c:pt idx="2">
                  <c:v>757.17312101910829</c:v>
                </c:pt>
                <c:pt idx="3">
                  <c:v>778.51159235668797</c:v>
                </c:pt>
                <c:pt idx="4">
                  <c:v>798.37605095541403</c:v>
                </c:pt>
                <c:pt idx="5">
                  <c:v>810.43554140127378</c:v>
                </c:pt>
                <c:pt idx="6">
                  <c:v>864.44993630573254</c:v>
                </c:pt>
                <c:pt idx="7">
                  <c:v>742.59740127388523</c:v>
                </c:pt>
                <c:pt idx="8">
                  <c:v>743.50611464968154</c:v>
                </c:pt>
                <c:pt idx="9">
                  <c:v>736.58942675159233</c:v>
                </c:pt>
                <c:pt idx="10">
                  <c:v>664.77006369426749</c:v>
                </c:pt>
                <c:pt idx="11">
                  <c:v>711.91035668789812</c:v>
                </c:pt>
                <c:pt idx="12">
                  <c:v>719.61232549681517</c:v>
                </c:pt>
                <c:pt idx="13">
                  <c:v>758.26256815286627</c:v>
                </c:pt>
                <c:pt idx="14">
                  <c:v>789.94096547987397</c:v>
                </c:pt>
                <c:pt idx="15">
                  <c:v>722.21655393434003</c:v>
                </c:pt>
                <c:pt idx="16">
                  <c:v>777</c:v>
                </c:pt>
                <c:pt idx="17">
                  <c:v>763</c:v>
                </c:pt>
                <c:pt idx="18">
                  <c:v>802.58999999999992</c:v>
                </c:pt>
                <c:pt idx="19">
                  <c:v>801</c:v>
                </c:pt>
                <c:pt idx="20">
                  <c:v>781</c:v>
                </c:pt>
                <c:pt idx="21">
                  <c:v>761.58149690000005</c:v>
                </c:pt>
                <c:pt idx="22">
                  <c:v>799.8</c:v>
                </c:pt>
                <c:pt idx="23">
                  <c:v>795.73161399999981</c:v>
                </c:pt>
                <c:pt idx="24">
                  <c:v>811.40000000000009</c:v>
                </c:pt>
                <c:pt idx="25">
                  <c:v>781.76373999999998</c:v>
                </c:pt>
                <c:pt idx="26">
                  <c:v>872.67508709986009</c:v>
                </c:pt>
              </c:numCache>
            </c:numRef>
          </c:val>
          <c:smooth val="0"/>
          <c:extLst>
            <c:ext xmlns:c16="http://schemas.microsoft.com/office/drawing/2014/chart" uri="{C3380CC4-5D6E-409C-BE32-E72D297353CC}">
              <c16:uniqueId val="{00000002-A740-4E8B-9F3C-58A4F543B7BE}"/>
            </c:ext>
          </c:extLst>
        </c:ser>
        <c:ser>
          <c:idx val="3"/>
          <c:order val="3"/>
          <c:tx>
            <c:strRef>
              <c:f>'FIGURE 10'!$A$12</c:f>
              <c:strCache>
                <c:ptCount val="1"/>
                <c:pt idx="0">
                  <c:v>Other</c:v>
                </c:pt>
              </c:strCache>
            </c:strRef>
          </c:tx>
          <c:spPr>
            <a:ln w="28575" cap="rnd">
              <a:solidFill>
                <a:schemeClr val="accent4"/>
              </a:solidFill>
              <a:round/>
            </a:ln>
            <a:effectLst/>
          </c:spPr>
          <c:marker>
            <c:symbol val="none"/>
          </c:marker>
          <c:cat>
            <c:numRef>
              <c:f>'FIGURE 10'!$B$8:$AB$8</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10'!$B$12:$AB$12</c:f>
              <c:numCache>
                <c:formatCode>#,##0</c:formatCode>
                <c:ptCount val="27"/>
                <c:pt idx="0">
                  <c:v>324.62930412040282</c:v>
                </c:pt>
                <c:pt idx="1">
                  <c:v>352.2808220663984</c:v>
                </c:pt>
                <c:pt idx="2">
                  <c:v>359.01177778461357</c:v>
                </c:pt>
                <c:pt idx="3">
                  <c:v>356.77721034163153</c:v>
                </c:pt>
                <c:pt idx="4">
                  <c:v>346.86797369314621</c:v>
                </c:pt>
                <c:pt idx="5">
                  <c:v>577.21991811477073</c:v>
                </c:pt>
                <c:pt idx="6">
                  <c:v>579.18744344013726</c:v>
                </c:pt>
                <c:pt idx="7">
                  <c:v>615.53445712192752</c:v>
                </c:pt>
                <c:pt idx="8">
                  <c:v>652.63605557101653</c:v>
                </c:pt>
                <c:pt idx="9">
                  <c:v>662.20658255438298</c:v>
                </c:pt>
                <c:pt idx="10">
                  <c:v>661.26703550256718</c:v>
                </c:pt>
                <c:pt idx="11">
                  <c:v>683.89535081889619</c:v>
                </c:pt>
                <c:pt idx="12">
                  <c:v>711.16239473054225</c:v>
                </c:pt>
                <c:pt idx="13">
                  <c:v>758.14706380168366</c:v>
                </c:pt>
                <c:pt idx="14">
                  <c:v>792.10007619981764</c:v>
                </c:pt>
                <c:pt idx="15">
                  <c:v>798.7640728806341</c:v>
                </c:pt>
                <c:pt idx="16">
                  <c:v>855.23566780699196</c:v>
                </c:pt>
                <c:pt idx="17">
                  <c:v>873.02674542823956</c:v>
                </c:pt>
                <c:pt idx="18">
                  <c:v>909.93746455612745</c:v>
                </c:pt>
                <c:pt idx="19">
                  <c:v>873.64828799999987</c:v>
                </c:pt>
                <c:pt idx="20">
                  <c:v>873.5</c:v>
                </c:pt>
                <c:pt idx="21">
                  <c:v>872.28825000000052</c:v>
                </c:pt>
                <c:pt idx="22">
                  <c:v>909.19999999999936</c:v>
                </c:pt>
                <c:pt idx="23">
                  <c:v>943.67847099999972</c:v>
                </c:pt>
                <c:pt idx="24">
                  <c:v>978.79999999999927</c:v>
                </c:pt>
                <c:pt idx="25">
                  <c:v>797.99514299999964</c:v>
                </c:pt>
                <c:pt idx="26">
                  <c:v>923.18619175363665</c:v>
                </c:pt>
              </c:numCache>
            </c:numRef>
          </c:val>
          <c:smooth val="0"/>
          <c:extLst>
            <c:ext xmlns:c16="http://schemas.microsoft.com/office/drawing/2014/chart" uri="{C3380CC4-5D6E-409C-BE32-E72D297353CC}">
              <c16:uniqueId val="{00000003-A740-4E8B-9F3C-58A4F543B7BE}"/>
            </c:ext>
          </c:extLst>
        </c:ser>
        <c:dLbls>
          <c:showLegendKey val="0"/>
          <c:showVal val="0"/>
          <c:showCatName val="0"/>
          <c:showSerName val="0"/>
          <c:showPercent val="0"/>
          <c:showBubbleSize val="0"/>
        </c:dLbls>
        <c:smooth val="0"/>
        <c:axId val="329220640"/>
        <c:axId val="329221200"/>
      </c:lineChart>
      <c:catAx>
        <c:axId val="32922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29221200"/>
        <c:crosses val="autoZero"/>
        <c:auto val="1"/>
        <c:lblAlgn val="ctr"/>
        <c:lblOffset val="100"/>
        <c:noMultiLvlLbl val="0"/>
      </c:catAx>
      <c:valAx>
        <c:axId val="329221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29220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613356787019302E-2"/>
          <c:y val="0.12933130699088147"/>
          <c:w val="0.94356171938174171"/>
          <c:h val="0.74731788845543223"/>
        </c:manualLayout>
      </c:layout>
      <c:lineChart>
        <c:grouping val="standard"/>
        <c:varyColors val="0"/>
        <c:ser>
          <c:idx val="0"/>
          <c:order val="0"/>
          <c:tx>
            <c:strRef>
              <c:f>'FIGURE 11'!$C$2</c:f>
              <c:strCache>
                <c:ptCount val="1"/>
                <c:pt idx="0">
                  <c:v>Output prices </c:v>
                </c:pt>
              </c:strCache>
            </c:strRef>
          </c:tx>
          <c:spPr>
            <a:ln w="31750" cap="rnd">
              <a:solidFill>
                <a:schemeClr val="tx2"/>
              </a:solidFill>
              <a:round/>
            </a:ln>
            <a:effectLst/>
          </c:spPr>
          <c:marker>
            <c:symbol val="none"/>
          </c:marker>
          <c:cat>
            <c:numRef>
              <c:f>'FIGURE 11'!$D$1:$AD$1</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11'!$D$2:$AD$2</c:f>
              <c:numCache>
                <c:formatCode>0.0</c:formatCode>
                <c:ptCount val="27"/>
                <c:pt idx="0">
                  <c:v>100</c:v>
                </c:pt>
                <c:pt idx="1">
                  <c:v>103.98381308926089</c:v>
                </c:pt>
                <c:pt idx="2">
                  <c:v>102.90451063720658</c:v>
                </c:pt>
                <c:pt idx="3">
                  <c:v>101.71812211187964</c:v>
                </c:pt>
                <c:pt idx="4">
                  <c:v>98.740499282871838</c:v>
                </c:pt>
                <c:pt idx="5">
                  <c:v>100.09164342047656</c:v>
                </c:pt>
                <c:pt idx="6">
                  <c:v>104.0789142424035</c:v>
                </c:pt>
                <c:pt idx="7">
                  <c:v>106.37294860993279</c:v>
                </c:pt>
                <c:pt idx="8">
                  <c:v>111.92739154934571</c:v>
                </c:pt>
                <c:pt idx="9">
                  <c:v>106.78133452750852</c:v>
                </c:pt>
                <c:pt idx="10">
                  <c:v>101.39519856967115</c:v>
                </c:pt>
                <c:pt idx="11">
                  <c:v>102.62353850499807</c:v>
                </c:pt>
                <c:pt idx="12">
                  <c:v>105.8802916866934</c:v>
                </c:pt>
                <c:pt idx="13">
                  <c:v>110.03239715296492</c:v>
                </c:pt>
                <c:pt idx="14">
                  <c:v>103.57446710697707</c:v>
                </c:pt>
                <c:pt idx="15">
                  <c:v>105.32527768940191</c:v>
                </c:pt>
                <c:pt idx="16">
                  <c:v>112.83460932726354</c:v>
                </c:pt>
                <c:pt idx="17">
                  <c:v>119.56142617548259</c:v>
                </c:pt>
                <c:pt idx="18">
                  <c:v>124.86985204592223</c:v>
                </c:pt>
                <c:pt idx="19">
                  <c:v>121.04613507879878</c:v>
                </c:pt>
                <c:pt idx="20">
                  <c:v>119.91091350346331</c:v>
                </c:pt>
                <c:pt idx="21">
                  <c:v>115.37815247466322</c:v>
                </c:pt>
                <c:pt idx="22">
                  <c:v>122.6398582061145</c:v>
                </c:pt>
                <c:pt idx="23">
                  <c:v>123.46950715889054</c:v>
                </c:pt>
                <c:pt idx="24">
                  <c:v>124.5403899421205</c:v>
                </c:pt>
                <c:pt idx="25">
                  <c:v>125.26655567824089</c:v>
                </c:pt>
                <c:pt idx="26">
                  <c:v>133.58785812680568</c:v>
                </c:pt>
              </c:numCache>
            </c:numRef>
          </c:val>
          <c:smooth val="0"/>
          <c:extLst>
            <c:ext xmlns:c16="http://schemas.microsoft.com/office/drawing/2014/chart" uri="{C3380CC4-5D6E-409C-BE32-E72D297353CC}">
              <c16:uniqueId val="{00000000-3298-4660-99E9-BDE0325020A9}"/>
            </c:ext>
          </c:extLst>
        </c:ser>
        <c:ser>
          <c:idx val="1"/>
          <c:order val="1"/>
          <c:tx>
            <c:strRef>
              <c:f>'FIGURE 11'!$C$3</c:f>
              <c:strCache>
                <c:ptCount val="1"/>
                <c:pt idx="0">
                  <c:v>Inputs prices</c:v>
                </c:pt>
              </c:strCache>
            </c:strRef>
          </c:tx>
          <c:spPr>
            <a:ln w="28575" cap="rnd">
              <a:solidFill>
                <a:srgbClr val="FF0000"/>
              </a:solidFill>
              <a:round/>
            </a:ln>
            <a:effectLst/>
          </c:spPr>
          <c:marker>
            <c:symbol val="none"/>
          </c:marker>
          <c:cat>
            <c:numRef>
              <c:f>'FIGURE 11'!$D$1:$AD$1</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11'!$D$3:$AD$3</c:f>
              <c:numCache>
                <c:formatCode>0.0</c:formatCode>
                <c:ptCount val="27"/>
                <c:pt idx="0">
                  <c:v>100</c:v>
                </c:pt>
                <c:pt idx="1">
                  <c:v>103.01713855237648</c:v>
                </c:pt>
                <c:pt idx="2">
                  <c:v>102.95846811698065</c:v>
                </c:pt>
                <c:pt idx="3">
                  <c:v>102.3908775522912</c:v>
                </c:pt>
                <c:pt idx="4">
                  <c:v>101.84103126802295</c:v>
                </c:pt>
                <c:pt idx="5">
                  <c:v>104.91478036840311</c:v>
                </c:pt>
                <c:pt idx="6">
                  <c:v>108.12901897159543</c:v>
                </c:pt>
                <c:pt idx="7">
                  <c:v>109.35478212162165</c:v>
                </c:pt>
                <c:pt idx="8">
                  <c:v>112.39046720093921</c:v>
                </c:pt>
                <c:pt idx="9">
                  <c:v>114.17992611989479</c:v>
                </c:pt>
                <c:pt idx="10">
                  <c:v>113.05138987002368</c:v>
                </c:pt>
                <c:pt idx="11">
                  <c:v>117.19596179819726</c:v>
                </c:pt>
                <c:pt idx="12">
                  <c:v>124.11348896945744</c:v>
                </c:pt>
                <c:pt idx="13">
                  <c:v>138.01533659225859</c:v>
                </c:pt>
                <c:pt idx="14">
                  <c:v>131.41163296736534</c:v>
                </c:pt>
                <c:pt idx="15">
                  <c:v>135.64576098630138</c:v>
                </c:pt>
                <c:pt idx="16">
                  <c:v>146.48675001546977</c:v>
                </c:pt>
                <c:pt idx="17">
                  <c:v>154.32824203212877</c:v>
                </c:pt>
                <c:pt idx="18">
                  <c:v>156.98848089804454</c:v>
                </c:pt>
                <c:pt idx="19">
                  <c:v>154.0177213300428</c:v>
                </c:pt>
                <c:pt idx="20">
                  <c:v>149.24246042246071</c:v>
                </c:pt>
                <c:pt idx="21">
                  <c:v>146.54344526951655</c:v>
                </c:pt>
                <c:pt idx="22">
                  <c:v>149.45579944815671</c:v>
                </c:pt>
                <c:pt idx="23">
                  <c:v>154.23792539589871</c:v>
                </c:pt>
                <c:pt idx="24">
                  <c:v>155.46653772260356</c:v>
                </c:pt>
                <c:pt idx="25">
                  <c:v>154.22257391326323</c:v>
                </c:pt>
                <c:pt idx="26">
                  <c:v>167.62209854682706</c:v>
                </c:pt>
              </c:numCache>
            </c:numRef>
          </c:val>
          <c:smooth val="0"/>
          <c:extLst>
            <c:ext xmlns:c16="http://schemas.microsoft.com/office/drawing/2014/chart" uri="{C3380CC4-5D6E-409C-BE32-E72D297353CC}">
              <c16:uniqueId val="{00000001-3298-4660-99E9-BDE0325020A9}"/>
            </c:ext>
          </c:extLst>
        </c:ser>
        <c:dLbls>
          <c:showLegendKey val="0"/>
          <c:showVal val="0"/>
          <c:showCatName val="0"/>
          <c:showSerName val="0"/>
          <c:showPercent val="0"/>
          <c:showBubbleSize val="0"/>
        </c:dLbls>
        <c:marker val="1"/>
        <c:smooth val="0"/>
        <c:axId val="201841104"/>
        <c:axId val="201841664"/>
      </c:lineChart>
      <c:lineChart>
        <c:grouping val="standard"/>
        <c:varyColors val="0"/>
        <c:ser>
          <c:idx val="2"/>
          <c:order val="2"/>
          <c:tx>
            <c:strRef>
              <c:f>'FIGURE 11'!$C$4</c:f>
              <c:strCache>
                <c:ptCount val="1"/>
                <c:pt idx="0">
                  <c:v>Market ratio</c:v>
                </c:pt>
              </c:strCache>
            </c:strRef>
          </c:tx>
          <c:spPr>
            <a:ln w="31750" cap="rnd" cmpd="sng">
              <a:solidFill>
                <a:schemeClr val="accent3"/>
              </a:solidFill>
              <a:prstDash val="sysDot"/>
              <a:round/>
            </a:ln>
            <a:effectLst/>
          </c:spPr>
          <c:marker>
            <c:symbol val="none"/>
          </c:marker>
          <c:cat>
            <c:numRef>
              <c:f>'FIGURE 11'!$D$1:$AD$1</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11'!$D$4:$AD$4</c:f>
              <c:numCache>
                <c:formatCode>0.0</c:formatCode>
                <c:ptCount val="27"/>
                <c:pt idx="0">
                  <c:v>100</c:v>
                </c:pt>
                <c:pt idx="1">
                  <c:v>100.93836283017406</c:v>
                </c:pt>
                <c:pt idx="2">
                  <c:v>99.947592965628857</c:v>
                </c:pt>
                <c:pt idx="3">
                  <c:v>99.342953731334134</c:v>
                </c:pt>
                <c:pt idx="4">
                  <c:v>96.955517882579969</c:v>
                </c:pt>
                <c:pt idx="5">
                  <c:v>95.402805085241226</c:v>
                </c:pt>
                <c:pt idx="6">
                  <c:v>96.254377624330559</c:v>
                </c:pt>
                <c:pt idx="7">
                  <c:v>97.273248180063547</c:v>
                </c:pt>
                <c:pt idx="8">
                  <c:v>99.587976041806485</c:v>
                </c:pt>
                <c:pt idx="9">
                  <c:v>93.520234384617339</c:v>
                </c:pt>
                <c:pt idx="10">
                  <c:v>89.689475455583718</c:v>
                </c:pt>
                <c:pt idx="11">
                  <c:v>87.565763299684491</c:v>
                </c:pt>
                <c:pt idx="12">
                  <c:v>85.309254107544291</c:v>
                </c:pt>
                <c:pt idx="13">
                  <c:v>79.724760935834098</c:v>
                </c:pt>
                <c:pt idx="14">
                  <c:v>78.81681763493394</c:v>
                </c:pt>
                <c:pt idx="15">
                  <c:v>77.647304953406191</c:v>
                </c:pt>
                <c:pt idx="16">
                  <c:v>77.027177758635247</c:v>
                </c:pt>
                <c:pt idx="17">
                  <c:v>77.472162321781482</c:v>
                </c:pt>
                <c:pt idx="18">
                  <c:v>79.540773521477917</c:v>
                </c:pt>
                <c:pt idx="19">
                  <c:v>78.592342513242627</c:v>
                </c:pt>
                <c:pt idx="20">
                  <c:v>80.346379417781932</c:v>
                </c:pt>
                <c:pt idx="21">
                  <c:v>78.733069406457972</c:v>
                </c:pt>
                <c:pt idx="22">
                  <c:v>82.057610784555649</c:v>
                </c:pt>
                <c:pt idx="23">
                  <c:v>80.05132774054654</c:v>
                </c:pt>
                <c:pt idx="24">
                  <c:v>80.107521378224746</c:v>
                </c:pt>
                <c:pt idx="25">
                  <c:v>81.224526669287997</c:v>
                </c:pt>
                <c:pt idx="26">
                  <c:v>79.695851134739527</c:v>
                </c:pt>
              </c:numCache>
            </c:numRef>
          </c:val>
          <c:smooth val="0"/>
          <c:extLst>
            <c:ext xmlns:c16="http://schemas.microsoft.com/office/drawing/2014/chart" uri="{C3380CC4-5D6E-409C-BE32-E72D297353CC}">
              <c16:uniqueId val="{00000002-3298-4660-99E9-BDE0325020A9}"/>
            </c:ext>
          </c:extLst>
        </c:ser>
        <c:dLbls>
          <c:showLegendKey val="0"/>
          <c:showVal val="0"/>
          <c:showCatName val="0"/>
          <c:showSerName val="0"/>
          <c:showPercent val="0"/>
          <c:showBubbleSize val="0"/>
        </c:dLbls>
        <c:marker val="1"/>
        <c:smooth val="0"/>
        <c:axId val="201842784"/>
        <c:axId val="201842224"/>
      </c:lineChart>
      <c:catAx>
        <c:axId val="201841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01841664"/>
        <c:crosses val="autoZero"/>
        <c:auto val="1"/>
        <c:lblAlgn val="ctr"/>
        <c:lblOffset val="100"/>
        <c:noMultiLvlLbl val="0"/>
      </c:catAx>
      <c:valAx>
        <c:axId val="201841664"/>
        <c:scaling>
          <c:orientation val="minMax"/>
          <c:max val="180"/>
          <c:min val="75"/>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01841104"/>
        <c:crosses val="autoZero"/>
        <c:crossBetween val="between"/>
      </c:valAx>
      <c:valAx>
        <c:axId val="201842224"/>
        <c:scaling>
          <c:orientation val="minMax"/>
          <c:min val="75"/>
        </c:scaling>
        <c:delete val="0"/>
        <c:axPos val="r"/>
        <c:numFmt formatCode="0.0" sourceLinked="1"/>
        <c:majorTickMark val="out"/>
        <c:minorTickMark val="none"/>
        <c:tickLblPos val="nextTo"/>
        <c:spPr>
          <a:noFill/>
          <a:ln w="6350">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01842784"/>
        <c:crosses val="max"/>
        <c:crossBetween val="between"/>
      </c:valAx>
      <c:catAx>
        <c:axId val="201842784"/>
        <c:scaling>
          <c:orientation val="minMax"/>
        </c:scaling>
        <c:delete val="1"/>
        <c:axPos val="b"/>
        <c:numFmt formatCode="General" sourceLinked="1"/>
        <c:majorTickMark val="out"/>
        <c:minorTickMark val="none"/>
        <c:tickLblPos val="nextTo"/>
        <c:crossAx val="201842224"/>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'FIGURE 12'!$C$30</c:f>
              <c:strCache>
                <c:ptCount val="1"/>
                <c:pt idx="0">
                  <c:v>Value added constant prices (base year 1995 = 100)</c:v>
                </c:pt>
              </c:strCache>
            </c:strRef>
          </c:tx>
          <c:spPr>
            <a:ln w="28575" cap="rnd">
              <a:solidFill>
                <a:schemeClr val="accent2"/>
              </a:solidFill>
              <a:round/>
            </a:ln>
            <a:effectLst/>
          </c:spPr>
          <c:marker>
            <c:symbol val="none"/>
          </c:marker>
          <c:cat>
            <c:numRef>
              <c:f>'FIGURE 12'!$D$28:$AD$28</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12'!$D$30:$AD$30</c:f>
              <c:numCache>
                <c:formatCode>0.0</c:formatCode>
                <c:ptCount val="27"/>
                <c:pt idx="0">
                  <c:v>100</c:v>
                </c:pt>
                <c:pt idx="1">
                  <c:v>101.49042520587577</c:v>
                </c:pt>
                <c:pt idx="2">
                  <c:v>103.77602730670424</c:v>
                </c:pt>
                <c:pt idx="3">
                  <c:v>106.37855523311248</c:v>
                </c:pt>
                <c:pt idx="4">
                  <c:v>113.33283325585278</c:v>
                </c:pt>
                <c:pt idx="5">
                  <c:v>112.32492913354226</c:v>
                </c:pt>
                <c:pt idx="6">
                  <c:v>109.77735595214403</c:v>
                </c:pt>
                <c:pt idx="7">
                  <c:v>104.19710563876481</c:v>
                </c:pt>
                <c:pt idx="8">
                  <c:v>99.820277092397447</c:v>
                </c:pt>
                <c:pt idx="9">
                  <c:v>112.95228833939505</c:v>
                </c:pt>
                <c:pt idx="10">
                  <c:v>107.7676437559701</c:v>
                </c:pt>
                <c:pt idx="11">
                  <c:v>106.46377013400013</c:v>
                </c:pt>
                <c:pt idx="12">
                  <c:v>107.12707789033442</c:v>
                </c:pt>
                <c:pt idx="13">
                  <c:v>110.12570428946424</c:v>
                </c:pt>
                <c:pt idx="14">
                  <c:v>108.12177491194615</c:v>
                </c:pt>
                <c:pt idx="15">
                  <c:v>108.36307315941944</c:v>
                </c:pt>
                <c:pt idx="16">
                  <c:v>111.40562891367179</c:v>
                </c:pt>
                <c:pt idx="17">
                  <c:v>108.90453232451461</c:v>
                </c:pt>
                <c:pt idx="18">
                  <c:v>110.98847713807052</c:v>
                </c:pt>
                <c:pt idx="19">
                  <c:v>108.21414123006572</c:v>
                </c:pt>
                <c:pt idx="20">
                  <c:v>113.06630686991699</c:v>
                </c:pt>
                <c:pt idx="21">
                  <c:v>113.47769851446262</c:v>
                </c:pt>
                <c:pt idx="22">
                  <c:v>108.81320397144887</c:v>
                </c:pt>
                <c:pt idx="23">
                  <c:v>110.67644345328812</c:v>
                </c:pt>
                <c:pt idx="24">
                  <c:v>109.27302141628721</c:v>
                </c:pt>
                <c:pt idx="25">
                  <c:v>104.26462732443822</c:v>
                </c:pt>
                <c:pt idx="26">
                  <c:v>103.66403564772422</c:v>
                </c:pt>
              </c:numCache>
            </c:numRef>
          </c:val>
          <c:smooth val="0"/>
          <c:extLst>
            <c:ext xmlns:c16="http://schemas.microsoft.com/office/drawing/2014/chart" uri="{C3380CC4-5D6E-409C-BE32-E72D297353CC}">
              <c16:uniqueId val="{00000000-F9F0-442B-B66D-83047044485E}"/>
            </c:ext>
          </c:extLst>
        </c:ser>
        <c:ser>
          <c:idx val="2"/>
          <c:order val="2"/>
          <c:tx>
            <c:strRef>
              <c:f>'FIGURE 12'!$C$31</c:f>
              <c:strCache>
                <c:ptCount val="1"/>
                <c:pt idx="0">
                  <c:v>Value added at current prices (base year 1995 = 100)</c:v>
                </c:pt>
              </c:strCache>
            </c:strRef>
          </c:tx>
          <c:spPr>
            <a:ln w="28575" cap="rnd">
              <a:solidFill>
                <a:schemeClr val="accent3"/>
              </a:solidFill>
              <a:round/>
            </a:ln>
            <a:effectLst/>
          </c:spPr>
          <c:marker>
            <c:symbol val="none"/>
          </c:marker>
          <c:cat>
            <c:numRef>
              <c:f>'FIGURE 12'!$D$28:$AD$28</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12'!$D$31:$AD$31</c:f>
              <c:numCache>
                <c:formatCode>0.0</c:formatCode>
                <c:ptCount val="27"/>
                <c:pt idx="0">
                  <c:v>100</c:v>
                </c:pt>
                <c:pt idx="1">
                  <c:v>106.13351161884887</c:v>
                </c:pt>
                <c:pt idx="2">
                  <c:v>106.77681558797585</c:v>
                </c:pt>
                <c:pt idx="3">
                  <c:v>107.81430485528445</c:v>
                </c:pt>
                <c:pt idx="4">
                  <c:v>109.9898004629306</c:v>
                </c:pt>
                <c:pt idx="5">
                  <c:v>109.4661874019085</c:v>
                </c:pt>
                <c:pt idx="6">
                  <c:v>111.84797493305683</c:v>
                </c:pt>
                <c:pt idx="7">
                  <c:v>109.22685872883049</c:v>
                </c:pt>
                <c:pt idx="8">
                  <c:v>111.74318820274563</c:v>
                </c:pt>
                <c:pt idx="9">
                  <c:v>116.1866186464829</c:v>
                </c:pt>
                <c:pt idx="10">
                  <c:v>102.35988871693623</c:v>
                </c:pt>
                <c:pt idx="11">
                  <c:v>100.63168673412819</c:v>
                </c:pt>
                <c:pt idx="12">
                  <c:v>102.46595080728822</c:v>
                </c:pt>
                <c:pt idx="13">
                  <c:v>103.75761787008244</c:v>
                </c:pt>
                <c:pt idx="14">
                  <c:v>94.966703820878465</c:v>
                </c:pt>
                <c:pt idx="15">
                  <c:v>95.555444036236409</c:v>
                </c:pt>
                <c:pt idx="16">
                  <c:v>104.52318931945447</c:v>
                </c:pt>
                <c:pt idx="17">
                  <c:v>108.80531236838358</c:v>
                </c:pt>
                <c:pt idx="18">
                  <c:v>118.31559524623587</c:v>
                </c:pt>
                <c:pt idx="19">
                  <c:v>110.73724401224541</c:v>
                </c:pt>
                <c:pt idx="20">
                  <c:v>116.61709715491948</c:v>
                </c:pt>
                <c:pt idx="21">
                  <c:v>110.84933342769855</c:v>
                </c:pt>
                <c:pt idx="22">
                  <c:v>116.81017046193712</c:v>
                </c:pt>
                <c:pt idx="23">
                  <c:v>117.30300973894259</c:v>
                </c:pt>
                <c:pt idx="24">
                  <c:v>116.88717307104388</c:v>
                </c:pt>
                <c:pt idx="25">
                  <c:v>113.53684812856164</c:v>
                </c:pt>
                <c:pt idx="26">
                  <c:v>118.38417655427367</c:v>
                </c:pt>
              </c:numCache>
            </c:numRef>
          </c:val>
          <c:smooth val="0"/>
          <c:extLst>
            <c:ext xmlns:c16="http://schemas.microsoft.com/office/drawing/2014/chart" uri="{C3380CC4-5D6E-409C-BE32-E72D297353CC}">
              <c16:uniqueId val="{00000001-F9F0-442B-B66D-83047044485E}"/>
            </c:ext>
          </c:extLst>
        </c:ser>
        <c:dLbls>
          <c:showLegendKey val="0"/>
          <c:showVal val="0"/>
          <c:showCatName val="0"/>
          <c:showSerName val="0"/>
          <c:showPercent val="0"/>
          <c:showBubbleSize val="0"/>
        </c:dLbls>
        <c:marker val="1"/>
        <c:smooth val="0"/>
        <c:axId val="202067760"/>
        <c:axId val="202068320"/>
      </c:lineChart>
      <c:lineChart>
        <c:grouping val="standard"/>
        <c:varyColors val="0"/>
        <c:ser>
          <c:idx val="0"/>
          <c:order val="0"/>
          <c:tx>
            <c:strRef>
              <c:f>'FIGURE 12'!$C$29</c:f>
              <c:strCache>
                <c:ptCount val="1"/>
                <c:pt idx="0">
                  <c:v>Market ratio</c:v>
                </c:pt>
              </c:strCache>
            </c:strRef>
          </c:tx>
          <c:spPr>
            <a:ln w="28575" cap="rnd" cmpd="sng">
              <a:solidFill>
                <a:schemeClr val="tx2">
                  <a:lumMod val="75000"/>
                </a:schemeClr>
              </a:solidFill>
              <a:round/>
            </a:ln>
            <a:effectLst/>
          </c:spPr>
          <c:marker>
            <c:symbol val="none"/>
          </c:marker>
          <c:cat>
            <c:numRef>
              <c:f>'FIGURE 12'!$D$28:$AD$28</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12'!$D$29:$AD$29</c:f>
              <c:numCache>
                <c:formatCode>0.0</c:formatCode>
                <c:ptCount val="27"/>
                <c:pt idx="0">
                  <c:v>100</c:v>
                </c:pt>
                <c:pt idx="1">
                  <c:v>100.93836283017406</c:v>
                </c:pt>
                <c:pt idx="2">
                  <c:v>99.947592965628857</c:v>
                </c:pt>
                <c:pt idx="3">
                  <c:v>99.342953731334134</c:v>
                </c:pt>
                <c:pt idx="4">
                  <c:v>96.955517882579969</c:v>
                </c:pt>
                <c:pt idx="5">
                  <c:v>95.402805085241226</c:v>
                </c:pt>
                <c:pt idx="6">
                  <c:v>96.254377624330559</c:v>
                </c:pt>
                <c:pt idx="7">
                  <c:v>97.273248180063547</c:v>
                </c:pt>
                <c:pt idx="8">
                  <c:v>99.587976041806485</c:v>
                </c:pt>
                <c:pt idx="9">
                  <c:v>93.520234384617339</c:v>
                </c:pt>
                <c:pt idx="10">
                  <c:v>89.689475455583718</c:v>
                </c:pt>
                <c:pt idx="11">
                  <c:v>87.565763299684491</c:v>
                </c:pt>
                <c:pt idx="12">
                  <c:v>85.309254107544291</c:v>
                </c:pt>
                <c:pt idx="13">
                  <c:v>79.724760935834098</c:v>
                </c:pt>
                <c:pt idx="14">
                  <c:v>78.81681763493394</c:v>
                </c:pt>
                <c:pt idx="15">
                  <c:v>77.647304953406191</c:v>
                </c:pt>
                <c:pt idx="16">
                  <c:v>77.027177758635247</c:v>
                </c:pt>
                <c:pt idx="17">
                  <c:v>77.472162321781482</c:v>
                </c:pt>
                <c:pt idx="18">
                  <c:v>79.540773521477917</c:v>
                </c:pt>
                <c:pt idx="19">
                  <c:v>78.592342513242627</c:v>
                </c:pt>
                <c:pt idx="20">
                  <c:v>80.346379417781932</c:v>
                </c:pt>
                <c:pt idx="21">
                  <c:v>78.733069406457972</c:v>
                </c:pt>
                <c:pt idx="22">
                  <c:v>82.057610784555649</c:v>
                </c:pt>
                <c:pt idx="23">
                  <c:v>80.05132774054654</c:v>
                </c:pt>
                <c:pt idx="24">
                  <c:v>80.107521378224746</c:v>
                </c:pt>
                <c:pt idx="25">
                  <c:v>81.224526669287997</c:v>
                </c:pt>
                <c:pt idx="26">
                  <c:v>79.695851134739527</c:v>
                </c:pt>
              </c:numCache>
            </c:numRef>
          </c:val>
          <c:smooth val="0"/>
          <c:extLst>
            <c:ext xmlns:c16="http://schemas.microsoft.com/office/drawing/2014/chart" uri="{C3380CC4-5D6E-409C-BE32-E72D297353CC}">
              <c16:uniqueId val="{00000002-F9F0-442B-B66D-83047044485E}"/>
            </c:ext>
          </c:extLst>
        </c:ser>
        <c:dLbls>
          <c:showLegendKey val="0"/>
          <c:showVal val="0"/>
          <c:showCatName val="0"/>
          <c:showSerName val="0"/>
          <c:showPercent val="0"/>
          <c:showBubbleSize val="0"/>
        </c:dLbls>
        <c:marker val="1"/>
        <c:smooth val="0"/>
        <c:axId val="202069440"/>
        <c:axId val="202068880"/>
      </c:lineChart>
      <c:catAx>
        <c:axId val="202067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02068320"/>
        <c:crosses val="autoZero"/>
        <c:auto val="1"/>
        <c:lblAlgn val="ctr"/>
        <c:lblOffset val="100"/>
        <c:noMultiLvlLbl val="0"/>
      </c:catAx>
      <c:valAx>
        <c:axId val="202068320"/>
        <c:scaling>
          <c:orientation val="minMax"/>
          <c:max val="120"/>
          <c:min val="75"/>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w="6350">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02067760"/>
        <c:crosses val="autoZero"/>
        <c:crossBetween val="between"/>
      </c:valAx>
      <c:valAx>
        <c:axId val="202068880"/>
        <c:scaling>
          <c:orientation val="minMax"/>
          <c:max val="105"/>
          <c:min val="75"/>
        </c:scaling>
        <c:delete val="0"/>
        <c:axPos val="r"/>
        <c:numFmt formatCode="0.0" sourceLinked="1"/>
        <c:majorTickMark val="out"/>
        <c:minorTickMark val="none"/>
        <c:tickLblPos val="nextTo"/>
        <c:spPr>
          <a:noFill/>
          <a:ln w="6350">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202069440"/>
        <c:crosses val="max"/>
        <c:crossBetween val="between"/>
      </c:valAx>
      <c:catAx>
        <c:axId val="202069440"/>
        <c:scaling>
          <c:orientation val="minMax"/>
        </c:scaling>
        <c:delete val="1"/>
        <c:axPos val="b"/>
        <c:numFmt formatCode="General" sourceLinked="1"/>
        <c:majorTickMark val="out"/>
        <c:minorTickMark val="none"/>
        <c:tickLblPos val="nextTo"/>
        <c:crossAx val="202068880"/>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357228626796709E-2"/>
          <c:y val="0.12332037589685294"/>
          <c:w val="0.90375664290215074"/>
          <c:h val="0.74538243731000831"/>
        </c:manualLayout>
      </c:layout>
      <c:barChart>
        <c:barDir val="col"/>
        <c:grouping val="clustered"/>
        <c:varyColors val="0"/>
        <c:ser>
          <c:idx val="0"/>
          <c:order val="0"/>
          <c:tx>
            <c:strRef>
              <c:f>'FIGURE 13'!$B$2</c:f>
              <c:strCache>
                <c:ptCount val="1"/>
                <c:pt idx="0">
                  <c:v>Production</c:v>
                </c:pt>
              </c:strCache>
            </c:strRef>
          </c:tx>
          <c:spPr>
            <a:solidFill>
              <a:srgbClr val="E42618"/>
            </a:solidFill>
            <a:ln w="25400">
              <a:noFill/>
            </a:ln>
          </c:spPr>
          <c:invertIfNegative val="0"/>
          <c:cat>
            <c:strRef>
              <c:f>'FIGURE 13'!$A$3:$A$11</c:f>
              <c:strCache>
                <c:ptCount val="9"/>
                <c:pt idx="0">
                  <c:v>France</c:v>
                </c:pt>
                <c:pt idx="1">
                  <c:v>Germany</c:v>
                </c:pt>
                <c:pt idx="2">
                  <c:v>Italy</c:v>
                </c:pt>
                <c:pt idx="3">
                  <c:v>Spain</c:v>
                </c:pt>
                <c:pt idx="4">
                  <c:v>Netherlands</c:v>
                </c:pt>
                <c:pt idx="5">
                  <c:v>Poland</c:v>
                </c:pt>
                <c:pt idx="6">
                  <c:v>Romania</c:v>
                </c:pt>
                <c:pt idx="7">
                  <c:v>Greece</c:v>
                </c:pt>
                <c:pt idx="8">
                  <c:v>Denmark</c:v>
                </c:pt>
              </c:strCache>
            </c:strRef>
          </c:cat>
          <c:val>
            <c:numRef>
              <c:f>'FIGURE 13'!$B$3:$B$11</c:f>
              <c:numCache>
                <c:formatCode>#,##0</c:formatCode>
                <c:ptCount val="9"/>
                <c:pt idx="0">
                  <c:v>81590.66</c:v>
                </c:pt>
                <c:pt idx="1">
                  <c:v>59357.41</c:v>
                </c:pt>
                <c:pt idx="2">
                  <c:v>60019.12</c:v>
                </c:pt>
                <c:pt idx="3">
                  <c:v>56427.08</c:v>
                </c:pt>
                <c:pt idx="4">
                  <c:v>30310.67</c:v>
                </c:pt>
                <c:pt idx="5">
                  <c:v>27508.2</c:v>
                </c:pt>
                <c:pt idx="6">
                  <c:v>21420.47</c:v>
                </c:pt>
                <c:pt idx="7">
                  <c:v>11858</c:v>
                </c:pt>
                <c:pt idx="8">
                  <c:v>11528.45</c:v>
                </c:pt>
              </c:numCache>
            </c:numRef>
          </c:val>
          <c:extLst>
            <c:ext xmlns:c16="http://schemas.microsoft.com/office/drawing/2014/chart" uri="{C3380CC4-5D6E-409C-BE32-E72D297353CC}">
              <c16:uniqueId val="{00000000-B573-41F6-85A8-151C717F929C}"/>
            </c:ext>
          </c:extLst>
        </c:ser>
        <c:ser>
          <c:idx val="3"/>
          <c:order val="2"/>
          <c:tx>
            <c:strRef>
              <c:f>'FIGURE 13'!$C$2</c:f>
              <c:strCache>
                <c:ptCount val="1"/>
                <c:pt idx="0">
                  <c:v>Value Added</c:v>
                </c:pt>
              </c:strCache>
            </c:strRef>
          </c:tx>
          <c:spPr>
            <a:solidFill>
              <a:srgbClr val="1F497D"/>
            </a:solidFill>
            <a:ln w="25400">
              <a:noFill/>
            </a:ln>
          </c:spPr>
          <c:invertIfNegative val="0"/>
          <c:cat>
            <c:strRef>
              <c:f>'FIGURE 13'!$A$3:$A$11</c:f>
              <c:strCache>
                <c:ptCount val="9"/>
                <c:pt idx="0">
                  <c:v>France</c:v>
                </c:pt>
                <c:pt idx="1">
                  <c:v>Germany</c:v>
                </c:pt>
                <c:pt idx="2">
                  <c:v>Italy</c:v>
                </c:pt>
                <c:pt idx="3">
                  <c:v>Spain</c:v>
                </c:pt>
                <c:pt idx="4">
                  <c:v>Netherlands</c:v>
                </c:pt>
                <c:pt idx="5">
                  <c:v>Poland</c:v>
                </c:pt>
                <c:pt idx="6">
                  <c:v>Romania</c:v>
                </c:pt>
                <c:pt idx="7">
                  <c:v>Greece</c:v>
                </c:pt>
                <c:pt idx="8">
                  <c:v>Denmark</c:v>
                </c:pt>
              </c:strCache>
            </c:strRef>
          </c:cat>
          <c:val>
            <c:numRef>
              <c:f>'FIGURE 13'!$C$3:$C$11</c:f>
              <c:numCache>
                <c:formatCode>#,##0</c:formatCode>
                <c:ptCount val="9"/>
                <c:pt idx="0">
                  <c:v>35101.22</c:v>
                </c:pt>
                <c:pt idx="1">
                  <c:v>19357.88</c:v>
                </c:pt>
                <c:pt idx="2">
                  <c:v>32668.74</c:v>
                </c:pt>
                <c:pt idx="3">
                  <c:v>29652.639999999999</c:v>
                </c:pt>
                <c:pt idx="4">
                  <c:v>10789.57</c:v>
                </c:pt>
                <c:pt idx="5">
                  <c:v>8473.0300000000007</c:v>
                </c:pt>
                <c:pt idx="6">
                  <c:v>10203.83</c:v>
                </c:pt>
                <c:pt idx="7">
                  <c:v>6003.62</c:v>
                </c:pt>
                <c:pt idx="8">
                  <c:v>1965.15</c:v>
                </c:pt>
              </c:numCache>
            </c:numRef>
          </c:val>
          <c:extLst>
            <c:ext xmlns:c16="http://schemas.microsoft.com/office/drawing/2014/chart" uri="{C3380CC4-5D6E-409C-BE32-E72D297353CC}">
              <c16:uniqueId val="{00000001-B573-41F6-85A8-151C717F929C}"/>
            </c:ext>
          </c:extLst>
        </c:ser>
        <c:dLbls>
          <c:showLegendKey val="0"/>
          <c:showVal val="0"/>
          <c:showCatName val="0"/>
          <c:showSerName val="0"/>
          <c:showPercent val="0"/>
          <c:showBubbleSize val="0"/>
        </c:dLbls>
        <c:gapWidth val="219"/>
        <c:axId val="328213504"/>
        <c:axId val="329624928"/>
        <c:extLst>
          <c:ext xmlns:c15="http://schemas.microsoft.com/office/drawing/2012/chart" uri="{02D57815-91ED-43cb-92C2-25804820EDAC}">
            <c15:filteredBarSeries>
              <c15:ser>
                <c:idx val="2"/>
                <c:order val="1"/>
                <c:tx>
                  <c:v>FIGURA5!#REF!</c:v>
                </c:tx>
                <c:spPr>
                  <a:solidFill>
                    <a:srgbClr val="9BBB59"/>
                  </a:solidFill>
                  <a:ln w="25400">
                    <a:noFill/>
                  </a:ln>
                </c:spPr>
                <c:invertIfNegative val="0"/>
                <c:cat>
                  <c:strRef>
                    <c:extLst>
                      <c:ext uri="{02D57815-91ED-43cb-92C2-25804820EDAC}">
                        <c15:formulaRef>
                          <c15:sqref>'FIGURE 13'!$A$3:$A$11</c15:sqref>
                        </c15:formulaRef>
                      </c:ext>
                    </c:extLst>
                    <c:strCache>
                      <c:ptCount val="9"/>
                      <c:pt idx="0">
                        <c:v>France</c:v>
                      </c:pt>
                      <c:pt idx="1">
                        <c:v>Germany</c:v>
                      </c:pt>
                      <c:pt idx="2">
                        <c:v>Italy</c:v>
                      </c:pt>
                      <c:pt idx="3">
                        <c:v>Spain</c:v>
                      </c:pt>
                      <c:pt idx="4">
                        <c:v>Netherlands</c:v>
                      </c:pt>
                      <c:pt idx="5">
                        <c:v>Poland</c:v>
                      </c:pt>
                      <c:pt idx="6">
                        <c:v>Romania</c:v>
                      </c:pt>
                      <c:pt idx="7">
                        <c:v>Greece</c:v>
                      </c:pt>
                      <c:pt idx="8">
                        <c:v>Denmark</c:v>
                      </c:pt>
                    </c:strCache>
                  </c:strRef>
                </c:cat>
                <c:val>
                  <c:numRef>
                    <c:extLst>
                      <c:ext uri="{02D57815-91ED-43cb-92C2-25804820EDAC}">
                        <c15:formulaRef>
                          <c15:sqref>'FIGURE 13'!$D$13:$D$18</c15:sqref>
                        </c15:formulaRef>
                      </c:ext>
                    </c:extLst>
                    <c:numCache>
                      <c:formatCode>General</c:formatCode>
                      <c:ptCount val="6"/>
                    </c:numCache>
                  </c:numRef>
                </c:val>
                <c:extLst>
                  <c:ext xmlns:c16="http://schemas.microsoft.com/office/drawing/2014/chart" uri="{C3380CC4-5D6E-409C-BE32-E72D297353CC}">
                    <c16:uniqueId val="{00000002-B573-41F6-85A8-151C717F929C}"/>
                  </c:ext>
                </c:extLst>
              </c15:ser>
            </c15:filteredBarSeries>
          </c:ext>
        </c:extLst>
      </c:barChart>
      <c:catAx>
        <c:axId val="328213504"/>
        <c:scaling>
          <c:orientation val="minMax"/>
        </c:scaling>
        <c:delete val="0"/>
        <c:axPos val="b"/>
        <c:majorGridlines>
          <c:spPr>
            <a:ln w="3175">
              <a:solidFill>
                <a:schemeClr val="bg1">
                  <a:lumMod val="85000"/>
                </a:schemeClr>
              </a:solidFill>
            </a:ln>
          </c:spPr>
        </c:majorGridlines>
        <c:minorGridlines>
          <c:spPr>
            <a:ln>
              <a:noFill/>
            </a:ln>
          </c:spPr>
        </c:minorGridlines>
        <c:numFmt formatCode="General" sourceLinked="1"/>
        <c:majorTickMark val="out"/>
        <c:minorTickMark val="none"/>
        <c:tickLblPos val="nextTo"/>
        <c:spPr>
          <a:noFill/>
          <a:ln w="6350" cap="flat" cmpd="sng" algn="ctr">
            <a:solidFill>
              <a:schemeClr val="bg1">
                <a:lumMod val="65000"/>
              </a:schemeClr>
            </a:solidFill>
            <a:round/>
          </a:ln>
          <a:effectLst/>
        </c:spPr>
        <c:txPr>
          <a:bodyPr rot="0" vert="horz"/>
          <a:lstStyle/>
          <a:p>
            <a:pPr>
              <a:defRPr b="1"/>
            </a:pPr>
            <a:endParaRPr lang="it-IT"/>
          </a:p>
        </c:txPr>
        <c:crossAx val="329624928"/>
        <c:crosses val="autoZero"/>
        <c:auto val="1"/>
        <c:lblAlgn val="ctr"/>
        <c:lblOffset val="100"/>
        <c:noMultiLvlLbl val="0"/>
      </c:catAx>
      <c:valAx>
        <c:axId val="329624928"/>
        <c:scaling>
          <c:orientation val="minMax"/>
        </c:scaling>
        <c:delete val="0"/>
        <c:axPos val="l"/>
        <c:majorGridlines>
          <c:spPr>
            <a:ln w="6350" cap="flat" cmpd="sng" algn="ctr">
              <a:solidFill>
                <a:schemeClr val="bg1">
                  <a:lumMod val="85000"/>
                </a:schemeClr>
              </a:solidFill>
              <a:round/>
            </a:ln>
            <a:effectLst/>
          </c:spPr>
        </c:majorGridlines>
        <c:numFmt formatCode="#,##0" sourceLinked="1"/>
        <c:majorTickMark val="out"/>
        <c:minorTickMark val="none"/>
        <c:tickLblPos val="nextTo"/>
        <c:spPr>
          <a:ln w="6350">
            <a:solidFill>
              <a:schemeClr val="bg1">
                <a:lumMod val="65000"/>
              </a:schemeClr>
            </a:solidFill>
          </a:ln>
        </c:spPr>
        <c:txPr>
          <a:bodyPr rot="0" vert="horz"/>
          <a:lstStyle/>
          <a:p>
            <a:pPr>
              <a:defRPr/>
            </a:pPr>
            <a:endParaRPr lang="it-IT"/>
          </a:p>
        </c:txPr>
        <c:crossAx val="328213504"/>
        <c:crosses val="autoZero"/>
        <c:crossBetween val="between"/>
      </c:valAx>
      <c:spPr>
        <a:noFill/>
        <a:ln w="25400">
          <a:noFill/>
        </a:ln>
      </c:spPr>
    </c:plotArea>
    <c:legend>
      <c:legendPos val="r"/>
      <c:layout>
        <c:manualLayout>
          <c:xMode val="edge"/>
          <c:yMode val="edge"/>
          <c:x val="0.3733626007045312"/>
          <c:y val="3.4130905851661363E-2"/>
          <c:w val="0.24802886548569567"/>
          <c:h val="7.8501083458821133E-2"/>
        </c:manualLayout>
      </c:layout>
      <c:overlay val="0"/>
      <c:spPr>
        <a:noFill/>
        <a:ln w="25400">
          <a:noFill/>
        </a:ln>
      </c:spPr>
    </c:legend>
    <c:plotVisOnly val="1"/>
    <c:dispBlanksAs val="gap"/>
    <c:showDLblsOverMax val="0"/>
  </c:chart>
  <c:spPr>
    <a:noFill/>
    <a:ln w="3175">
      <a:solidFill>
        <a:schemeClr val="bg1">
          <a:lumMod val="75000"/>
        </a:schemeClr>
      </a:solidFill>
    </a:ln>
  </c:spPr>
  <c:txPr>
    <a:bodyPr/>
    <a:lstStyle/>
    <a:p>
      <a:pPr>
        <a:defRPr sz="900" b="0" i="0" u="none" strike="noStrike" baseline="0">
          <a:solidFill>
            <a:srgbClr val="000000"/>
          </a:solidFill>
          <a:latin typeface="Arial Narrow" panose="020B0606020202030204" pitchFamily="34" charset="0"/>
          <a:ea typeface="Calibri"/>
          <a:cs typeface="Calibri"/>
        </a:defRPr>
      </a:pPr>
      <a:endParaRPr lang="it-I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191686216214126E-2"/>
          <c:y val="5.9365124199228111E-2"/>
          <c:w val="0.89993022747156604"/>
          <c:h val="0.64525996291039922"/>
        </c:manualLayout>
      </c:layout>
      <c:barChart>
        <c:barDir val="col"/>
        <c:grouping val="clustered"/>
        <c:varyColors val="0"/>
        <c:ser>
          <c:idx val="0"/>
          <c:order val="0"/>
          <c:spPr>
            <a:solidFill>
              <a:srgbClr val="FF0000"/>
            </a:solidFill>
          </c:spPr>
          <c:invertIfNegative val="0"/>
          <c:dPt>
            <c:idx val="0"/>
            <c:invertIfNegative val="0"/>
            <c:bubble3D val="0"/>
            <c:spPr>
              <a:solidFill>
                <a:srgbClr val="0070C0"/>
              </a:solidFill>
            </c:spPr>
            <c:extLst>
              <c:ext xmlns:c16="http://schemas.microsoft.com/office/drawing/2014/chart" uri="{C3380CC4-5D6E-409C-BE32-E72D297353CC}">
                <c16:uniqueId val="{00000001-3A8F-4BF1-83E8-D43FFD9F8D54}"/>
              </c:ext>
            </c:extLst>
          </c:dPt>
          <c:dPt>
            <c:idx val="1"/>
            <c:invertIfNegative val="0"/>
            <c:bubble3D val="0"/>
            <c:spPr>
              <a:solidFill>
                <a:srgbClr val="0070C0"/>
              </a:solidFill>
            </c:spPr>
            <c:extLst>
              <c:ext xmlns:c16="http://schemas.microsoft.com/office/drawing/2014/chart" uri="{C3380CC4-5D6E-409C-BE32-E72D297353CC}">
                <c16:uniqueId val="{00000003-3A8F-4BF1-83E8-D43FFD9F8D54}"/>
              </c:ext>
            </c:extLst>
          </c:dPt>
          <c:dPt>
            <c:idx val="2"/>
            <c:invertIfNegative val="0"/>
            <c:bubble3D val="0"/>
            <c:spPr>
              <a:solidFill>
                <a:srgbClr val="0070C0"/>
              </a:solidFill>
            </c:spPr>
            <c:extLst>
              <c:ext xmlns:c16="http://schemas.microsoft.com/office/drawing/2014/chart" uri="{C3380CC4-5D6E-409C-BE32-E72D297353CC}">
                <c16:uniqueId val="{00000005-3A8F-4BF1-83E8-D43FFD9F8D54}"/>
              </c:ext>
            </c:extLst>
          </c:dPt>
          <c:dPt>
            <c:idx val="3"/>
            <c:invertIfNegative val="0"/>
            <c:bubble3D val="0"/>
            <c:spPr>
              <a:solidFill>
                <a:srgbClr val="0070C0"/>
              </a:solidFill>
            </c:spPr>
            <c:extLst>
              <c:ext xmlns:c16="http://schemas.microsoft.com/office/drawing/2014/chart" uri="{C3380CC4-5D6E-409C-BE32-E72D297353CC}">
                <c16:uniqueId val="{00000007-3A8F-4BF1-83E8-D43FFD9F8D54}"/>
              </c:ext>
            </c:extLst>
          </c:dPt>
          <c:dPt>
            <c:idx val="4"/>
            <c:invertIfNegative val="0"/>
            <c:bubble3D val="0"/>
            <c:spPr>
              <a:solidFill>
                <a:srgbClr val="0070C0"/>
              </a:solidFill>
            </c:spPr>
            <c:extLst>
              <c:ext xmlns:c16="http://schemas.microsoft.com/office/drawing/2014/chart" uri="{C3380CC4-5D6E-409C-BE32-E72D297353CC}">
                <c16:uniqueId val="{00000009-3A8F-4BF1-83E8-D43FFD9F8D54}"/>
              </c:ext>
            </c:extLst>
          </c:dPt>
          <c:dPt>
            <c:idx val="5"/>
            <c:invertIfNegative val="0"/>
            <c:bubble3D val="0"/>
            <c:spPr>
              <a:solidFill>
                <a:srgbClr val="0070C0"/>
              </a:solidFill>
            </c:spPr>
            <c:extLst>
              <c:ext xmlns:c16="http://schemas.microsoft.com/office/drawing/2014/chart" uri="{C3380CC4-5D6E-409C-BE32-E72D297353CC}">
                <c16:uniqueId val="{0000000B-3A8F-4BF1-83E8-D43FFD9F8D54}"/>
              </c:ext>
            </c:extLst>
          </c:dPt>
          <c:dPt>
            <c:idx val="6"/>
            <c:invertIfNegative val="0"/>
            <c:bubble3D val="0"/>
            <c:spPr>
              <a:solidFill>
                <a:srgbClr val="0070C0"/>
              </a:solidFill>
            </c:spPr>
            <c:extLst>
              <c:ext xmlns:c16="http://schemas.microsoft.com/office/drawing/2014/chart" uri="{C3380CC4-5D6E-409C-BE32-E72D297353CC}">
                <c16:uniqueId val="{0000000D-3A8F-4BF1-83E8-D43FFD9F8D54}"/>
              </c:ext>
            </c:extLst>
          </c:dPt>
          <c:dPt>
            <c:idx val="18"/>
            <c:invertIfNegative val="0"/>
            <c:bubble3D val="0"/>
            <c:spPr>
              <a:solidFill>
                <a:srgbClr val="92D050"/>
              </a:solidFill>
            </c:spPr>
            <c:extLst>
              <c:ext xmlns:c16="http://schemas.microsoft.com/office/drawing/2014/chart" uri="{C3380CC4-5D6E-409C-BE32-E72D297353CC}">
                <c16:uniqueId val="{0000000F-3A8F-4BF1-83E8-D43FFD9F8D5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 14'!$A$2:$A$20</c:f>
              <c:strCache>
                <c:ptCount val="19"/>
                <c:pt idx="0">
                  <c:v>Romania</c:v>
                </c:pt>
                <c:pt idx="1">
                  <c:v>Ireland</c:v>
                </c:pt>
                <c:pt idx="2">
                  <c:v>France</c:v>
                </c:pt>
                <c:pt idx="3">
                  <c:v>Portugal</c:v>
                </c:pt>
                <c:pt idx="4">
                  <c:v>Hungary</c:v>
                </c:pt>
                <c:pt idx="5">
                  <c:v>Austria</c:v>
                </c:pt>
                <c:pt idx="6">
                  <c:v>Czech Republic</c:v>
                </c:pt>
                <c:pt idx="7">
                  <c:v>Sweden</c:v>
                </c:pt>
                <c:pt idx="8">
                  <c:v>Italy</c:v>
                </c:pt>
                <c:pt idx="9">
                  <c:v>Netherlands</c:v>
                </c:pt>
                <c:pt idx="10">
                  <c:v>Greece</c:v>
                </c:pt>
                <c:pt idx="11">
                  <c:v>Spain</c:v>
                </c:pt>
                <c:pt idx="12">
                  <c:v>Belgium</c:v>
                </c:pt>
                <c:pt idx="13">
                  <c:v>Germany</c:v>
                </c:pt>
                <c:pt idx="14">
                  <c:v>Finland</c:v>
                </c:pt>
                <c:pt idx="15">
                  <c:v>Poland</c:v>
                </c:pt>
                <c:pt idx="16">
                  <c:v>Denmark</c:v>
                </c:pt>
                <c:pt idx="18">
                  <c:v>EU27</c:v>
                </c:pt>
              </c:strCache>
            </c:strRef>
          </c:cat>
          <c:val>
            <c:numRef>
              <c:f>'FIGURE 14'!$B$2:$B$20</c:f>
              <c:numCache>
                <c:formatCode>General</c:formatCode>
                <c:ptCount val="19"/>
                <c:pt idx="0">
                  <c:v>28</c:v>
                </c:pt>
                <c:pt idx="1">
                  <c:v>18</c:v>
                </c:pt>
                <c:pt idx="2">
                  <c:v>16.3</c:v>
                </c:pt>
                <c:pt idx="3">
                  <c:v>9.6</c:v>
                </c:pt>
                <c:pt idx="4">
                  <c:v>9.4</c:v>
                </c:pt>
                <c:pt idx="5">
                  <c:v>3.3</c:v>
                </c:pt>
                <c:pt idx="6">
                  <c:v>1.9</c:v>
                </c:pt>
                <c:pt idx="7">
                  <c:v>-0.1</c:v>
                </c:pt>
                <c:pt idx="8">
                  <c:v>-1.6</c:v>
                </c:pt>
                <c:pt idx="9">
                  <c:v>-2.8</c:v>
                </c:pt>
                <c:pt idx="10">
                  <c:v>-3.3</c:v>
                </c:pt>
                <c:pt idx="11">
                  <c:v>-5.2</c:v>
                </c:pt>
                <c:pt idx="12">
                  <c:v>-9.1999999999999993</c:v>
                </c:pt>
                <c:pt idx="13">
                  <c:v>-10.8</c:v>
                </c:pt>
                <c:pt idx="14">
                  <c:v>-13.7</c:v>
                </c:pt>
                <c:pt idx="15">
                  <c:v>-18.899999999999999</c:v>
                </c:pt>
                <c:pt idx="16">
                  <c:v>-33.6</c:v>
                </c:pt>
                <c:pt idx="18" formatCode="0.0">
                  <c:v>1.5</c:v>
                </c:pt>
              </c:numCache>
            </c:numRef>
          </c:val>
          <c:extLst>
            <c:ext xmlns:c16="http://schemas.microsoft.com/office/drawing/2014/chart" uri="{C3380CC4-5D6E-409C-BE32-E72D297353CC}">
              <c16:uniqueId val="{00000010-3A8F-4BF1-83E8-D43FFD9F8D54}"/>
            </c:ext>
          </c:extLst>
        </c:ser>
        <c:dLbls>
          <c:showLegendKey val="0"/>
          <c:showVal val="0"/>
          <c:showCatName val="0"/>
          <c:showSerName val="0"/>
          <c:showPercent val="0"/>
          <c:showBubbleSize val="0"/>
        </c:dLbls>
        <c:gapWidth val="80"/>
        <c:axId val="322907344"/>
        <c:axId val="322907904"/>
      </c:barChart>
      <c:catAx>
        <c:axId val="322907344"/>
        <c:scaling>
          <c:orientation val="minMax"/>
        </c:scaling>
        <c:delete val="0"/>
        <c:axPos val="b"/>
        <c:majorGridlines>
          <c:spPr>
            <a:ln w="6350">
              <a:solidFill>
                <a:schemeClr val="bg1">
                  <a:lumMod val="75000"/>
                </a:schemeClr>
              </a:solidFill>
            </a:ln>
          </c:spPr>
        </c:majorGridlines>
        <c:numFmt formatCode="General" sourceLinked="1"/>
        <c:majorTickMark val="out"/>
        <c:minorTickMark val="none"/>
        <c:tickLblPos val="low"/>
        <c:spPr>
          <a:ln w="6350">
            <a:solidFill>
              <a:schemeClr val="bg1">
                <a:lumMod val="75000"/>
              </a:schemeClr>
            </a:solidFill>
          </a:ln>
        </c:spPr>
        <c:txPr>
          <a:bodyPr rot="-2700000" vert="horz"/>
          <a:lstStyle/>
          <a:p>
            <a:pPr>
              <a:defRPr sz="900" b="1" i="0" u="none" strike="noStrike" baseline="0">
                <a:solidFill>
                  <a:srgbClr val="000000"/>
                </a:solidFill>
                <a:latin typeface="Arial Narrow"/>
                <a:ea typeface="Arial Narrow"/>
                <a:cs typeface="Arial Narrow"/>
              </a:defRPr>
            </a:pPr>
            <a:endParaRPr lang="it-IT"/>
          </a:p>
        </c:txPr>
        <c:crossAx val="322907904"/>
        <c:crosses val="autoZero"/>
        <c:auto val="1"/>
        <c:lblAlgn val="ctr"/>
        <c:lblOffset val="0"/>
        <c:noMultiLvlLbl val="0"/>
      </c:catAx>
      <c:valAx>
        <c:axId val="322907904"/>
        <c:scaling>
          <c:orientation val="minMax"/>
        </c:scaling>
        <c:delete val="0"/>
        <c:axPos val="l"/>
        <c:majorGridlines>
          <c:spPr>
            <a:ln w="3175">
              <a:solidFill>
                <a:schemeClr val="bg1">
                  <a:lumMod val="85000"/>
                </a:schemeClr>
              </a:solidFill>
            </a:ln>
          </c:spPr>
        </c:majorGridlines>
        <c:numFmt formatCode="0" sourceLinked="0"/>
        <c:majorTickMark val="out"/>
        <c:minorTickMark val="none"/>
        <c:tickLblPos val="nextTo"/>
        <c:spPr>
          <a:ln w="6350">
            <a:solidFill>
              <a:schemeClr val="bg1">
                <a:lumMod val="65000"/>
              </a:schemeClr>
            </a:solidFill>
          </a:ln>
        </c:spPr>
        <c:txPr>
          <a:bodyPr rot="0" vert="horz"/>
          <a:lstStyle/>
          <a:p>
            <a:pPr>
              <a:defRPr sz="900" b="0" i="0" u="none" strike="noStrike" baseline="0">
                <a:solidFill>
                  <a:srgbClr val="000000"/>
                </a:solidFill>
                <a:latin typeface="Arial Narrow"/>
                <a:ea typeface="Arial Narrow"/>
                <a:cs typeface="Arial Narrow"/>
              </a:defRPr>
            </a:pPr>
            <a:endParaRPr lang="it-IT"/>
          </a:p>
        </c:txPr>
        <c:crossAx val="322907344"/>
        <c:crosses val="autoZero"/>
        <c:crossBetween val="between"/>
      </c:valAx>
      <c:spPr>
        <a:noFill/>
        <a:ln w="25400">
          <a:noFill/>
        </a:ln>
      </c:spPr>
    </c:plotArea>
    <c:plotVisOnly val="1"/>
    <c:dispBlanksAs val="gap"/>
    <c:showDLblsOverMax val="0"/>
  </c:chart>
  <c:spPr>
    <a:noFill/>
    <a:ln w="3175">
      <a:solidFill>
        <a:schemeClr val="bg1">
          <a:lumMod val="85000"/>
        </a:schemeClr>
      </a:solidFill>
    </a:ln>
  </c:spPr>
  <c:txPr>
    <a:bodyPr/>
    <a:lstStyle/>
    <a:p>
      <a:pPr>
        <a:defRPr sz="900" b="0" i="0" u="none" strike="noStrike" baseline="0">
          <a:solidFill>
            <a:srgbClr val="000000"/>
          </a:solidFill>
          <a:latin typeface="Arial Narrow"/>
          <a:ea typeface="Arial Narrow"/>
          <a:cs typeface="Arial Narrow"/>
        </a:defRPr>
      </a:pPr>
      <a:endParaRPr lang="it-I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17632990957586E-2"/>
          <c:y val="0.16465745369009116"/>
          <c:w val="0.85311467694638199"/>
          <c:h val="0.51584457558800445"/>
        </c:manualLayout>
      </c:layout>
      <c:areaChart>
        <c:grouping val="stacked"/>
        <c:varyColors val="0"/>
        <c:ser>
          <c:idx val="0"/>
          <c:order val="0"/>
          <c:tx>
            <c:strRef>
              <c:f>'Fig. 15'!$B$1</c:f>
              <c:strCache>
                <c:ptCount val="1"/>
                <c:pt idx="0">
                  <c:v>Number of farms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scene3d>
              <a:camera prst="orthographicFront"/>
              <a:lightRig rig="threePt" dir="t">
                <a:rot lat="0" lon="0" rev="1200000"/>
              </a:lightRig>
            </a:scene3d>
            <a:sp3d prstMaterial="matte"/>
          </c:spPr>
          <c:cat>
            <c:strRef>
              <c:f>'Fig. 15'!$A$2:$A$21</c:f>
              <c:strCache>
                <c:ptCount val="20"/>
                <c:pt idx="0">
                  <c:v>Abruzzo</c:v>
                </c:pt>
                <c:pt idx="1">
                  <c:v>Basilicata</c:v>
                </c:pt>
                <c:pt idx="2">
                  <c:v>Calabria</c:v>
                </c:pt>
                <c:pt idx="3">
                  <c:v>Campania</c:v>
                </c:pt>
                <c:pt idx="4">
                  <c:v>Emilia-Romagna</c:v>
                </c:pt>
                <c:pt idx="5">
                  <c:v>Friuli-Venezia Giulia</c:v>
                </c:pt>
                <c:pt idx="6">
                  <c:v>Lazio</c:v>
                </c:pt>
                <c:pt idx="7">
                  <c:v>Liguria</c:v>
                </c:pt>
                <c:pt idx="8">
                  <c:v>Lombardia</c:v>
                </c:pt>
                <c:pt idx="9">
                  <c:v>Marche</c:v>
                </c:pt>
                <c:pt idx="10">
                  <c:v>Molise</c:v>
                </c:pt>
                <c:pt idx="11">
                  <c:v>Piemonte</c:v>
                </c:pt>
                <c:pt idx="12">
                  <c:v>Puglia</c:v>
                </c:pt>
                <c:pt idx="13">
                  <c:v>Sardegna</c:v>
                </c:pt>
                <c:pt idx="14">
                  <c:v>Sicilia</c:v>
                </c:pt>
                <c:pt idx="15">
                  <c:v>Toscana</c:v>
                </c:pt>
                <c:pt idx="16">
                  <c:v>Trentino-Alto Adige</c:v>
                </c:pt>
                <c:pt idx="17">
                  <c:v>Umbria</c:v>
                </c:pt>
                <c:pt idx="18">
                  <c:v>Valle d'Aosta</c:v>
                </c:pt>
                <c:pt idx="19">
                  <c:v>Veneto</c:v>
                </c:pt>
              </c:strCache>
            </c:strRef>
          </c:cat>
          <c:val>
            <c:numRef>
              <c:f>'Fig. 15'!$B$2:$B$21</c:f>
              <c:numCache>
                <c:formatCode>0</c:formatCode>
                <c:ptCount val="20"/>
                <c:pt idx="0">
                  <c:v>1761</c:v>
                </c:pt>
                <c:pt idx="1">
                  <c:v>334</c:v>
                </c:pt>
                <c:pt idx="2">
                  <c:v>74</c:v>
                </c:pt>
                <c:pt idx="3">
                  <c:v>1207</c:v>
                </c:pt>
                <c:pt idx="4">
                  <c:v>11068</c:v>
                </c:pt>
                <c:pt idx="5">
                  <c:v>2008</c:v>
                </c:pt>
                <c:pt idx="6">
                  <c:v>740</c:v>
                </c:pt>
                <c:pt idx="7">
                  <c:v>25</c:v>
                </c:pt>
                <c:pt idx="8">
                  <c:v>10747</c:v>
                </c:pt>
                <c:pt idx="9">
                  <c:v>800</c:v>
                </c:pt>
                <c:pt idx="10">
                  <c:v>122</c:v>
                </c:pt>
                <c:pt idx="11">
                  <c:v>7758</c:v>
                </c:pt>
                <c:pt idx="12">
                  <c:v>3768</c:v>
                </c:pt>
                <c:pt idx="13">
                  <c:v>140</c:v>
                </c:pt>
                <c:pt idx="14">
                  <c:v>297</c:v>
                </c:pt>
                <c:pt idx="15">
                  <c:v>1890</c:v>
                </c:pt>
                <c:pt idx="16">
                  <c:v>11009</c:v>
                </c:pt>
                <c:pt idx="17">
                  <c:v>694</c:v>
                </c:pt>
                <c:pt idx="18">
                  <c:v>2</c:v>
                </c:pt>
                <c:pt idx="19">
                  <c:v>13215</c:v>
                </c:pt>
              </c:numCache>
            </c:numRef>
          </c:val>
          <c:extLst>
            <c:ext xmlns:c16="http://schemas.microsoft.com/office/drawing/2014/chart" uri="{C3380CC4-5D6E-409C-BE32-E72D297353CC}">
              <c16:uniqueId val="{00000000-8904-4A6F-9955-2F3B07AC6FC6}"/>
            </c:ext>
          </c:extLst>
        </c:ser>
        <c:dLbls>
          <c:showLegendKey val="0"/>
          <c:showVal val="0"/>
          <c:showCatName val="0"/>
          <c:showSerName val="0"/>
          <c:showPercent val="0"/>
          <c:showBubbleSize val="0"/>
        </c:dLbls>
        <c:axId val="494260448"/>
        <c:axId val="494259888"/>
      </c:areaChart>
      <c:barChart>
        <c:barDir val="col"/>
        <c:grouping val="clustered"/>
        <c:varyColors val="0"/>
        <c:ser>
          <c:idx val="1"/>
          <c:order val="1"/>
          <c:tx>
            <c:strRef>
              <c:f>'Fig. 15'!$C$1</c:f>
              <c:strCache>
                <c:ptCount val="1"/>
                <c:pt idx="0">
                  <c:v>Insured value
(.000)</c:v>
                </c:pt>
              </c:strCache>
            </c:strRef>
          </c:tx>
          <c:spPr>
            <a:solidFill>
              <a:srgbClr val="FF0000"/>
            </a:solidFill>
            <a:ln>
              <a:noFill/>
            </a:ln>
            <a:effectLst/>
            <a:scene3d>
              <a:camera prst="orthographicFront"/>
              <a:lightRig rig="threePt" dir="t">
                <a:rot lat="0" lon="0" rev="1200000"/>
              </a:lightRig>
            </a:scene3d>
            <a:sp3d/>
          </c:spPr>
          <c:invertIfNegative val="0"/>
          <c:cat>
            <c:strRef>
              <c:f>'Fig. 15'!$A$2:$A$21</c:f>
              <c:strCache>
                <c:ptCount val="20"/>
                <c:pt idx="0">
                  <c:v>Abruzzo</c:v>
                </c:pt>
                <c:pt idx="1">
                  <c:v>Basilicata</c:v>
                </c:pt>
                <c:pt idx="2">
                  <c:v>Calabria</c:v>
                </c:pt>
                <c:pt idx="3">
                  <c:v>Campania</c:v>
                </c:pt>
                <c:pt idx="4">
                  <c:v>Emilia-Romagna</c:v>
                </c:pt>
                <c:pt idx="5">
                  <c:v>Friuli-Venezia Giulia</c:v>
                </c:pt>
                <c:pt idx="6">
                  <c:v>Lazio</c:v>
                </c:pt>
                <c:pt idx="7">
                  <c:v>Liguria</c:v>
                </c:pt>
                <c:pt idx="8">
                  <c:v>Lombardia</c:v>
                </c:pt>
                <c:pt idx="9">
                  <c:v>Marche</c:v>
                </c:pt>
                <c:pt idx="10">
                  <c:v>Molise</c:v>
                </c:pt>
                <c:pt idx="11">
                  <c:v>Piemonte</c:v>
                </c:pt>
                <c:pt idx="12">
                  <c:v>Puglia</c:v>
                </c:pt>
                <c:pt idx="13">
                  <c:v>Sardegna</c:v>
                </c:pt>
                <c:pt idx="14">
                  <c:v>Sicilia</c:v>
                </c:pt>
                <c:pt idx="15">
                  <c:v>Toscana</c:v>
                </c:pt>
                <c:pt idx="16">
                  <c:v>Trentino-Alto Adige</c:v>
                </c:pt>
                <c:pt idx="17">
                  <c:v>Umbria</c:v>
                </c:pt>
                <c:pt idx="18">
                  <c:v>Valle d'Aosta</c:v>
                </c:pt>
                <c:pt idx="19">
                  <c:v>Veneto</c:v>
                </c:pt>
              </c:strCache>
            </c:strRef>
          </c:cat>
          <c:val>
            <c:numRef>
              <c:f>'Fig. 15'!$C$2:$C$21</c:f>
              <c:numCache>
                <c:formatCode>0</c:formatCode>
                <c:ptCount val="20"/>
                <c:pt idx="0">
                  <c:v>67465</c:v>
                </c:pt>
                <c:pt idx="1">
                  <c:v>20029</c:v>
                </c:pt>
                <c:pt idx="2">
                  <c:v>5890</c:v>
                </c:pt>
                <c:pt idx="3">
                  <c:v>38744</c:v>
                </c:pt>
                <c:pt idx="4">
                  <c:v>677664</c:v>
                </c:pt>
                <c:pt idx="5">
                  <c:v>236900</c:v>
                </c:pt>
                <c:pt idx="6">
                  <c:v>83377</c:v>
                </c:pt>
                <c:pt idx="7">
                  <c:v>569</c:v>
                </c:pt>
                <c:pt idx="8">
                  <c:v>756058</c:v>
                </c:pt>
                <c:pt idx="9">
                  <c:v>33529</c:v>
                </c:pt>
                <c:pt idx="10">
                  <c:v>6453</c:v>
                </c:pt>
                <c:pt idx="11">
                  <c:v>562918</c:v>
                </c:pt>
                <c:pt idx="12">
                  <c:v>238178</c:v>
                </c:pt>
                <c:pt idx="13">
                  <c:v>15124</c:v>
                </c:pt>
                <c:pt idx="14">
                  <c:v>12013</c:v>
                </c:pt>
                <c:pt idx="15">
                  <c:v>207604</c:v>
                </c:pt>
                <c:pt idx="16">
                  <c:v>692165</c:v>
                </c:pt>
                <c:pt idx="17">
                  <c:v>74810</c:v>
                </c:pt>
                <c:pt idx="18">
                  <c:v>181</c:v>
                </c:pt>
                <c:pt idx="19">
                  <c:v>988322</c:v>
                </c:pt>
              </c:numCache>
            </c:numRef>
          </c:val>
          <c:extLst>
            <c:ext xmlns:c16="http://schemas.microsoft.com/office/drawing/2014/chart" uri="{C3380CC4-5D6E-409C-BE32-E72D297353CC}">
              <c16:uniqueId val="{00000001-8904-4A6F-9955-2F3B07AC6FC6}"/>
            </c:ext>
          </c:extLst>
        </c:ser>
        <c:dLbls>
          <c:showLegendKey val="0"/>
          <c:showVal val="0"/>
          <c:showCatName val="0"/>
          <c:showSerName val="0"/>
          <c:showPercent val="0"/>
          <c:showBubbleSize val="0"/>
        </c:dLbls>
        <c:gapWidth val="219"/>
        <c:overlap val="-27"/>
        <c:axId val="494258768"/>
        <c:axId val="494258208"/>
      </c:barChart>
      <c:catAx>
        <c:axId val="49425876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w="6350" cap="flat" cmpd="sng" algn="ctr">
            <a:solidFill>
              <a:schemeClr val="bg1">
                <a:lumMod val="85000"/>
                <a:alpha val="92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crossAx val="494258208"/>
        <c:crosses val="autoZero"/>
        <c:auto val="1"/>
        <c:lblAlgn val="ctr"/>
        <c:lblOffset val="100"/>
        <c:noMultiLvlLbl val="0"/>
      </c:catAx>
      <c:valAx>
        <c:axId val="494258208"/>
        <c:scaling>
          <c:orientation val="minMax"/>
        </c:scaling>
        <c:delete val="0"/>
        <c:axPos val="l"/>
        <c:majorGridlines>
          <c:spPr>
            <a:ln w="3175" cap="flat" cmpd="sng" algn="ctr">
              <a:solidFill>
                <a:schemeClr val="bg1">
                  <a:lumMod val="8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crossAx val="494258768"/>
        <c:crosses val="autoZero"/>
        <c:crossBetween val="between"/>
      </c:valAx>
      <c:valAx>
        <c:axId val="49425988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crossAx val="494260448"/>
        <c:crosses val="max"/>
        <c:crossBetween val="between"/>
      </c:valAx>
      <c:catAx>
        <c:axId val="494260448"/>
        <c:scaling>
          <c:orientation val="minMax"/>
        </c:scaling>
        <c:delete val="1"/>
        <c:axPos val="b"/>
        <c:numFmt formatCode="General" sourceLinked="1"/>
        <c:majorTickMark val="none"/>
        <c:minorTickMark val="none"/>
        <c:tickLblPos val="nextTo"/>
        <c:crossAx val="494259888"/>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legendEntry>
      <c:layout>
        <c:manualLayout>
          <c:xMode val="edge"/>
          <c:yMode val="edge"/>
          <c:x val="0.15672763847343613"/>
          <c:y val="4.7734918169042451E-3"/>
          <c:w val="0.7217982856428512"/>
          <c:h val="0.153862573999773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a:solidFill>
        <a:schemeClr val="bg1">
          <a:lumMod val="85000"/>
        </a:schemeClr>
      </a:solidFill>
    </a:ln>
    <a:effectLst/>
  </c:spPr>
  <c:txPr>
    <a:bodyPr/>
    <a:lstStyle/>
    <a:p>
      <a:pPr>
        <a:defRPr sz="800">
          <a:solidFill>
            <a:sysClr val="windowText" lastClr="000000"/>
          </a:solidFill>
          <a:latin typeface="Arial Narrow" panose="020B0606020202030204" pitchFamily="34" charset="0"/>
        </a:defRPr>
      </a:pPr>
      <a:endParaRPr lang="it-I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70820141204466"/>
          <c:y val="5.9833721902080667E-2"/>
          <c:w val="0.51684425085162222"/>
          <c:h val="0.86959900845727622"/>
        </c:manualLayout>
      </c:layout>
      <c:doughnutChart>
        <c:varyColors val="1"/>
        <c:ser>
          <c:idx val="0"/>
          <c:order val="0"/>
          <c:tx>
            <c:strRef>
              <c:f>Foglio1!$C$3</c:f>
              <c:strCache>
                <c:ptCount val="1"/>
                <c:pt idx="0">
                  <c:v>Numero distretti</c:v>
                </c:pt>
              </c:strCache>
            </c:strRef>
          </c:tx>
          <c:spPr>
            <a:effectLst/>
          </c:spPr>
          <c:dPt>
            <c:idx val="0"/>
            <c:bubble3D val="0"/>
            <c:spPr>
              <a:solidFill>
                <a:schemeClr val="accent1"/>
              </a:solidFill>
              <a:ln>
                <a:noFill/>
              </a:ln>
              <a:effectLst/>
            </c:spPr>
            <c:extLst>
              <c:ext xmlns:c16="http://schemas.microsoft.com/office/drawing/2014/chart" uri="{C3380CC4-5D6E-409C-BE32-E72D297353CC}">
                <c16:uniqueId val="{00000001-EF4F-46A8-B2A2-896A4ADA0BDC}"/>
              </c:ext>
            </c:extLst>
          </c:dPt>
          <c:dPt>
            <c:idx val="1"/>
            <c:bubble3D val="0"/>
            <c:spPr>
              <a:solidFill>
                <a:schemeClr val="accent2"/>
              </a:solidFill>
              <a:ln>
                <a:noFill/>
              </a:ln>
              <a:effectLst/>
            </c:spPr>
            <c:extLst>
              <c:ext xmlns:c16="http://schemas.microsoft.com/office/drawing/2014/chart" uri="{C3380CC4-5D6E-409C-BE32-E72D297353CC}">
                <c16:uniqueId val="{00000003-EF4F-46A8-B2A2-896A4ADA0BDC}"/>
              </c:ext>
            </c:extLst>
          </c:dPt>
          <c:dPt>
            <c:idx val="2"/>
            <c:bubble3D val="0"/>
            <c:spPr>
              <a:solidFill>
                <a:schemeClr val="accent3"/>
              </a:solidFill>
              <a:ln>
                <a:noFill/>
              </a:ln>
              <a:effectLst/>
            </c:spPr>
            <c:extLst>
              <c:ext xmlns:c16="http://schemas.microsoft.com/office/drawing/2014/chart" uri="{C3380CC4-5D6E-409C-BE32-E72D297353CC}">
                <c16:uniqueId val="{00000005-EF4F-46A8-B2A2-896A4ADA0BDC}"/>
              </c:ext>
            </c:extLst>
          </c:dPt>
          <c:dPt>
            <c:idx val="3"/>
            <c:bubble3D val="0"/>
            <c:spPr>
              <a:solidFill>
                <a:schemeClr val="accent4"/>
              </a:solidFill>
              <a:ln>
                <a:noFill/>
              </a:ln>
              <a:effectLst/>
            </c:spPr>
            <c:extLst>
              <c:ext xmlns:c16="http://schemas.microsoft.com/office/drawing/2014/chart" uri="{C3380CC4-5D6E-409C-BE32-E72D297353CC}">
                <c16:uniqueId val="{00000007-EF4F-46A8-B2A2-896A4ADA0BDC}"/>
              </c:ext>
            </c:extLst>
          </c:dPt>
          <c:dPt>
            <c:idx val="4"/>
            <c:bubble3D val="0"/>
            <c:spPr>
              <a:solidFill>
                <a:schemeClr val="accent5"/>
              </a:solidFill>
              <a:ln>
                <a:noFill/>
              </a:ln>
              <a:effectLst/>
            </c:spPr>
            <c:extLst>
              <c:ext xmlns:c16="http://schemas.microsoft.com/office/drawing/2014/chart" uri="{C3380CC4-5D6E-409C-BE32-E72D297353CC}">
                <c16:uniqueId val="{00000009-EF4F-46A8-B2A2-896A4ADA0BDC}"/>
              </c:ext>
            </c:extLst>
          </c:dPt>
          <c:dPt>
            <c:idx val="5"/>
            <c:bubble3D val="0"/>
            <c:spPr>
              <a:solidFill>
                <a:schemeClr val="accent6"/>
              </a:solidFill>
              <a:ln>
                <a:noFill/>
              </a:ln>
              <a:effectLst/>
            </c:spPr>
            <c:extLst>
              <c:ext xmlns:c16="http://schemas.microsoft.com/office/drawing/2014/chart" uri="{C3380CC4-5D6E-409C-BE32-E72D297353CC}">
                <c16:uniqueId val="{0000000B-EF4F-46A8-B2A2-896A4ADA0BDC}"/>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EF4F-46A8-B2A2-896A4ADA0BDC}"/>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EF4F-46A8-B2A2-896A4ADA0BDC}"/>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EF4F-46A8-B2A2-896A4ADA0BDC}"/>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13-EF4F-46A8-B2A2-896A4ADA0BDC}"/>
              </c:ext>
            </c:extLst>
          </c:dPt>
          <c:dPt>
            <c:idx val="10"/>
            <c:bubble3D val="0"/>
            <c:spPr>
              <a:solidFill>
                <a:schemeClr val="accent5">
                  <a:lumMod val="60000"/>
                </a:schemeClr>
              </a:solidFill>
              <a:ln>
                <a:noFill/>
              </a:ln>
              <a:effectLst/>
            </c:spPr>
            <c:extLst>
              <c:ext xmlns:c16="http://schemas.microsoft.com/office/drawing/2014/chart" uri="{C3380CC4-5D6E-409C-BE32-E72D297353CC}">
                <c16:uniqueId val="{00000015-EF4F-46A8-B2A2-896A4ADA0BDC}"/>
              </c:ext>
            </c:extLst>
          </c:dPt>
          <c:dPt>
            <c:idx val="11"/>
            <c:bubble3D val="0"/>
            <c:spPr>
              <a:solidFill>
                <a:schemeClr val="accent6">
                  <a:lumMod val="60000"/>
                </a:schemeClr>
              </a:solidFill>
              <a:ln>
                <a:noFill/>
              </a:ln>
              <a:effectLst/>
            </c:spPr>
            <c:extLst>
              <c:ext xmlns:c16="http://schemas.microsoft.com/office/drawing/2014/chart" uri="{C3380CC4-5D6E-409C-BE32-E72D297353CC}">
                <c16:uniqueId val="{00000017-EF4F-46A8-B2A2-896A4ADA0BDC}"/>
              </c:ext>
            </c:extLst>
          </c:dPt>
          <c:dPt>
            <c:idx val="12"/>
            <c:bubble3D val="0"/>
            <c:spPr>
              <a:solidFill>
                <a:schemeClr val="accent1">
                  <a:lumMod val="80000"/>
                  <a:lumOff val="20000"/>
                </a:schemeClr>
              </a:solidFill>
              <a:ln>
                <a:noFill/>
              </a:ln>
              <a:effectLst/>
            </c:spPr>
            <c:extLst>
              <c:ext xmlns:c16="http://schemas.microsoft.com/office/drawing/2014/chart" uri="{C3380CC4-5D6E-409C-BE32-E72D297353CC}">
                <c16:uniqueId val="{00000019-EF4F-46A8-B2A2-896A4ADA0BD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effectLst/>
                      <a:latin typeface="+mn-lt"/>
                      <a:ea typeface="+mn-ea"/>
                      <a:cs typeface="+mn-cs"/>
                    </a:defRPr>
                  </a:pPr>
                  <a:endParaRPr lang="it-IT"/>
                </a:p>
              </c:txPr>
              <c:showLegendKey val="0"/>
              <c:showVal val="1"/>
              <c:showCatName val="0"/>
              <c:showSerName val="0"/>
              <c:showPercent val="0"/>
              <c:showBubbleSize val="0"/>
              <c:extLst>
                <c:ext xmlns:c16="http://schemas.microsoft.com/office/drawing/2014/chart" uri="{C3380CC4-5D6E-409C-BE32-E72D297353CC}">
                  <c16:uniqueId val="{00000001-EF4F-46A8-B2A2-896A4ADA0BD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Foglio1!$B$4:$B$16</c:f>
              <c:strCache>
                <c:ptCount val="13"/>
                <c:pt idx="0">
                  <c:v>Campania </c:v>
                </c:pt>
                <c:pt idx="1">
                  <c:v>Lombardia </c:v>
                </c:pt>
                <c:pt idx="2">
                  <c:v>Toscana </c:v>
                </c:pt>
                <c:pt idx="3">
                  <c:v>Puglia </c:v>
                </c:pt>
                <c:pt idx="4">
                  <c:v>Calabria </c:v>
                </c:pt>
                <c:pt idx="5">
                  <c:v>Lazio </c:v>
                </c:pt>
                <c:pt idx="6">
                  <c:v>Sicilia </c:v>
                </c:pt>
                <c:pt idx="7">
                  <c:v>Abruzzo </c:v>
                </c:pt>
                <c:pt idx="8">
                  <c:v>Basilicata </c:v>
                </c:pt>
                <c:pt idx="9">
                  <c:v>Sardegna </c:v>
                </c:pt>
                <c:pt idx="10">
                  <c:v>Piemonte </c:v>
                </c:pt>
                <c:pt idx="11">
                  <c:v>Veneto </c:v>
                </c:pt>
                <c:pt idx="12">
                  <c:v>Emilia-Romagna </c:v>
                </c:pt>
              </c:strCache>
            </c:strRef>
          </c:cat>
          <c:val>
            <c:numRef>
              <c:f>Foglio1!$C$4:$C$16</c:f>
              <c:numCache>
                <c:formatCode>General</c:formatCode>
                <c:ptCount val="13"/>
                <c:pt idx="0">
                  <c:v>23</c:v>
                </c:pt>
                <c:pt idx="1">
                  <c:v>18</c:v>
                </c:pt>
                <c:pt idx="2">
                  <c:v>11</c:v>
                </c:pt>
                <c:pt idx="3">
                  <c:v>10</c:v>
                </c:pt>
                <c:pt idx="4">
                  <c:v>10</c:v>
                </c:pt>
                <c:pt idx="5">
                  <c:v>9</c:v>
                </c:pt>
                <c:pt idx="6">
                  <c:v>7</c:v>
                </c:pt>
                <c:pt idx="7">
                  <c:v>5</c:v>
                </c:pt>
                <c:pt idx="8">
                  <c:v>4</c:v>
                </c:pt>
                <c:pt idx="9">
                  <c:v>3</c:v>
                </c:pt>
                <c:pt idx="10">
                  <c:v>3</c:v>
                </c:pt>
                <c:pt idx="11">
                  <c:v>2</c:v>
                </c:pt>
                <c:pt idx="12">
                  <c:v>1</c:v>
                </c:pt>
              </c:numCache>
            </c:numRef>
          </c:val>
          <c:extLst>
            <c:ext xmlns:c16="http://schemas.microsoft.com/office/drawing/2014/chart" uri="{C3380CC4-5D6E-409C-BE32-E72D297353CC}">
              <c16:uniqueId val="{0000001A-EF4F-46A8-B2A2-896A4ADA0BD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Arial Narrow" panose="020B0606020202030204" pitchFamily="34" charset="0"/>
              <a:ea typeface="+mn-ea"/>
              <a:cs typeface="+mn-cs"/>
            </a:defRPr>
          </a:pPr>
          <a:endParaRPr lang="it-IT"/>
        </a:p>
      </c:txPr>
    </c:legend>
    <c:plotVisOnly val="1"/>
    <c:dispBlanksAs val="gap"/>
    <c:showDLblsOverMax val="0"/>
  </c:chart>
  <c:spPr>
    <a:noFill/>
    <a:ln w="9525" cap="flat" cmpd="sng" algn="ctr">
      <a:solidFill>
        <a:srgbClr val="D9D9D9"/>
      </a:solidFill>
      <a:round/>
    </a:ln>
    <a:effectLst/>
  </c:spPr>
  <c:txPr>
    <a:bodyPr/>
    <a:lstStyle/>
    <a:p>
      <a:pPr>
        <a:defRPr/>
      </a:pPr>
      <a:endParaRPr lang="it-I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358496732026142E-2"/>
          <c:y val="0.12963255741370355"/>
          <c:w val="0.89667630718954228"/>
          <c:h val="0.76979976515192217"/>
        </c:manualLayout>
      </c:layout>
      <c:lineChart>
        <c:grouping val="standard"/>
        <c:varyColors val="0"/>
        <c:ser>
          <c:idx val="0"/>
          <c:order val="0"/>
          <c:tx>
            <c:strRef>
              <c:f>'Par 1.2 Figura X.Y'!$B$3</c:f>
              <c:strCache>
                <c:ptCount val="1"/>
                <c:pt idx="0">
                  <c:v>Climate amount</c:v>
                </c:pt>
              </c:strCache>
            </c:strRef>
          </c:tx>
          <c:spPr>
            <a:ln w="22225" cap="rnd">
              <a:solidFill>
                <a:srgbClr val="E42618"/>
              </a:solidFill>
              <a:round/>
            </a:ln>
            <a:effectLst/>
          </c:spPr>
          <c:marker>
            <c:symbol val="none"/>
          </c:marker>
          <c:cat>
            <c:strRef>
              <c:f>'Par 1.2 Figura X.Y'!$A$4:$A$9</c:f>
              <c:strCache>
                <c:ptCount val="6"/>
                <c:pt idx="0">
                  <c:v>M1</c:v>
                </c:pt>
                <c:pt idx="1">
                  <c:v>M2</c:v>
                </c:pt>
                <c:pt idx="2">
                  <c:v>M3</c:v>
                </c:pt>
                <c:pt idx="3">
                  <c:v>M4</c:v>
                </c:pt>
                <c:pt idx="4">
                  <c:v>M5</c:v>
                </c:pt>
                <c:pt idx="5">
                  <c:v>M6</c:v>
                </c:pt>
              </c:strCache>
            </c:strRef>
          </c:cat>
          <c:val>
            <c:numRef>
              <c:f>'Par 1.2 Figura X.Y'!$B$4:$B$9</c:f>
              <c:numCache>
                <c:formatCode>#,##0.00</c:formatCode>
                <c:ptCount val="6"/>
                <c:pt idx="0">
                  <c:v>917240000</c:v>
                </c:pt>
                <c:pt idx="1">
                  <c:v>46194926050.955399</c:v>
                </c:pt>
                <c:pt idx="2">
                  <c:v>20776432500.8055</c:v>
                </c:pt>
                <c:pt idx="3">
                  <c:v>2668200000</c:v>
                </c:pt>
                <c:pt idx="4">
                  <c:v>532000000</c:v>
                </c:pt>
                <c:pt idx="5">
                  <c:v>64000000</c:v>
                </c:pt>
              </c:numCache>
            </c:numRef>
          </c:val>
          <c:smooth val="0"/>
          <c:extLst>
            <c:ext xmlns:c16="http://schemas.microsoft.com/office/drawing/2014/chart" uri="{C3380CC4-5D6E-409C-BE32-E72D297353CC}">
              <c16:uniqueId val="{00000000-468F-4933-A4E5-BC8F0EE7D0C7}"/>
            </c:ext>
          </c:extLst>
        </c:ser>
        <c:ser>
          <c:idx val="1"/>
          <c:order val="1"/>
          <c:tx>
            <c:strRef>
              <c:f>'Par 1.2 Figura X.Y'!$C$3</c:f>
              <c:strCache>
                <c:ptCount val="1"/>
                <c:pt idx="0">
                  <c:v>Digital amount</c:v>
                </c:pt>
              </c:strCache>
            </c:strRef>
          </c:tx>
          <c:spPr>
            <a:ln w="22225" cap="rnd">
              <a:solidFill>
                <a:srgbClr val="17365D"/>
              </a:solidFill>
              <a:round/>
            </a:ln>
            <a:effectLst/>
          </c:spPr>
          <c:marker>
            <c:symbol val="none"/>
          </c:marker>
          <c:cat>
            <c:strRef>
              <c:f>'Par 1.2 Figura X.Y'!$A$4:$A$9</c:f>
              <c:strCache>
                <c:ptCount val="6"/>
                <c:pt idx="0">
                  <c:v>M1</c:v>
                </c:pt>
                <c:pt idx="1">
                  <c:v>M2</c:v>
                </c:pt>
                <c:pt idx="2">
                  <c:v>M3</c:v>
                </c:pt>
                <c:pt idx="3">
                  <c:v>M4</c:v>
                </c:pt>
                <c:pt idx="4">
                  <c:v>M5</c:v>
                </c:pt>
                <c:pt idx="5">
                  <c:v>M6</c:v>
                </c:pt>
              </c:strCache>
            </c:strRef>
          </c:cat>
          <c:val>
            <c:numRef>
              <c:f>'Par 1.2 Figura X.Y'!$C$4:$C$9</c:f>
              <c:numCache>
                <c:formatCode>#,##0.00</c:formatCode>
                <c:ptCount val="6"/>
                <c:pt idx="0">
                  <c:v>28275783221.490002</c:v>
                </c:pt>
                <c:pt idx="1">
                  <c:v>1908000000</c:v>
                </c:pt>
                <c:pt idx="2">
                  <c:v>3330000000</c:v>
                </c:pt>
                <c:pt idx="3">
                  <c:v>7482800000</c:v>
                </c:pt>
                <c:pt idx="4">
                  <c:v>2695000000</c:v>
                </c:pt>
                <c:pt idx="5">
                  <c:v>4402000000</c:v>
                </c:pt>
              </c:numCache>
            </c:numRef>
          </c:val>
          <c:smooth val="0"/>
          <c:extLst>
            <c:ext xmlns:c16="http://schemas.microsoft.com/office/drawing/2014/chart" uri="{C3380CC4-5D6E-409C-BE32-E72D297353CC}">
              <c16:uniqueId val="{00000001-468F-4933-A4E5-BC8F0EE7D0C7}"/>
            </c:ext>
          </c:extLst>
        </c:ser>
        <c:dLbls>
          <c:showLegendKey val="0"/>
          <c:showVal val="0"/>
          <c:showCatName val="0"/>
          <c:showSerName val="0"/>
          <c:showPercent val="0"/>
          <c:showBubbleSize val="0"/>
        </c:dLbls>
        <c:marker val="1"/>
        <c:smooth val="0"/>
        <c:axId val="365561472"/>
        <c:axId val="365551696"/>
      </c:lineChart>
      <c:scatterChart>
        <c:scatterStyle val="lineMarker"/>
        <c:varyColors val="0"/>
        <c:ser>
          <c:idx val="2"/>
          <c:order val="2"/>
          <c:tx>
            <c:strRef>
              <c:f>'Par 1.2 Figura X.Y'!$D$3</c:f>
              <c:strCache>
                <c:ptCount val="1"/>
                <c:pt idx="0">
                  <c:v>% Climate</c:v>
                </c:pt>
              </c:strCache>
            </c:strRef>
          </c:tx>
          <c:spPr>
            <a:ln w="25400" cap="rnd">
              <a:noFill/>
              <a:round/>
            </a:ln>
            <a:effectLst/>
          </c:spPr>
          <c:marker>
            <c:symbol val="circle"/>
            <c:size val="6"/>
            <c:spPr>
              <a:solidFill>
                <a:schemeClr val="lt1"/>
              </a:solidFill>
              <a:ln w="15875">
                <a:solidFill>
                  <a:srgbClr val="E42618"/>
                </a:solidFill>
                <a:round/>
              </a:ln>
              <a:effectLst/>
            </c:spPr>
          </c:marker>
          <c:xVal>
            <c:strRef>
              <c:f>'Par 1.2 Figura X.Y'!$A$4:$A$9</c:f>
              <c:strCache>
                <c:ptCount val="6"/>
                <c:pt idx="0">
                  <c:v>M1</c:v>
                </c:pt>
                <c:pt idx="1">
                  <c:v>M2</c:v>
                </c:pt>
                <c:pt idx="2">
                  <c:v>M3</c:v>
                </c:pt>
                <c:pt idx="3">
                  <c:v>M4</c:v>
                </c:pt>
                <c:pt idx="4">
                  <c:v>M5</c:v>
                </c:pt>
                <c:pt idx="5">
                  <c:v>M6</c:v>
                </c:pt>
              </c:strCache>
            </c:strRef>
          </c:xVal>
          <c:yVal>
            <c:numRef>
              <c:f>'Par 1.2 Figura X.Y'!$D$4:$D$9</c:f>
              <c:numCache>
                <c:formatCode>0.00%</c:formatCode>
                <c:ptCount val="6"/>
                <c:pt idx="0">
                  <c:v>2.2800000000000001E-2</c:v>
                </c:pt>
                <c:pt idx="1">
                  <c:v>0.77690000000000003</c:v>
                </c:pt>
                <c:pt idx="2">
                  <c:v>0.81810000000000005</c:v>
                </c:pt>
                <c:pt idx="3">
                  <c:v>8.6400000000000005E-2</c:v>
                </c:pt>
                <c:pt idx="4">
                  <c:v>2.6800000000000001E-2</c:v>
                </c:pt>
                <c:pt idx="5">
                  <c:v>4.1000000000000002E-2</c:v>
                </c:pt>
              </c:numCache>
            </c:numRef>
          </c:yVal>
          <c:smooth val="0"/>
          <c:extLst>
            <c:ext xmlns:c16="http://schemas.microsoft.com/office/drawing/2014/chart" uri="{C3380CC4-5D6E-409C-BE32-E72D297353CC}">
              <c16:uniqueId val="{00000002-468F-4933-A4E5-BC8F0EE7D0C7}"/>
            </c:ext>
          </c:extLst>
        </c:ser>
        <c:ser>
          <c:idx val="3"/>
          <c:order val="3"/>
          <c:tx>
            <c:strRef>
              <c:f>'Par 1.2 Figura X.Y'!$E$3</c:f>
              <c:strCache>
                <c:ptCount val="1"/>
                <c:pt idx="0">
                  <c:v>% Digital</c:v>
                </c:pt>
              </c:strCache>
            </c:strRef>
          </c:tx>
          <c:spPr>
            <a:ln w="25400" cap="rnd">
              <a:noFill/>
              <a:round/>
            </a:ln>
            <a:effectLst/>
          </c:spPr>
          <c:marker>
            <c:symbol val="circle"/>
            <c:size val="6"/>
            <c:spPr>
              <a:solidFill>
                <a:schemeClr val="lt1"/>
              </a:solidFill>
              <a:ln w="15875">
                <a:solidFill>
                  <a:srgbClr val="17365D"/>
                </a:solidFill>
                <a:round/>
              </a:ln>
              <a:effectLst/>
            </c:spPr>
          </c:marker>
          <c:xVal>
            <c:strRef>
              <c:f>'Par 1.2 Figura X.Y'!$A$4:$A$9</c:f>
              <c:strCache>
                <c:ptCount val="6"/>
                <c:pt idx="0">
                  <c:v>M1</c:v>
                </c:pt>
                <c:pt idx="1">
                  <c:v>M2</c:v>
                </c:pt>
                <c:pt idx="2">
                  <c:v>M3</c:v>
                </c:pt>
                <c:pt idx="3">
                  <c:v>M4</c:v>
                </c:pt>
                <c:pt idx="4">
                  <c:v>M5</c:v>
                </c:pt>
                <c:pt idx="5">
                  <c:v>M6</c:v>
                </c:pt>
              </c:strCache>
            </c:strRef>
          </c:xVal>
          <c:yVal>
            <c:numRef>
              <c:f>'Par 1.2 Figura X.Y'!$E$4:$E$9</c:f>
              <c:numCache>
                <c:formatCode>0.00%</c:formatCode>
                <c:ptCount val="6"/>
                <c:pt idx="0">
                  <c:v>0.70179999999999998</c:v>
                </c:pt>
                <c:pt idx="1">
                  <c:v>3.2099999999999997E-2</c:v>
                </c:pt>
                <c:pt idx="2">
                  <c:v>0.13109999999999999</c:v>
                </c:pt>
                <c:pt idx="3">
                  <c:v>0.2424</c:v>
                </c:pt>
                <c:pt idx="4">
                  <c:v>0.1358</c:v>
                </c:pt>
                <c:pt idx="5">
                  <c:v>0.28179999999999999</c:v>
                </c:pt>
              </c:numCache>
            </c:numRef>
          </c:yVal>
          <c:smooth val="0"/>
          <c:extLst>
            <c:ext xmlns:c16="http://schemas.microsoft.com/office/drawing/2014/chart" uri="{C3380CC4-5D6E-409C-BE32-E72D297353CC}">
              <c16:uniqueId val="{00000003-468F-4933-A4E5-BC8F0EE7D0C7}"/>
            </c:ext>
          </c:extLst>
        </c:ser>
        <c:dLbls>
          <c:showLegendKey val="0"/>
          <c:showVal val="0"/>
          <c:showCatName val="0"/>
          <c:showSerName val="0"/>
          <c:showPercent val="0"/>
          <c:showBubbleSize val="0"/>
        </c:dLbls>
        <c:axId val="365552816"/>
        <c:axId val="365552256"/>
      </c:scatterChart>
      <c:catAx>
        <c:axId val="3655614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it-IT"/>
          </a:p>
        </c:txPr>
        <c:crossAx val="365551696"/>
        <c:crosses val="autoZero"/>
        <c:auto val="1"/>
        <c:lblAlgn val="ctr"/>
        <c:lblOffset val="100"/>
        <c:noMultiLvlLbl val="0"/>
      </c:catAx>
      <c:valAx>
        <c:axId val="36555169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it-IT"/>
          </a:p>
        </c:txPr>
        <c:crossAx val="365561472"/>
        <c:crosses val="autoZero"/>
        <c:crossBetween val="between"/>
        <c:dispUnits>
          <c:builtInUnit val="billions"/>
        </c:dispUnits>
      </c:valAx>
      <c:valAx>
        <c:axId val="365552256"/>
        <c:scaling>
          <c:orientation val="minMax"/>
        </c:scaling>
        <c:delete val="0"/>
        <c:axPos val="r"/>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it-IT"/>
          </a:p>
        </c:txPr>
        <c:crossAx val="365552816"/>
        <c:crosses val="max"/>
        <c:crossBetween val="midCat"/>
      </c:valAx>
      <c:valAx>
        <c:axId val="365552816"/>
        <c:scaling>
          <c:orientation val="minMax"/>
        </c:scaling>
        <c:delete val="1"/>
        <c:axPos val="b"/>
        <c:numFmt formatCode="General" sourceLinked="1"/>
        <c:majorTickMark val="none"/>
        <c:minorTickMark val="none"/>
        <c:tickLblPos val="nextTo"/>
        <c:crossAx val="365552256"/>
        <c:crosses val="autoZero"/>
        <c:crossBetween val="midCat"/>
      </c:valAx>
      <c:spPr>
        <a:noFill/>
        <a:ln>
          <a:noFill/>
        </a:ln>
        <a:effectLst/>
      </c:spPr>
    </c:plotArea>
    <c:legend>
      <c:legendPos val="t"/>
      <c:layout>
        <c:manualLayout>
          <c:xMode val="edge"/>
          <c:yMode val="edge"/>
          <c:x val="0.19852581699346408"/>
          <c:y val="6.185185185185189E-4"/>
          <c:w val="0.5895070261437908"/>
          <c:h val="8.801435185185185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sz="800">
          <a:latin typeface="Arial Narrow" panose="020B0606020202030204" pitchFamily="34" charset="0"/>
        </a:defRPr>
      </a:pPr>
      <a:endParaRPr lang="it-I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262490057442259E-2"/>
          <c:y val="0.17899876599517978"/>
          <c:w val="0.88347501988511545"/>
          <c:h val="0.70058505256675319"/>
        </c:manualLayout>
      </c:layout>
      <c:barChart>
        <c:barDir val="col"/>
        <c:grouping val="clustered"/>
        <c:varyColors val="0"/>
        <c:ser>
          <c:idx val="0"/>
          <c:order val="0"/>
          <c:tx>
            <c:strRef>
              <c:f>'FIGURE 2'!$A$31</c:f>
              <c:strCache>
                <c:ptCount val="1"/>
                <c:pt idx="0">
                  <c:v>Agriculture, forestry and fishing employees</c:v>
                </c:pt>
              </c:strCache>
            </c:strRef>
          </c:tx>
          <c:spPr>
            <a:solidFill>
              <a:schemeClr val="accent1"/>
            </a:solidFill>
            <a:ln>
              <a:noFill/>
            </a:ln>
            <a:effectLst/>
          </c:spPr>
          <c:invertIfNegative val="0"/>
          <c:cat>
            <c:numRef>
              <c:f>'FIGURE 2'!$B$30:$W$30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 2'!$B$31:$W$31</c:f>
              <c:numCache>
                <c:formatCode>General</c:formatCode>
                <c:ptCount val="22"/>
                <c:pt idx="0">
                  <c:v>394.9</c:v>
                </c:pt>
                <c:pt idx="1">
                  <c:v>408.8</c:v>
                </c:pt>
                <c:pt idx="2">
                  <c:v>403.2</c:v>
                </c:pt>
                <c:pt idx="3">
                  <c:v>355.7</c:v>
                </c:pt>
                <c:pt idx="4">
                  <c:v>374.3</c:v>
                </c:pt>
                <c:pt idx="5">
                  <c:v>399.3</c:v>
                </c:pt>
                <c:pt idx="6">
                  <c:v>413.8</c:v>
                </c:pt>
                <c:pt idx="7">
                  <c:v>407.1</c:v>
                </c:pt>
                <c:pt idx="8">
                  <c:v>398.8</c:v>
                </c:pt>
                <c:pt idx="9">
                  <c:v>388.1</c:v>
                </c:pt>
                <c:pt idx="10">
                  <c:v>394.8</c:v>
                </c:pt>
                <c:pt idx="11">
                  <c:v>398.9</c:v>
                </c:pt>
                <c:pt idx="12">
                  <c:v>398.5</c:v>
                </c:pt>
                <c:pt idx="13">
                  <c:v>392.3</c:v>
                </c:pt>
                <c:pt idx="14">
                  <c:v>400.7</c:v>
                </c:pt>
                <c:pt idx="15">
                  <c:v>408.5</c:v>
                </c:pt>
                <c:pt idx="16">
                  <c:v>429.2</c:v>
                </c:pt>
                <c:pt idx="17">
                  <c:v>435.4</c:v>
                </c:pt>
                <c:pt idx="18">
                  <c:v>446</c:v>
                </c:pt>
                <c:pt idx="19">
                  <c:v>434</c:v>
                </c:pt>
                <c:pt idx="20">
                  <c:v>419.3</c:v>
                </c:pt>
                <c:pt idx="21">
                  <c:v>442.2</c:v>
                </c:pt>
              </c:numCache>
            </c:numRef>
          </c:val>
          <c:extLst>
            <c:ext xmlns:c16="http://schemas.microsoft.com/office/drawing/2014/chart" uri="{C3380CC4-5D6E-409C-BE32-E72D297353CC}">
              <c16:uniqueId val="{00000000-106B-4B74-A69D-DE7C33E6F719}"/>
            </c:ext>
          </c:extLst>
        </c:ser>
        <c:ser>
          <c:idx val="1"/>
          <c:order val="1"/>
          <c:tx>
            <c:strRef>
              <c:f>'FIGURE 2'!$A$32</c:f>
              <c:strCache>
                <c:ptCount val="1"/>
                <c:pt idx="0">
                  <c:v>Agriculture, forestry and fishing self-employed</c:v>
                </c:pt>
              </c:strCache>
            </c:strRef>
          </c:tx>
          <c:spPr>
            <a:solidFill>
              <a:schemeClr val="accent2"/>
            </a:solidFill>
            <a:ln>
              <a:noFill/>
            </a:ln>
            <a:effectLst/>
          </c:spPr>
          <c:invertIfNegative val="0"/>
          <c:cat>
            <c:numRef>
              <c:f>'FIGURE 2'!$B$30:$W$30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 2'!$B$32:$W$32</c:f>
              <c:numCache>
                <c:formatCode>General</c:formatCode>
                <c:ptCount val="22"/>
                <c:pt idx="0">
                  <c:v>1094.7</c:v>
                </c:pt>
                <c:pt idx="1">
                  <c:v>1093.0999999999999</c:v>
                </c:pt>
                <c:pt idx="2">
                  <c:v>1046.2</c:v>
                </c:pt>
                <c:pt idx="3">
                  <c:v>1048.3</c:v>
                </c:pt>
                <c:pt idx="4">
                  <c:v>1018.5</c:v>
                </c:pt>
                <c:pt idx="5">
                  <c:v>932.1</c:v>
                </c:pt>
                <c:pt idx="6">
                  <c:v>939.5</c:v>
                </c:pt>
                <c:pt idx="7">
                  <c:v>902</c:v>
                </c:pt>
                <c:pt idx="8">
                  <c:v>875.7</c:v>
                </c:pt>
                <c:pt idx="9">
                  <c:v>868.5</c:v>
                </c:pt>
                <c:pt idx="10">
                  <c:v>872.1</c:v>
                </c:pt>
                <c:pt idx="11">
                  <c:v>841.7</c:v>
                </c:pt>
                <c:pt idx="12">
                  <c:v>814.6</c:v>
                </c:pt>
                <c:pt idx="13">
                  <c:v>807.4</c:v>
                </c:pt>
                <c:pt idx="14">
                  <c:v>821.1</c:v>
                </c:pt>
                <c:pt idx="15">
                  <c:v>835.6</c:v>
                </c:pt>
                <c:pt idx="16">
                  <c:v>847.4</c:v>
                </c:pt>
                <c:pt idx="17">
                  <c:v>815.5</c:v>
                </c:pt>
                <c:pt idx="18">
                  <c:v>823.8</c:v>
                </c:pt>
                <c:pt idx="19">
                  <c:v>814</c:v>
                </c:pt>
                <c:pt idx="20">
                  <c:v>803.2</c:v>
                </c:pt>
                <c:pt idx="21">
                  <c:v>816.6</c:v>
                </c:pt>
              </c:numCache>
            </c:numRef>
          </c:val>
          <c:extLst>
            <c:ext xmlns:c16="http://schemas.microsoft.com/office/drawing/2014/chart" uri="{C3380CC4-5D6E-409C-BE32-E72D297353CC}">
              <c16:uniqueId val="{00000001-106B-4B74-A69D-DE7C33E6F719}"/>
            </c:ext>
          </c:extLst>
        </c:ser>
        <c:dLbls>
          <c:showLegendKey val="0"/>
          <c:showVal val="0"/>
          <c:showCatName val="0"/>
          <c:showSerName val="0"/>
          <c:showPercent val="0"/>
          <c:showBubbleSize val="0"/>
        </c:dLbls>
        <c:gapWidth val="150"/>
        <c:axId val="365511008"/>
        <c:axId val="365511568"/>
      </c:barChart>
      <c:lineChart>
        <c:grouping val="standard"/>
        <c:varyColors val="0"/>
        <c:ser>
          <c:idx val="2"/>
          <c:order val="2"/>
          <c:tx>
            <c:strRef>
              <c:f>'FIGURE 2'!$A$33</c:f>
              <c:strCache>
                <c:ptCount val="1"/>
                <c:pt idx="0">
                  <c:v>Total Agriculture, forestry and fishing</c:v>
                </c:pt>
              </c:strCache>
            </c:strRef>
          </c:tx>
          <c:spPr>
            <a:ln w="28575" cap="rnd">
              <a:solidFill>
                <a:schemeClr val="accent3"/>
              </a:solidFill>
              <a:round/>
            </a:ln>
            <a:effectLst/>
          </c:spPr>
          <c:marker>
            <c:symbol val="none"/>
          </c:marker>
          <c:cat>
            <c:numRef>
              <c:f>'FIGURE 2'!$B$30:$W$30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 2'!$B$33:$W$33</c:f>
              <c:numCache>
                <c:formatCode>General</c:formatCode>
                <c:ptCount val="22"/>
                <c:pt idx="0">
                  <c:v>1489.6</c:v>
                </c:pt>
                <c:pt idx="1">
                  <c:v>1501.9</c:v>
                </c:pt>
                <c:pt idx="2">
                  <c:v>1449.4</c:v>
                </c:pt>
                <c:pt idx="3">
                  <c:v>1404</c:v>
                </c:pt>
                <c:pt idx="4">
                  <c:v>1392.8</c:v>
                </c:pt>
                <c:pt idx="5">
                  <c:v>1331.4</c:v>
                </c:pt>
                <c:pt idx="6">
                  <c:v>1353.3</c:v>
                </c:pt>
                <c:pt idx="7">
                  <c:v>1309.0999999999999</c:v>
                </c:pt>
                <c:pt idx="8">
                  <c:v>1274.5</c:v>
                </c:pt>
                <c:pt idx="9">
                  <c:v>1256.5999999999999</c:v>
                </c:pt>
                <c:pt idx="10">
                  <c:v>1266.9000000000001</c:v>
                </c:pt>
                <c:pt idx="11">
                  <c:v>1240.5999999999999</c:v>
                </c:pt>
                <c:pt idx="12">
                  <c:v>1213.0999999999999</c:v>
                </c:pt>
                <c:pt idx="13">
                  <c:v>1199.7</c:v>
                </c:pt>
                <c:pt idx="14">
                  <c:v>1221.8</c:v>
                </c:pt>
                <c:pt idx="15">
                  <c:v>1244.0999999999999</c:v>
                </c:pt>
                <c:pt idx="16">
                  <c:v>1276.5999999999999</c:v>
                </c:pt>
                <c:pt idx="17">
                  <c:v>1250.9000000000001</c:v>
                </c:pt>
                <c:pt idx="18">
                  <c:v>1269.8</c:v>
                </c:pt>
                <c:pt idx="19">
                  <c:v>1248</c:v>
                </c:pt>
                <c:pt idx="20">
                  <c:v>1222.5</c:v>
                </c:pt>
                <c:pt idx="21">
                  <c:v>1258.8</c:v>
                </c:pt>
              </c:numCache>
            </c:numRef>
          </c:val>
          <c:smooth val="0"/>
          <c:extLst>
            <c:ext xmlns:c16="http://schemas.microsoft.com/office/drawing/2014/chart" uri="{C3380CC4-5D6E-409C-BE32-E72D297353CC}">
              <c16:uniqueId val="{00000002-106B-4B74-A69D-DE7C33E6F719}"/>
            </c:ext>
          </c:extLst>
        </c:ser>
        <c:dLbls>
          <c:showLegendKey val="0"/>
          <c:showVal val="0"/>
          <c:showCatName val="0"/>
          <c:showSerName val="0"/>
          <c:showPercent val="0"/>
          <c:showBubbleSize val="0"/>
        </c:dLbls>
        <c:marker val="1"/>
        <c:smooth val="0"/>
        <c:axId val="365512688"/>
        <c:axId val="365512128"/>
      </c:lineChart>
      <c:catAx>
        <c:axId val="365511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65511568"/>
        <c:crosses val="autoZero"/>
        <c:auto val="1"/>
        <c:lblAlgn val="ctr"/>
        <c:lblOffset val="100"/>
        <c:noMultiLvlLbl val="0"/>
      </c:catAx>
      <c:valAx>
        <c:axId val="365511568"/>
        <c:scaling>
          <c:orientation val="minMax"/>
          <c:max val="1100"/>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65511008"/>
        <c:crosses val="autoZero"/>
        <c:crossBetween val="between"/>
      </c:valAx>
      <c:valAx>
        <c:axId val="365512128"/>
        <c:scaling>
          <c:orientation val="minMax"/>
          <c:min val="8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65512688"/>
        <c:crosses val="max"/>
        <c:crossBetween val="between"/>
      </c:valAx>
      <c:catAx>
        <c:axId val="365512688"/>
        <c:scaling>
          <c:orientation val="minMax"/>
        </c:scaling>
        <c:delete val="1"/>
        <c:axPos val="b"/>
        <c:numFmt formatCode="General" sourceLinked="1"/>
        <c:majorTickMark val="out"/>
        <c:minorTickMark val="none"/>
        <c:tickLblPos val="nextTo"/>
        <c:crossAx val="365512128"/>
        <c:crosses val="autoZero"/>
        <c:auto val="1"/>
        <c:lblAlgn val="ctr"/>
        <c:lblOffset val="100"/>
        <c:noMultiLvlLbl val="0"/>
      </c:catAx>
      <c:spPr>
        <a:noFill/>
        <a:ln>
          <a:noFill/>
        </a:ln>
        <a:effectLst/>
      </c:spPr>
    </c:plotArea>
    <c:legend>
      <c:legendPos val="t"/>
      <c:layout>
        <c:manualLayout>
          <c:xMode val="edge"/>
          <c:yMode val="edge"/>
          <c:x val="1.0213844613542772E-2"/>
          <c:y val="3.5283740076448106E-2"/>
          <c:w val="0.9795723107729144"/>
          <c:h val="9.078941580405948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176797050959795E-2"/>
          <c:y val="0.12333380409189516"/>
          <c:w val="0.91800635997040503"/>
          <c:h val="0.76424164268499084"/>
        </c:manualLayout>
      </c:layout>
      <c:lineChart>
        <c:grouping val="standard"/>
        <c:varyColors val="0"/>
        <c:ser>
          <c:idx val="0"/>
          <c:order val="0"/>
          <c:tx>
            <c:strRef>
              <c:f>'FIGURA 3'!$A$31</c:f>
              <c:strCache>
                <c:ptCount val="1"/>
                <c:pt idx="0">
                  <c:v>Agriculture, forestry and fishing employees</c:v>
                </c:pt>
              </c:strCache>
            </c:strRef>
          </c:tx>
          <c:spPr>
            <a:ln w="28575" cap="rnd">
              <a:solidFill>
                <a:schemeClr val="accent1"/>
              </a:solidFill>
              <a:round/>
            </a:ln>
            <a:effectLst/>
          </c:spPr>
          <c:marker>
            <c:symbol val="none"/>
          </c:marker>
          <c:cat>
            <c:numRef>
              <c:f>'FIGURA 3'!$B$30:$W$30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 3'!$B$31:$W$31</c:f>
              <c:numCache>
                <c:formatCode>0.0</c:formatCode>
                <c:ptCount val="22"/>
                <c:pt idx="0" formatCode="General">
                  <c:v>100</c:v>
                </c:pt>
                <c:pt idx="1">
                  <c:v>103.51987845024058</c:v>
                </c:pt>
                <c:pt idx="2">
                  <c:v>102.10179792352494</c:v>
                </c:pt>
                <c:pt idx="3">
                  <c:v>90.073436312990623</c:v>
                </c:pt>
                <c:pt idx="4">
                  <c:v>94.783489491010386</c:v>
                </c:pt>
                <c:pt idx="5">
                  <c:v>101.11420612813372</c:v>
                </c:pt>
                <c:pt idx="6">
                  <c:v>104.78602177766525</c:v>
                </c:pt>
                <c:pt idx="7">
                  <c:v>103.08938971891619</c:v>
                </c:pt>
                <c:pt idx="8">
                  <c:v>100.98759179539125</c:v>
                </c:pt>
                <c:pt idx="9">
                  <c:v>98.278045074702476</c:v>
                </c:pt>
                <c:pt idx="10">
                  <c:v>99.974677133451522</c:v>
                </c:pt>
                <c:pt idx="11">
                  <c:v>101.01291466193973</c:v>
                </c:pt>
                <c:pt idx="12">
                  <c:v>100.91162319574576</c:v>
                </c:pt>
                <c:pt idx="13">
                  <c:v>99.341605469739179</c:v>
                </c:pt>
                <c:pt idx="14">
                  <c:v>101.4687262598126</c:v>
                </c:pt>
                <c:pt idx="15">
                  <c:v>103.44390985059508</c:v>
                </c:pt>
                <c:pt idx="16">
                  <c:v>108.6857432261332</c:v>
                </c:pt>
                <c:pt idx="17">
                  <c:v>110.25576095213978</c:v>
                </c:pt>
                <c:pt idx="18">
                  <c:v>112.93998480628007</c:v>
                </c:pt>
                <c:pt idx="19">
                  <c:v>109.90124082046088</c:v>
                </c:pt>
                <c:pt idx="20">
                  <c:v>106.17877943783239</c:v>
                </c:pt>
                <c:pt idx="21">
                  <c:v>111.97771587743732</c:v>
                </c:pt>
              </c:numCache>
            </c:numRef>
          </c:val>
          <c:smooth val="0"/>
          <c:extLst>
            <c:ext xmlns:c16="http://schemas.microsoft.com/office/drawing/2014/chart" uri="{C3380CC4-5D6E-409C-BE32-E72D297353CC}">
              <c16:uniqueId val="{00000000-CCCA-4DBC-A947-B70784EF4CA0}"/>
            </c:ext>
          </c:extLst>
        </c:ser>
        <c:ser>
          <c:idx val="1"/>
          <c:order val="1"/>
          <c:tx>
            <c:strRef>
              <c:f>'FIGURA 3'!$A$32</c:f>
              <c:strCache>
                <c:ptCount val="1"/>
                <c:pt idx="0">
                  <c:v>Agriculture, forestry and fishing self-employed</c:v>
                </c:pt>
              </c:strCache>
            </c:strRef>
          </c:tx>
          <c:spPr>
            <a:ln w="28575" cap="rnd">
              <a:solidFill>
                <a:schemeClr val="accent2"/>
              </a:solidFill>
              <a:round/>
            </a:ln>
            <a:effectLst/>
          </c:spPr>
          <c:marker>
            <c:symbol val="none"/>
          </c:marker>
          <c:cat>
            <c:numRef>
              <c:f>'FIGURA 3'!$B$30:$W$30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 3'!$B$32:$W$32</c:f>
              <c:numCache>
                <c:formatCode>0.0</c:formatCode>
                <c:ptCount val="22"/>
                <c:pt idx="0" formatCode="General">
                  <c:v>100</c:v>
                </c:pt>
                <c:pt idx="1">
                  <c:v>99.853841235041557</c:v>
                </c:pt>
                <c:pt idx="2">
                  <c:v>95.569562437197405</c:v>
                </c:pt>
                <c:pt idx="3">
                  <c:v>95.761395816205336</c:v>
                </c:pt>
                <c:pt idx="4">
                  <c:v>93.039188818854484</c:v>
                </c:pt>
                <c:pt idx="5">
                  <c:v>85.146615511098929</c:v>
                </c:pt>
                <c:pt idx="6">
                  <c:v>85.822599799031693</c:v>
                </c:pt>
                <c:pt idx="7">
                  <c:v>82.397003745318358</c:v>
                </c:pt>
                <c:pt idx="8">
                  <c:v>79.994519046314068</c:v>
                </c:pt>
                <c:pt idx="9">
                  <c:v>79.336804604001088</c:v>
                </c:pt>
                <c:pt idx="10">
                  <c:v>79.665661825157571</c:v>
                </c:pt>
                <c:pt idx="11">
                  <c:v>76.888645290947295</c:v>
                </c:pt>
                <c:pt idx="12">
                  <c:v>74.413081209463783</c:v>
                </c:pt>
                <c:pt idx="13">
                  <c:v>73.755366767150804</c:v>
                </c:pt>
                <c:pt idx="14">
                  <c:v>75.006851192107433</c:v>
                </c:pt>
                <c:pt idx="15">
                  <c:v>76.331414999543256</c:v>
                </c:pt>
                <c:pt idx="16">
                  <c:v>77.409335891111724</c:v>
                </c:pt>
                <c:pt idx="17">
                  <c:v>74.495295514752897</c:v>
                </c:pt>
                <c:pt idx="18">
                  <c:v>75.253494107974788</c:v>
                </c:pt>
                <c:pt idx="19">
                  <c:v>74.35827167260436</c:v>
                </c:pt>
                <c:pt idx="20">
                  <c:v>73.371700009134926</c:v>
                </c:pt>
                <c:pt idx="21">
                  <c:v>74.595779665661823</c:v>
                </c:pt>
              </c:numCache>
            </c:numRef>
          </c:val>
          <c:smooth val="0"/>
          <c:extLst>
            <c:ext xmlns:c16="http://schemas.microsoft.com/office/drawing/2014/chart" uri="{C3380CC4-5D6E-409C-BE32-E72D297353CC}">
              <c16:uniqueId val="{00000001-CCCA-4DBC-A947-B70784EF4CA0}"/>
            </c:ext>
          </c:extLst>
        </c:ser>
        <c:ser>
          <c:idx val="2"/>
          <c:order val="2"/>
          <c:tx>
            <c:strRef>
              <c:f>'FIGURA 3'!$A$33</c:f>
              <c:strCache>
                <c:ptCount val="1"/>
                <c:pt idx="0">
                  <c:v>Total Agriculture, forestry and fishing</c:v>
                </c:pt>
              </c:strCache>
            </c:strRef>
          </c:tx>
          <c:spPr>
            <a:ln w="28575" cap="rnd">
              <a:solidFill>
                <a:schemeClr val="accent3"/>
              </a:solidFill>
              <a:round/>
            </a:ln>
            <a:effectLst/>
          </c:spPr>
          <c:marker>
            <c:symbol val="none"/>
          </c:marker>
          <c:cat>
            <c:numRef>
              <c:f>'FIGURA 3'!$B$30:$W$30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 3'!$B$33:$W$33</c:f>
              <c:numCache>
                <c:formatCode>0.0</c:formatCode>
                <c:ptCount val="22"/>
                <c:pt idx="0" formatCode="General">
                  <c:v>100</c:v>
                </c:pt>
                <c:pt idx="1">
                  <c:v>100.82572502685285</c:v>
                </c:pt>
                <c:pt idx="2">
                  <c:v>97.301288936627301</c:v>
                </c:pt>
                <c:pt idx="3">
                  <c:v>94.253490870032238</c:v>
                </c:pt>
                <c:pt idx="4">
                  <c:v>93.501611170784102</c:v>
                </c:pt>
                <c:pt idx="5">
                  <c:v>89.379699248120318</c:v>
                </c:pt>
                <c:pt idx="6">
                  <c:v>90.849892588614395</c:v>
                </c:pt>
                <c:pt idx="7">
                  <c:v>87.882653061224488</c:v>
                </c:pt>
                <c:pt idx="8">
                  <c:v>85.559881847475836</c:v>
                </c:pt>
                <c:pt idx="9">
                  <c:v>84.358216970998924</c:v>
                </c:pt>
                <c:pt idx="10">
                  <c:v>85.049677765843185</c:v>
                </c:pt>
                <c:pt idx="11">
                  <c:v>83.28410311493019</c:v>
                </c:pt>
                <c:pt idx="12">
                  <c:v>81.437969924812023</c:v>
                </c:pt>
                <c:pt idx="13">
                  <c:v>80.538399570354471</c:v>
                </c:pt>
                <c:pt idx="14">
                  <c:v>82.022019334049418</c:v>
                </c:pt>
                <c:pt idx="15">
                  <c:v>83.519065520945219</c:v>
                </c:pt>
                <c:pt idx="16">
                  <c:v>85.700859291084853</c:v>
                </c:pt>
                <c:pt idx="17">
                  <c:v>83.975563909774436</c:v>
                </c:pt>
                <c:pt idx="18">
                  <c:v>85.24436090225565</c:v>
                </c:pt>
                <c:pt idx="19">
                  <c:v>83.780880773361972</c:v>
                </c:pt>
                <c:pt idx="20">
                  <c:v>82.069011815252424</c:v>
                </c:pt>
                <c:pt idx="21">
                  <c:v>84.505907626208369</c:v>
                </c:pt>
              </c:numCache>
            </c:numRef>
          </c:val>
          <c:smooth val="0"/>
          <c:extLst>
            <c:ext xmlns:c16="http://schemas.microsoft.com/office/drawing/2014/chart" uri="{C3380CC4-5D6E-409C-BE32-E72D297353CC}">
              <c16:uniqueId val="{00000000-DF80-4F7D-AFFA-03CD8EB9198C}"/>
            </c:ext>
          </c:extLst>
        </c:ser>
        <c:dLbls>
          <c:showLegendKey val="0"/>
          <c:showVal val="0"/>
          <c:showCatName val="0"/>
          <c:showSerName val="0"/>
          <c:showPercent val="0"/>
          <c:showBubbleSize val="0"/>
        </c:dLbls>
        <c:smooth val="0"/>
        <c:axId val="328112976"/>
        <c:axId val="328113536"/>
      </c:lineChart>
      <c:catAx>
        <c:axId val="328112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6350"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28113536"/>
        <c:crosses val="autoZero"/>
        <c:auto val="1"/>
        <c:lblAlgn val="ctr"/>
        <c:lblOffset val="100"/>
        <c:noMultiLvlLbl val="0"/>
      </c:catAx>
      <c:valAx>
        <c:axId val="328113536"/>
        <c:scaling>
          <c:orientation val="minMax"/>
          <c:max val="115"/>
          <c:min val="65"/>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6350">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28112976"/>
        <c:crosses val="autoZero"/>
        <c:crossBetween val="between"/>
      </c:valAx>
      <c:spPr>
        <a:noFill/>
        <a:ln>
          <a:noFill/>
        </a:ln>
        <a:effectLst/>
      </c:spPr>
    </c:plotArea>
    <c:legend>
      <c:legendPos val="t"/>
      <c:layout>
        <c:manualLayout>
          <c:xMode val="edge"/>
          <c:yMode val="edge"/>
          <c:x val="1.0213844613542772E-2"/>
          <c:y val="2.6654820079964461E-2"/>
          <c:w val="0.9897861553864572"/>
          <c:h val="6.85861401931599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600"/>
        </a:spcAft>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477050045160035E-2"/>
          <c:y val="0.14683546062181807"/>
          <c:w val="0.89861694326168162"/>
          <c:h val="0.73274835794011484"/>
        </c:manualLayout>
      </c:layout>
      <c:barChart>
        <c:barDir val="col"/>
        <c:grouping val="clustered"/>
        <c:varyColors val="0"/>
        <c:ser>
          <c:idx val="0"/>
          <c:order val="0"/>
          <c:tx>
            <c:strRef>
              <c:f>'FIGURA 4'!$A$26</c:f>
              <c:strCache>
                <c:ptCount val="1"/>
                <c:pt idx="0">
                  <c:v>Employees</c:v>
                </c:pt>
              </c:strCache>
            </c:strRef>
          </c:tx>
          <c:spPr>
            <a:solidFill>
              <a:schemeClr val="accent1"/>
            </a:solidFill>
            <a:ln>
              <a:noFill/>
            </a:ln>
            <a:effectLst/>
          </c:spPr>
          <c:invertIfNegative val="0"/>
          <c:cat>
            <c:numRef>
              <c:f>'FIGURA 4'!$B$25:$W$25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 4'!$B$26:$W$26</c:f>
              <c:numCache>
                <c:formatCode>0.0</c:formatCode>
                <c:ptCount val="22"/>
                <c:pt idx="0">
                  <c:v>2.4725137118385132</c:v>
                </c:pt>
                <c:pt idx="1">
                  <c:v>2.4972663241681379</c:v>
                </c:pt>
                <c:pt idx="2">
                  <c:v>2.4327259563171233</c:v>
                </c:pt>
                <c:pt idx="3">
                  <c:v>2.1493875725879059</c:v>
                </c:pt>
                <c:pt idx="4">
                  <c:v>2.2597062321526677</c:v>
                </c:pt>
                <c:pt idx="5">
                  <c:v>2.3782721343696953</c:v>
                </c:pt>
                <c:pt idx="6">
                  <c:v>2.4180023724237878</c:v>
                </c:pt>
                <c:pt idx="7">
                  <c:v>2.3482925703737889</c:v>
                </c:pt>
                <c:pt idx="8">
                  <c:v>2.3023543131617537</c:v>
                </c:pt>
                <c:pt idx="9">
                  <c:v>2.3061930285347567</c:v>
                </c:pt>
                <c:pt idx="10">
                  <c:v>2.3801341990559046</c:v>
                </c:pt>
                <c:pt idx="11">
                  <c:v>2.3998171109546931</c:v>
                </c:pt>
                <c:pt idx="12">
                  <c:v>2.4381141172007879</c:v>
                </c:pt>
                <c:pt idx="13">
                  <c:v>2.4532856392425648</c:v>
                </c:pt>
                <c:pt idx="14">
                  <c:v>2.4982542770212977</c:v>
                </c:pt>
                <c:pt idx="15">
                  <c:v>2.5195519699997533</c:v>
                </c:pt>
                <c:pt idx="16">
                  <c:v>2.5877713934292794</c:v>
                </c:pt>
                <c:pt idx="17">
                  <c:v>2.5763770954513983</c:v>
                </c:pt>
                <c:pt idx="18">
                  <c:v>2.6049575964301566</c:v>
                </c:pt>
                <c:pt idx="19">
                  <c:v>2.529609251142404</c:v>
                </c:pt>
                <c:pt idx="20">
                  <c:v>2.6934664328432034</c:v>
                </c:pt>
                <c:pt idx="21">
                  <c:v>2.6446893895444461</c:v>
                </c:pt>
              </c:numCache>
            </c:numRef>
          </c:val>
          <c:extLst>
            <c:ext xmlns:c16="http://schemas.microsoft.com/office/drawing/2014/chart" uri="{C3380CC4-5D6E-409C-BE32-E72D297353CC}">
              <c16:uniqueId val="{00000000-FECB-487D-A699-52A8960E20AE}"/>
            </c:ext>
          </c:extLst>
        </c:ser>
        <c:ser>
          <c:idx val="1"/>
          <c:order val="1"/>
          <c:tx>
            <c:strRef>
              <c:f>'FIGURA 4'!$A$27</c:f>
              <c:strCache>
                <c:ptCount val="1"/>
                <c:pt idx="0">
                  <c:v>Self-employed</c:v>
                </c:pt>
              </c:strCache>
            </c:strRef>
          </c:tx>
          <c:spPr>
            <a:solidFill>
              <a:schemeClr val="accent2"/>
            </a:solidFill>
            <a:ln>
              <a:noFill/>
            </a:ln>
            <a:effectLst/>
          </c:spPr>
          <c:invertIfNegative val="0"/>
          <c:cat>
            <c:numRef>
              <c:f>'FIGURA 4'!$B$25:$W$25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 4'!$B$27:$W$27</c:f>
              <c:numCache>
                <c:formatCode>0.0</c:formatCode>
                <c:ptCount val="22"/>
                <c:pt idx="0">
                  <c:v>14.502218983904088</c:v>
                </c:pt>
                <c:pt idx="1">
                  <c:v>14.457656037139419</c:v>
                </c:pt>
                <c:pt idx="2">
                  <c:v>13.767963362636207</c:v>
                </c:pt>
                <c:pt idx="3">
                  <c:v>13.50501784264973</c:v>
                </c:pt>
                <c:pt idx="4">
                  <c:v>12.963952955552163</c:v>
                </c:pt>
                <c:pt idx="5">
                  <c:v>12.192282537606278</c:v>
                </c:pt>
                <c:pt idx="6">
                  <c:v>12.130719966945563</c:v>
                </c:pt>
                <c:pt idx="7">
                  <c:v>11.608602205891817</c:v>
                </c:pt>
                <c:pt idx="8">
                  <c:v>11.394332110234991</c:v>
                </c:pt>
                <c:pt idx="9">
                  <c:v>11.590199375450396</c:v>
                </c:pt>
                <c:pt idx="10">
                  <c:v>11.579827915869982</c:v>
                </c:pt>
                <c:pt idx="11">
                  <c:v>11.197137193864656</c:v>
                </c:pt>
                <c:pt idx="12">
                  <c:v>10.897513076748137</c:v>
                </c:pt>
                <c:pt idx="13">
                  <c:v>11.13839532060479</c:v>
                </c:pt>
                <c:pt idx="14">
                  <c:v>11.333333333333334</c:v>
                </c:pt>
                <c:pt idx="15">
                  <c:v>11.562357303961589</c:v>
                </c:pt>
                <c:pt idx="16">
                  <c:v>11.814075395940218</c:v>
                </c:pt>
                <c:pt idx="17">
                  <c:v>11.575092614934778</c:v>
                </c:pt>
                <c:pt idx="18">
                  <c:v>11.762186241754476</c:v>
                </c:pt>
                <c:pt idx="19">
                  <c:v>11.661891117478509</c:v>
                </c:pt>
                <c:pt idx="20">
                  <c:v>13.197285618047683</c:v>
                </c:pt>
                <c:pt idx="21">
                  <c:v>12.428088759017442</c:v>
                </c:pt>
              </c:numCache>
            </c:numRef>
          </c:val>
          <c:extLst>
            <c:ext xmlns:c16="http://schemas.microsoft.com/office/drawing/2014/chart" uri="{C3380CC4-5D6E-409C-BE32-E72D297353CC}">
              <c16:uniqueId val="{00000001-FECB-487D-A699-52A8960E20AE}"/>
            </c:ext>
          </c:extLst>
        </c:ser>
        <c:dLbls>
          <c:showLegendKey val="0"/>
          <c:showVal val="0"/>
          <c:showCatName val="0"/>
          <c:showSerName val="0"/>
          <c:showPercent val="0"/>
          <c:showBubbleSize val="0"/>
        </c:dLbls>
        <c:gapWidth val="150"/>
        <c:axId val="329576896"/>
        <c:axId val="329577456"/>
      </c:barChart>
      <c:lineChart>
        <c:grouping val="standard"/>
        <c:varyColors val="0"/>
        <c:ser>
          <c:idx val="2"/>
          <c:order val="2"/>
          <c:tx>
            <c:strRef>
              <c:f>'FIGURA 4'!$A$28</c:f>
              <c:strCache>
                <c:ptCount val="1"/>
                <c:pt idx="0">
                  <c:v>Total</c:v>
                </c:pt>
              </c:strCache>
            </c:strRef>
          </c:tx>
          <c:spPr>
            <a:ln w="28575" cap="rnd">
              <a:solidFill>
                <a:schemeClr val="accent3"/>
              </a:solidFill>
              <a:round/>
            </a:ln>
            <a:effectLst/>
          </c:spPr>
          <c:marker>
            <c:symbol val="none"/>
          </c:marker>
          <c:cat>
            <c:numRef>
              <c:f>'FIGURA 4'!$B$25:$W$25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'FIGURA 4'!$B$28:$W$28</c:f>
              <c:numCache>
                <c:formatCode>0.0</c:formatCode>
                <c:ptCount val="22"/>
                <c:pt idx="0">
                  <c:v>6.3333064060101778</c:v>
                </c:pt>
                <c:pt idx="1">
                  <c:v>6.2760649544934113</c:v>
                </c:pt>
                <c:pt idx="2">
                  <c:v>5.9959954990733397</c:v>
                </c:pt>
                <c:pt idx="3">
                  <c:v>5.7751159959195757</c:v>
                </c:pt>
                <c:pt idx="4">
                  <c:v>5.7034049261890623</c:v>
                </c:pt>
                <c:pt idx="5">
                  <c:v>5.4488530561296526</c:v>
                </c:pt>
                <c:pt idx="6">
                  <c:v>5.4441007156620982</c:v>
                </c:pt>
                <c:pt idx="7">
                  <c:v>5.2142706354232633</c:v>
                </c:pt>
                <c:pt idx="8">
                  <c:v>5.0966137210678699</c:v>
                </c:pt>
                <c:pt idx="9">
                  <c:v>5.1665159115204338</c:v>
                </c:pt>
                <c:pt idx="10">
                  <c:v>5.2528142297406557</c:v>
                </c:pt>
                <c:pt idx="11">
                  <c:v>5.1393583880161717</c:v>
                </c:pt>
                <c:pt idx="12">
                  <c:v>5.0928433187655591</c:v>
                </c:pt>
                <c:pt idx="13">
                  <c:v>5.1623091619477108</c:v>
                </c:pt>
                <c:pt idx="14">
                  <c:v>5.2473351027735546</c:v>
                </c:pt>
                <c:pt idx="15">
                  <c:v>5.3075712134333894</c:v>
                </c:pt>
                <c:pt idx="16">
                  <c:v>5.373234842266978</c:v>
                </c:pt>
                <c:pt idx="17">
                  <c:v>5.2240551263311756</c:v>
                </c:pt>
                <c:pt idx="18">
                  <c:v>5.2634196891191705</c:v>
                </c:pt>
                <c:pt idx="19">
                  <c:v>5.1705279904544099</c:v>
                </c:pt>
                <c:pt idx="20">
                  <c:v>5.6457646374241461</c:v>
                </c:pt>
                <c:pt idx="21">
                  <c:v>5.4046859503067717</c:v>
                </c:pt>
              </c:numCache>
            </c:numRef>
          </c:val>
          <c:smooth val="0"/>
          <c:extLst>
            <c:ext xmlns:c16="http://schemas.microsoft.com/office/drawing/2014/chart" uri="{C3380CC4-5D6E-409C-BE32-E72D297353CC}">
              <c16:uniqueId val="{00000000-0313-466C-8D42-3340EF4422FA}"/>
            </c:ext>
          </c:extLst>
        </c:ser>
        <c:dLbls>
          <c:showLegendKey val="0"/>
          <c:showVal val="0"/>
          <c:showCatName val="0"/>
          <c:showSerName val="0"/>
          <c:showPercent val="0"/>
          <c:showBubbleSize val="0"/>
        </c:dLbls>
        <c:marker val="1"/>
        <c:smooth val="0"/>
        <c:axId val="329578576"/>
        <c:axId val="329578016"/>
      </c:lineChart>
      <c:catAx>
        <c:axId val="329576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29577456"/>
        <c:crosses val="autoZero"/>
        <c:auto val="1"/>
        <c:lblAlgn val="ctr"/>
        <c:lblOffset val="100"/>
        <c:noMultiLvlLbl val="0"/>
      </c:catAx>
      <c:valAx>
        <c:axId val="329577456"/>
        <c:scaling>
          <c:orientation val="minMax"/>
          <c:max val="15"/>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29576896"/>
        <c:crosses val="autoZero"/>
        <c:crossBetween val="between"/>
        <c:majorUnit val="1"/>
      </c:valAx>
      <c:valAx>
        <c:axId val="329578016"/>
        <c:scaling>
          <c:orientation val="minMax"/>
          <c:max val="7"/>
          <c:min val="4"/>
        </c:scaling>
        <c:delete val="0"/>
        <c:axPos val="r"/>
        <c:numFmt formatCode="0.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29578576"/>
        <c:crosses val="max"/>
        <c:crossBetween val="between"/>
      </c:valAx>
      <c:catAx>
        <c:axId val="329578576"/>
        <c:scaling>
          <c:orientation val="minMax"/>
        </c:scaling>
        <c:delete val="1"/>
        <c:axPos val="b"/>
        <c:numFmt formatCode="General" sourceLinked="1"/>
        <c:majorTickMark val="out"/>
        <c:minorTickMark val="none"/>
        <c:tickLblPos val="nextTo"/>
        <c:crossAx val="32957801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477050045160035E-2"/>
          <c:y val="0.15271608396789271"/>
          <c:w val="0.92270610697620481"/>
          <c:h val="0.72686773459404008"/>
        </c:manualLayout>
      </c:layout>
      <c:lineChart>
        <c:grouping val="standard"/>
        <c:varyColors val="0"/>
        <c:ser>
          <c:idx val="0"/>
          <c:order val="0"/>
          <c:tx>
            <c:strRef>
              <c:f>'FIGURA 5'!$A$25</c:f>
              <c:strCache>
                <c:ptCount val="1"/>
                <c:pt idx="0">
                  <c:v>Agriculture, forestry and fishing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'FIGURA 5'!$B$24:$U$24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'FIGURA 5'!$B$25:$U$25</c:f>
              <c:numCache>
                <c:formatCode>0.0</c:formatCode>
                <c:ptCount val="20"/>
                <c:pt idx="0">
                  <c:v>13.903</c:v>
                </c:pt>
                <c:pt idx="1">
                  <c:v>14.182</c:v>
                </c:pt>
                <c:pt idx="2">
                  <c:v>14.44</c:v>
                </c:pt>
                <c:pt idx="3">
                  <c:v>12.308</c:v>
                </c:pt>
                <c:pt idx="4">
                  <c:v>13.497999999999999</c:v>
                </c:pt>
                <c:pt idx="5">
                  <c:v>15.186999999999999</c:v>
                </c:pt>
                <c:pt idx="6">
                  <c:v>15.355</c:v>
                </c:pt>
                <c:pt idx="7">
                  <c:v>16.21</c:v>
                </c:pt>
                <c:pt idx="8">
                  <c:v>16.672999999999998</c:v>
                </c:pt>
                <c:pt idx="9">
                  <c:v>16.687999999999999</c:v>
                </c:pt>
                <c:pt idx="10">
                  <c:v>16.606999999999999</c:v>
                </c:pt>
                <c:pt idx="11">
                  <c:v>16.75</c:v>
                </c:pt>
                <c:pt idx="12">
                  <c:v>17.722999999999999</c:v>
                </c:pt>
                <c:pt idx="13">
                  <c:v>17.478999999999999</c:v>
                </c:pt>
                <c:pt idx="14">
                  <c:v>17.376000000000001</c:v>
                </c:pt>
                <c:pt idx="15">
                  <c:v>17.683</c:v>
                </c:pt>
                <c:pt idx="16">
                  <c:v>18.283000000000001</c:v>
                </c:pt>
                <c:pt idx="17">
                  <c:v>18.370999999999999</c:v>
                </c:pt>
                <c:pt idx="18">
                  <c:v>18.79</c:v>
                </c:pt>
                <c:pt idx="19">
                  <c:v>18.782</c:v>
                </c:pt>
              </c:numCache>
            </c:numRef>
          </c:val>
          <c:smooth val="0"/>
          <c:extLst>
            <c:ext xmlns:c16="http://schemas.microsoft.com/office/drawing/2014/chart" uri="{C3380CC4-5D6E-409C-BE32-E72D297353CC}">
              <c16:uniqueId val="{00000000-BF0D-4921-866F-3EB56E1D44D5}"/>
            </c:ext>
          </c:extLst>
        </c:ser>
        <c:ser>
          <c:idx val="1"/>
          <c:order val="1"/>
          <c:tx>
            <c:strRef>
              <c:f>'FIGURA 5'!$A$26</c:f>
              <c:strCache>
                <c:ptCount val="1"/>
                <c:pt idx="0">
                  <c:v>Total economy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'FIGURA 5'!$B$24:$U$24</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'FIGURA 5'!$B$26:$U$26</c:f>
              <c:numCache>
                <c:formatCode>0.0</c:formatCode>
                <c:ptCount val="20"/>
                <c:pt idx="0">
                  <c:v>16.271999999999998</c:v>
                </c:pt>
                <c:pt idx="1">
                  <c:v>16.852</c:v>
                </c:pt>
                <c:pt idx="2">
                  <c:v>15.372999999999999</c:v>
                </c:pt>
                <c:pt idx="3">
                  <c:v>14.117000000000001</c:v>
                </c:pt>
                <c:pt idx="4">
                  <c:v>14.308999999999999</c:v>
                </c:pt>
                <c:pt idx="5">
                  <c:v>14.516</c:v>
                </c:pt>
                <c:pt idx="6">
                  <c:v>14.587999999999999</c:v>
                </c:pt>
                <c:pt idx="7">
                  <c:v>14.5</c:v>
                </c:pt>
                <c:pt idx="8">
                  <c:v>14.406000000000001</c:v>
                </c:pt>
                <c:pt idx="9">
                  <c:v>14.557</c:v>
                </c:pt>
                <c:pt idx="10">
                  <c:v>14.465999999999999</c:v>
                </c:pt>
                <c:pt idx="11">
                  <c:v>14.462</c:v>
                </c:pt>
                <c:pt idx="12">
                  <c:v>14.781000000000001</c:v>
                </c:pt>
                <c:pt idx="13">
                  <c:v>14.933</c:v>
                </c:pt>
                <c:pt idx="14">
                  <c:v>15.638</c:v>
                </c:pt>
                <c:pt idx="15">
                  <c:v>15.782999999999999</c:v>
                </c:pt>
                <c:pt idx="16">
                  <c:v>15.465999999999999</c:v>
                </c:pt>
                <c:pt idx="17">
                  <c:v>15.451000000000001</c:v>
                </c:pt>
                <c:pt idx="18">
                  <c:v>15.103</c:v>
                </c:pt>
                <c:pt idx="19">
                  <c:v>14.856999999999999</c:v>
                </c:pt>
              </c:numCache>
            </c:numRef>
          </c:val>
          <c:smooth val="0"/>
          <c:extLst>
            <c:ext xmlns:c16="http://schemas.microsoft.com/office/drawing/2014/chart" uri="{C3380CC4-5D6E-409C-BE32-E72D297353CC}">
              <c16:uniqueId val="{00000001-BF0D-4921-866F-3EB56E1D44D5}"/>
            </c:ext>
          </c:extLst>
        </c:ser>
        <c:dLbls>
          <c:showLegendKey val="0"/>
          <c:showVal val="0"/>
          <c:showCatName val="0"/>
          <c:showSerName val="0"/>
          <c:showPercent val="0"/>
          <c:showBubbleSize val="0"/>
        </c:dLbls>
        <c:marker val="1"/>
        <c:smooth val="0"/>
        <c:axId val="365514368"/>
        <c:axId val="328115216"/>
      </c:lineChart>
      <c:catAx>
        <c:axId val="365514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28115216"/>
        <c:crosses val="autoZero"/>
        <c:auto val="1"/>
        <c:lblAlgn val="ctr"/>
        <c:lblOffset val="100"/>
        <c:noMultiLvlLbl val="0"/>
      </c:catAx>
      <c:valAx>
        <c:axId val="328115216"/>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65514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48093397161698E-2"/>
          <c:y val="0.14095483727574337"/>
          <c:w val="0.91513506362420316"/>
          <c:h val="0.73862898128618959"/>
        </c:manualLayout>
      </c:layout>
      <c:lineChart>
        <c:grouping val="standard"/>
        <c:varyColors val="0"/>
        <c:ser>
          <c:idx val="0"/>
          <c:order val="0"/>
          <c:tx>
            <c:strRef>
              <c:f>'FIGURE 6'!$A$33</c:f>
              <c:strCache>
                <c:ptCount val="1"/>
                <c:pt idx="0">
                  <c:v>Income from employment</c:v>
                </c:pt>
              </c:strCache>
            </c:strRef>
          </c:tx>
          <c:spPr>
            <a:ln w="28575" cap="rnd">
              <a:solidFill>
                <a:schemeClr val="accent1"/>
              </a:solidFill>
              <a:round/>
            </a:ln>
            <a:effectLst/>
          </c:spPr>
          <c:marker>
            <c:symbol val="none"/>
          </c:marker>
          <c:cat>
            <c:numRef>
              <c:f>'FIGURE 6'!$B$32:$W$32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 6'!$B$33:$W$33</c:f>
              <c:numCache>
                <c:formatCode>0.0</c:formatCode>
                <c:ptCount val="22"/>
                <c:pt idx="0">
                  <c:v>100</c:v>
                </c:pt>
                <c:pt idx="1">
                  <c:v>104.88266464799393</c:v>
                </c:pt>
                <c:pt idx="2">
                  <c:v>105.16242635684428</c:v>
                </c:pt>
                <c:pt idx="3">
                  <c:v>98.433334430438052</c:v>
                </c:pt>
                <c:pt idx="4">
                  <c:v>103.70108284237895</c:v>
                </c:pt>
                <c:pt idx="5">
                  <c:v>114.9030707961689</c:v>
                </c:pt>
                <c:pt idx="6">
                  <c:v>120.63489451337918</c:v>
                </c:pt>
                <c:pt idx="7">
                  <c:v>121.06605667643089</c:v>
                </c:pt>
                <c:pt idx="8">
                  <c:v>118.16311753283087</c:v>
                </c:pt>
                <c:pt idx="9">
                  <c:v>118.57782312477372</c:v>
                </c:pt>
                <c:pt idx="10">
                  <c:v>123.83240627982752</c:v>
                </c:pt>
                <c:pt idx="11">
                  <c:v>127.33765592601125</c:v>
                </c:pt>
                <c:pt idx="12">
                  <c:v>128.61962281539016</c:v>
                </c:pt>
                <c:pt idx="13">
                  <c:v>126.93446993384458</c:v>
                </c:pt>
                <c:pt idx="14">
                  <c:v>134.53246881479774</c:v>
                </c:pt>
                <c:pt idx="15">
                  <c:v>141.70917947536449</c:v>
                </c:pt>
                <c:pt idx="16">
                  <c:v>145.20126386466114</c:v>
                </c:pt>
                <c:pt idx="17">
                  <c:v>151.41691077247143</c:v>
                </c:pt>
                <c:pt idx="18">
                  <c:v>154.18819734720074</c:v>
                </c:pt>
                <c:pt idx="19">
                  <c:v>157.11417569035316</c:v>
                </c:pt>
                <c:pt idx="20">
                  <c:v>155.78613040186946</c:v>
                </c:pt>
                <c:pt idx="21">
                  <c:v>160.32978968502124</c:v>
                </c:pt>
              </c:numCache>
            </c:numRef>
          </c:val>
          <c:smooth val="0"/>
          <c:extLst>
            <c:ext xmlns:c16="http://schemas.microsoft.com/office/drawing/2014/chart" uri="{C3380CC4-5D6E-409C-BE32-E72D297353CC}">
              <c16:uniqueId val="{00000000-99FF-498D-BC69-6CD999CE94C9}"/>
            </c:ext>
          </c:extLst>
        </c:ser>
        <c:ser>
          <c:idx val="1"/>
          <c:order val="1"/>
          <c:tx>
            <c:strRef>
              <c:f>'FIGURE 6'!$A$34</c:f>
              <c:strCache>
                <c:ptCount val="1"/>
                <c:pt idx="0">
                  <c:v>Agriculture, forestry and fishing employees</c:v>
                </c:pt>
              </c:strCache>
            </c:strRef>
          </c:tx>
          <c:spPr>
            <a:ln w="28575" cap="rnd">
              <a:solidFill>
                <a:schemeClr val="accent2"/>
              </a:solidFill>
              <a:round/>
            </a:ln>
            <a:effectLst/>
          </c:spPr>
          <c:marker>
            <c:symbol val="none"/>
          </c:marker>
          <c:cat>
            <c:numRef>
              <c:f>'FIGURE 6'!$B$32:$W$32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 6'!$B$34:$W$34</c:f>
              <c:numCache>
                <c:formatCode>0.0</c:formatCode>
                <c:ptCount val="22"/>
                <c:pt idx="0">
                  <c:v>100</c:v>
                </c:pt>
                <c:pt idx="1">
                  <c:v>103.51987845024058</c:v>
                </c:pt>
                <c:pt idx="2">
                  <c:v>102.10179792352494</c:v>
                </c:pt>
                <c:pt idx="3">
                  <c:v>90.073436312990623</c:v>
                </c:pt>
                <c:pt idx="4">
                  <c:v>94.783489491010386</c:v>
                </c:pt>
                <c:pt idx="5">
                  <c:v>101.11420612813372</c:v>
                </c:pt>
                <c:pt idx="6">
                  <c:v>104.78602177766525</c:v>
                </c:pt>
                <c:pt idx="7">
                  <c:v>103.08938971891619</c:v>
                </c:pt>
                <c:pt idx="8">
                  <c:v>100.98759179539125</c:v>
                </c:pt>
                <c:pt idx="9">
                  <c:v>98.278045074702476</c:v>
                </c:pt>
                <c:pt idx="10">
                  <c:v>99.974677133451522</c:v>
                </c:pt>
                <c:pt idx="11">
                  <c:v>101.01291466193973</c:v>
                </c:pt>
                <c:pt idx="12">
                  <c:v>100.91162319574576</c:v>
                </c:pt>
                <c:pt idx="13">
                  <c:v>99.341605469739179</c:v>
                </c:pt>
                <c:pt idx="14">
                  <c:v>101.4687262598126</c:v>
                </c:pt>
                <c:pt idx="15">
                  <c:v>103.44390985059508</c:v>
                </c:pt>
                <c:pt idx="16">
                  <c:v>108.6857432261332</c:v>
                </c:pt>
                <c:pt idx="17">
                  <c:v>110.25576095213978</c:v>
                </c:pt>
                <c:pt idx="18">
                  <c:v>112.93998480628007</c:v>
                </c:pt>
                <c:pt idx="19">
                  <c:v>109.90124082046088</c:v>
                </c:pt>
                <c:pt idx="20">
                  <c:v>106.17877943783239</c:v>
                </c:pt>
                <c:pt idx="21">
                  <c:v>111.97771587743732</c:v>
                </c:pt>
              </c:numCache>
            </c:numRef>
          </c:val>
          <c:smooth val="0"/>
          <c:extLst>
            <c:ext xmlns:c16="http://schemas.microsoft.com/office/drawing/2014/chart" uri="{C3380CC4-5D6E-409C-BE32-E72D297353CC}">
              <c16:uniqueId val="{00000001-99FF-498D-BC69-6CD999CE94C9}"/>
            </c:ext>
          </c:extLst>
        </c:ser>
        <c:ser>
          <c:idx val="2"/>
          <c:order val="2"/>
          <c:tx>
            <c:strRef>
              <c:f>'FIGURE 6'!$A$35</c:f>
              <c:strCache>
                <c:ptCount val="1"/>
                <c:pt idx="0">
                  <c:v>Compensation of employees per capita</c:v>
                </c:pt>
              </c:strCache>
            </c:strRef>
          </c:tx>
          <c:spPr>
            <a:ln w="28575" cap="rnd">
              <a:solidFill>
                <a:schemeClr val="accent3"/>
              </a:solidFill>
              <a:round/>
            </a:ln>
            <a:effectLst/>
          </c:spPr>
          <c:marker>
            <c:symbol val="none"/>
          </c:marker>
          <c:cat>
            <c:numRef>
              <c:f>'FIGURE 6'!$B$32:$W$32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 6'!$B$35:$W$35</c:f>
              <c:numCache>
                <c:formatCode>0.0</c:formatCode>
                <c:ptCount val="22"/>
                <c:pt idx="0">
                  <c:v>100</c:v>
                </c:pt>
                <c:pt idx="1">
                  <c:v>101.31644880012915</c:v>
                </c:pt>
                <c:pt idx="2">
                  <c:v>102.99762442539138</c:v>
                </c:pt>
                <c:pt idx="3">
                  <c:v>109.28120260494796</c:v>
                </c:pt>
                <c:pt idx="4">
                  <c:v>109.40838261943749</c:v>
                </c:pt>
                <c:pt idx="5">
                  <c:v>113.63692125571522</c:v>
                </c:pt>
                <c:pt idx="6">
                  <c:v>115.1249875382635</c:v>
                </c:pt>
                <c:pt idx="7">
                  <c:v>117.43794100103796</c:v>
                </c:pt>
                <c:pt idx="8">
                  <c:v>117.00756046568431</c:v>
                </c:pt>
                <c:pt idx="9">
                  <c:v>120.65545568660947</c:v>
                </c:pt>
                <c:pt idx="10">
                  <c:v>123.86377213754784</c:v>
                </c:pt>
                <c:pt idx="11">
                  <c:v>126.06076792474768</c:v>
                </c:pt>
                <c:pt idx="12">
                  <c:v>127.45768895808678</c:v>
                </c:pt>
                <c:pt idx="13">
                  <c:v>127.77573840651344</c:v>
                </c:pt>
                <c:pt idx="14">
                  <c:v>132.58515581473327</c:v>
                </c:pt>
                <c:pt idx="15">
                  <c:v>136.99132184778813</c:v>
                </c:pt>
                <c:pt idx="16">
                  <c:v>133.59734179905564</c:v>
                </c:pt>
                <c:pt idx="17">
                  <c:v>137.33242550309822</c:v>
                </c:pt>
                <c:pt idx="18">
                  <c:v>136.52224020719635</c:v>
                </c:pt>
                <c:pt idx="19">
                  <c:v>142.95941930903334</c:v>
                </c:pt>
                <c:pt idx="20">
                  <c:v>146.72058882828105</c:v>
                </c:pt>
                <c:pt idx="21">
                  <c:v>143.18008581324037</c:v>
                </c:pt>
              </c:numCache>
            </c:numRef>
          </c:val>
          <c:smooth val="0"/>
          <c:extLst>
            <c:ext xmlns:c16="http://schemas.microsoft.com/office/drawing/2014/chart" uri="{C3380CC4-5D6E-409C-BE32-E72D297353CC}">
              <c16:uniqueId val="{00000002-99FF-498D-BC69-6CD999CE94C9}"/>
            </c:ext>
          </c:extLst>
        </c:ser>
        <c:dLbls>
          <c:showLegendKey val="0"/>
          <c:showVal val="0"/>
          <c:showCatName val="0"/>
          <c:showSerName val="0"/>
          <c:showPercent val="0"/>
          <c:showBubbleSize val="0"/>
        </c:dLbls>
        <c:smooth val="0"/>
        <c:axId val="323820944"/>
        <c:axId val="323821504"/>
      </c:lineChart>
      <c:catAx>
        <c:axId val="323820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23821504"/>
        <c:crosses val="autoZero"/>
        <c:auto val="1"/>
        <c:lblAlgn val="ctr"/>
        <c:lblOffset val="100"/>
        <c:noMultiLvlLbl val="0"/>
      </c:catAx>
      <c:valAx>
        <c:axId val="32382150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23820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48093397161698E-2"/>
          <c:y val="0.16447733066004208"/>
          <c:w val="0.87590381320567656"/>
          <c:h val="0.7151064879018908"/>
        </c:manualLayout>
      </c:layout>
      <c:lineChart>
        <c:grouping val="standard"/>
        <c:varyColors val="0"/>
        <c:ser>
          <c:idx val="0"/>
          <c:order val="0"/>
          <c:tx>
            <c:strRef>
              <c:f>'FIGURE 7'!$A$26</c:f>
              <c:strCache>
                <c:ptCount val="1"/>
                <c:pt idx="0">
                  <c:v>Agriculture, forestry and fishing</c:v>
                </c:pt>
              </c:strCache>
            </c:strRef>
          </c:tx>
          <c:spPr>
            <a:ln w="28575" cap="rnd">
              <a:solidFill>
                <a:schemeClr val="accent1"/>
              </a:solidFill>
              <a:round/>
            </a:ln>
            <a:effectLst/>
          </c:spPr>
          <c:marker>
            <c:symbol val="none"/>
          </c:marker>
          <c:cat>
            <c:numRef>
              <c:f>'FIGURE 7'!$B$25:$U$25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'FIGURE 7'!$B$26:$U$26</c:f>
              <c:numCache>
                <c:formatCode>#,##0.0</c:formatCode>
                <c:ptCount val="20"/>
                <c:pt idx="0">
                  <c:v>207.1</c:v>
                </c:pt>
                <c:pt idx="1">
                  <c:v>213</c:v>
                </c:pt>
                <c:pt idx="2">
                  <c:v>209.3</c:v>
                </c:pt>
                <c:pt idx="3">
                  <c:v>172.8</c:v>
                </c:pt>
                <c:pt idx="4">
                  <c:v>188</c:v>
                </c:pt>
                <c:pt idx="5">
                  <c:v>202.2</c:v>
                </c:pt>
                <c:pt idx="6">
                  <c:v>207.8</c:v>
                </c:pt>
                <c:pt idx="7">
                  <c:v>212.2</c:v>
                </c:pt>
                <c:pt idx="8">
                  <c:v>212.5</c:v>
                </c:pt>
                <c:pt idx="9">
                  <c:v>209.7</c:v>
                </c:pt>
                <c:pt idx="10">
                  <c:v>210.4</c:v>
                </c:pt>
                <c:pt idx="11">
                  <c:v>207.8</c:v>
                </c:pt>
                <c:pt idx="12">
                  <c:v>215</c:v>
                </c:pt>
                <c:pt idx="13">
                  <c:v>209.7</c:v>
                </c:pt>
                <c:pt idx="14">
                  <c:v>212.3</c:v>
                </c:pt>
                <c:pt idx="15">
                  <c:v>220</c:v>
                </c:pt>
                <c:pt idx="16">
                  <c:v>233.4</c:v>
                </c:pt>
                <c:pt idx="17">
                  <c:v>229.8</c:v>
                </c:pt>
                <c:pt idx="18">
                  <c:v>238.6</c:v>
                </c:pt>
                <c:pt idx="19">
                  <c:v>234.4</c:v>
                </c:pt>
              </c:numCache>
            </c:numRef>
          </c:val>
          <c:smooth val="0"/>
          <c:extLst>
            <c:ext xmlns:c16="http://schemas.microsoft.com/office/drawing/2014/chart" uri="{C3380CC4-5D6E-409C-BE32-E72D297353CC}">
              <c16:uniqueId val="{00000000-CCCA-4DBC-A947-B70784EF4CA0}"/>
            </c:ext>
          </c:extLst>
        </c:ser>
        <c:dLbls>
          <c:showLegendKey val="0"/>
          <c:showVal val="0"/>
          <c:showCatName val="0"/>
          <c:showSerName val="0"/>
          <c:showPercent val="0"/>
          <c:showBubbleSize val="0"/>
        </c:dLbls>
        <c:marker val="1"/>
        <c:smooth val="0"/>
        <c:axId val="328748736"/>
        <c:axId val="328748176"/>
      </c:lineChart>
      <c:lineChart>
        <c:grouping val="standard"/>
        <c:varyColors val="0"/>
        <c:ser>
          <c:idx val="1"/>
          <c:order val="1"/>
          <c:tx>
            <c:strRef>
              <c:f>'FIGURE 7'!$A$27</c:f>
              <c:strCache>
                <c:ptCount val="1"/>
                <c:pt idx="0">
                  <c:v>Total economy</c:v>
                </c:pt>
              </c:strCache>
            </c:strRef>
          </c:tx>
          <c:spPr>
            <a:ln w="28575" cap="rnd">
              <a:solidFill>
                <a:schemeClr val="accent2"/>
              </a:solidFill>
              <a:round/>
            </a:ln>
            <a:effectLst/>
          </c:spPr>
          <c:marker>
            <c:symbol val="none"/>
          </c:marker>
          <c:cat>
            <c:numRef>
              <c:f>'FIGURE 7'!$B$25:$U$25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'FIGURE 7'!$B$27:$U$27</c:f>
              <c:numCache>
                <c:formatCode>#,##0.0</c:formatCode>
                <c:ptCount val="20"/>
                <c:pt idx="0">
                  <c:v>3827.2</c:v>
                </c:pt>
                <c:pt idx="1">
                  <c:v>4032.8</c:v>
                </c:pt>
                <c:pt idx="2">
                  <c:v>3716.1</c:v>
                </c:pt>
                <c:pt idx="3">
                  <c:v>3432.1</c:v>
                </c:pt>
                <c:pt idx="4">
                  <c:v>3494.3</c:v>
                </c:pt>
                <c:pt idx="5">
                  <c:v>3546.9</c:v>
                </c:pt>
                <c:pt idx="6">
                  <c:v>3626.2</c:v>
                </c:pt>
                <c:pt idx="7">
                  <c:v>3640.4</c:v>
                </c:pt>
                <c:pt idx="8">
                  <c:v>3602.5</c:v>
                </c:pt>
                <c:pt idx="9">
                  <c:v>3540.5</c:v>
                </c:pt>
                <c:pt idx="10">
                  <c:v>3489.1</c:v>
                </c:pt>
                <c:pt idx="11">
                  <c:v>3491.1</c:v>
                </c:pt>
                <c:pt idx="12">
                  <c:v>3520.8</c:v>
                </c:pt>
                <c:pt idx="13">
                  <c:v>3470.4</c:v>
                </c:pt>
                <c:pt idx="14">
                  <c:v>3641.1</c:v>
                </c:pt>
                <c:pt idx="15">
                  <c:v>3699.5</c:v>
                </c:pt>
                <c:pt idx="16">
                  <c:v>3674.6</c:v>
                </c:pt>
                <c:pt idx="17">
                  <c:v>3699.7</c:v>
                </c:pt>
                <c:pt idx="18">
                  <c:v>3643.5</c:v>
                </c:pt>
                <c:pt idx="19">
                  <c:v>3586</c:v>
                </c:pt>
              </c:numCache>
            </c:numRef>
          </c:val>
          <c:smooth val="0"/>
          <c:extLst>
            <c:ext xmlns:c16="http://schemas.microsoft.com/office/drawing/2014/chart" uri="{C3380CC4-5D6E-409C-BE32-E72D297353CC}">
              <c16:uniqueId val="{00000001-CCCA-4DBC-A947-B70784EF4CA0}"/>
            </c:ext>
          </c:extLst>
        </c:ser>
        <c:dLbls>
          <c:showLegendKey val="0"/>
          <c:showVal val="0"/>
          <c:showCatName val="0"/>
          <c:showSerName val="0"/>
          <c:showPercent val="0"/>
          <c:showBubbleSize val="0"/>
        </c:dLbls>
        <c:marker val="1"/>
        <c:smooth val="0"/>
        <c:axId val="328747056"/>
        <c:axId val="328747616"/>
      </c:lineChart>
      <c:catAx>
        <c:axId val="32874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28748176"/>
        <c:crosses val="autoZero"/>
        <c:auto val="1"/>
        <c:lblAlgn val="ctr"/>
        <c:lblOffset val="100"/>
        <c:noMultiLvlLbl val="0"/>
      </c:catAx>
      <c:valAx>
        <c:axId val="328748176"/>
        <c:scaling>
          <c:orientation val="minMax"/>
          <c:min val="16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28748736"/>
        <c:crosses val="autoZero"/>
        <c:crossBetween val="between"/>
      </c:valAx>
      <c:valAx>
        <c:axId val="328747616"/>
        <c:scaling>
          <c:orientation val="minMax"/>
          <c:min val="3000"/>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28747056"/>
        <c:crosses val="max"/>
        <c:crossBetween val="between"/>
      </c:valAx>
      <c:catAx>
        <c:axId val="328747056"/>
        <c:scaling>
          <c:orientation val="minMax"/>
        </c:scaling>
        <c:delete val="1"/>
        <c:axPos val="b"/>
        <c:numFmt formatCode="General" sourceLinked="1"/>
        <c:majorTickMark val="out"/>
        <c:minorTickMark val="none"/>
        <c:tickLblPos val="nextTo"/>
        <c:crossAx val="32874761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505314572525998E-2"/>
          <c:y val="0.14683546062181807"/>
          <c:w val="0.890989370854948"/>
          <c:h val="0.73274835794011484"/>
        </c:manualLayout>
      </c:layout>
      <c:barChart>
        <c:barDir val="col"/>
        <c:grouping val="clustered"/>
        <c:varyColors val="0"/>
        <c:ser>
          <c:idx val="1"/>
          <c:order val="0"/>
          <c:tx>
            <c:strRef>
              <c:f>'FIGURE 8'!$A$27</c:f>
              <c:strCache>
                <c:ptCount val="1"/>
                <c:pt idx="0">
                  <c:v>Employees</c:v>
                </c:pt>
              </c:strCache>
            </c:strRef>
          </c:tx>
          <c:spPr>
            <a:solidFill>
              <a:schemeClr val="accent2"/>
            </a:solidFill>
            <a:ln>
              <a:noFill/>
            </a:ln>
            <a:effectLst/>
          </c:spPr>
          <c:invertIfNegative val="0"/>
          <c:cat>
            <c:numRef>
              <c:f>'FIGURE 8'!$B$26:$U$26</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'FIGURE 8'!$B$27:$U$27</c:f>
              <c:numCache>
                <c:formatCode>0.0</c:formatCode>
                <c:ptCount val="20"/>
                <c:pt idx="0">
                  <c:v>34.237000000000002</c:v>
                </c:pt>
                <c:pt idx="1">
                  <c:v>34.54</c:v>
                </c:pt>
                <c:pt idx="2">
                  <c:v>34.499000000000002</c:v>
                </c:pt>
                <c:pt idx="3">
                  <c:v>28.844999999999999</c:v>
                </c:pt>
                <c:pt idx="4">
                  <c:v>31.419</c:v>
                </c:pt>
                <c:pt idx="5">
                  <c:v>33.008000000000003</c:v>
                </c:pt>
                <c:pt idx="6">
                  <c:v>32.987000000000002</c:v>
                </c:pt>
                <c:pt idx="7">
                  <c:v>35.151000000000003</c:v>
                </c:pt>
                <c:pt idx="8">
                  <c:v>36.384</c:v>
                </c:pt>
                <c:pt idx="9">
                  <c:v>36.795000000000002</c:v>
                </c:pt>
                <c:pt idx="10">
                  <c:v>36.17</c:v>
                </c:pt>
                <c:pt idx="11">
                  <c:v>35.698</c:v>
                </c:pt>
                <c:pt idx="12">
                  <c:v>36.210999999999999</c:v>
                </c:pt>
                <c:pt idx="13">
                  <c:v>36.758000000000003</c:v>
                </c:pt>
                <c:pt idx="14">
                  <c:v>37.31</c:v>
                </c:pt>
                <c:pt idx="15">
                  <c:v>38.384</c:v>
                </c:pt>
                <c:pt idx="16">
                  <c:v>38.42</c:v>
                </c:pt>
                <c:pt idx="17">
                  <c:v>38.241</c:v>
                </c:pt>
                <c:pt idx="18">
                  <c:v>38.453000000000003</c:v>
                </c:pt>
                <c:pt idx="19">
                  <c:v>37.765000000000001</c:v>
                </c:pt>
              </c:numCache>
            </c:numRef>
          </c:val>
          <c:extLst>
            <c:ext xmlns:c16="http://schemas.microsoft.com/office/drawing/2014/chart" uri="{C3380CC4-5D6E-409C-BE32-E72D297353CC}">
              <c16:uniqueId val="{00000000-59E2-4555-971E-82B6BC2EDE39}"/>
            </c:ext>
          </c:extLst>
        </c:ser>
        <c:ser>
          <c:idx val="2"/>
          <c:order val="1"/>
          <c:tx>
            <c:strRef>
              <c:f>'FIGURE 8'!$A$28</c:f>
              <c:strCache>
                <c:ptCount val="1"/>
                <c:pt idx="0">
                  <c:v>Self-employed</c:v>
                </c:pt>
              </c:strCache>
            </c:strRef>
          </c:tx>
          <c:spPr>
            <a:solidFill>
              <a:schemeClr val="accent1">
                <a:lumMod val="75000"/>
              </a:schemeClr>
            </a:solidFill>
            <a:ln>
              <a:noFill/>
            </a:ln>
            <a:effectLst/>
          </c:spPr>
          <c:invertIfNegative val="0"/>
          <c:cat>
            <c:numRef>
              <c:f>'FIGURE 8'!$B$26:$U$26</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'FIGURE 8'!$B$28:$U$28</c:f>
              <c:numCache>
                <c:formatCode>0.0</c:formatCode>
                <c:ptCount val="20"/>
                <c:pt idx="0">
                  <c:v>6.5679999999999996</c:v>
                </c:pt>
                <c:pt idx="1">
                  <c:v>6.5679999999999996</c:v>
                </c:pt>
                <c:pt idx="2">
                  <c:v>6.71</c:v>
                </c:pt>
                <c:pt idx="3">
                  <c:v>6.6970000000000001</c:v>
                </c:pt>
                <c:pt idx="4">
                  <c:v>6.9119999999999999</c:v>
                </c:pt>
                <c:pt idx="5">
                  <c:v>7.5529999999999999</c:v>
                </c:pt>
                <c:pt idx="6">
                  <c:v>7.5890000000000004</c:v>
                </c:pt>
                <c:pt idx="7">
                  <c:v>7.6609999999999996</c:v>
                </c:pt>
                <c:pt idx="8">
                  <c:v>7.6970000000000001</c:v>
                </c:pt>
                <c:pt idx="9">
                  <c:v>7.7030000000000003</c:v>
                </c:pt>
                <c:pt idx="10">
                  <c:v>7.7510000000000003</c:v>
                </c:pt>
                <c:pt idx="11">
                  <c:v>7.77</c:v>
                </c:pt>
                <c:pt idx="12">
                  <c:v>8.6790000000000003</c:v>
                </c:pt>
                <c:pt idx="13">
                  <c:v>8.1120000000000001</c:v>
                </c:pt>
                <c:pt idx="14">
                  <c:v>7.6479999999999997</c:v>
                </c:pt>
                <c:pt idx="15">
                  <c:v>7.5629999999999997</c:v>
                </c:pt>
                <c:pt idx="16">
                  <c:v>8.0839999999999996</c:v>
                </c:pt>
                <c:pt idx="17">
                  <c:v>7.7619999999999996</c:v>
                </c:pt>
                <c:pt idx="18">
                  <c:v>8.1449999999999996</c:v>
                </c:pt>
                <c:pt idx="19">
                  <c:v>8.6609999999999996</c:v>
                </c:pt>
              </c:numCache>
            </c:numRef>
          </c:val>
          <c:extLst>
            <c:ext xmlns:c16="http://schemas.microsoft.com/office/drawing/2014/chart" uri="{C3380CC4-5D6E-409C-BE32-E72D297353CC}">
              <c16:uniqueId val="{00000001-59E2-4555-971E-82B6BC2EDE39}"/>
            </c:ext>
          </c:extLst>
        </c:ser>
        <c:dLbls>
          <c:showLegendKey val="0"/>
          <c:showVal val="0"/>
          <c:showCatName val="0"/>
          <c:showSerName val="0"/>
          <c:showPercent val="0"/>
          <c:showBubbleSize val="0"/>
        </c:dLbls>
        <c:gapWidth val="219"/>
        <c:axId val="366056384"/>
        <c:axId val="366056944"/>
      </c:barChart>
      <c:lineChart>
        <c:grouping val="standard"/>
        <c:varyColors val="0"/>
        <c:ser>
          <c:idx val="3"/>
          <c:order val="2"/>
          <c:tx>
            <c:strRef>
              <c:f>'FIGURE 8'!$A$29</c:f>
              <c:strCache>
                <c:ptCount val="1"/>
                <c:pt idx="0">
                  <c:v>Total</c:v>
                </c:pt>
              </c:strCache>
            </c:strRef>
          </c:tx>
          <c:spPr>
            <a:ln w="28575" cap="rnd">
              <a:solidFill>
                <a:schemeClr val="accent4"/>
              </a:solidFill>
              <a:round/>
            </a:ln>
            <a:effectLst/>
          </c:spPr>
          <c:marker>
            <c:symbol val="none"/>
          </c:marker>
          <c:cat>
            <c:numRef>
              <c:f>'FIGURE 8'!$B$26:$U$26</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'FIGURE 8'!$B$29:$U$29</c:f>
              <c:numCache>
                <c:formatCode>0.0</c:formatCode>
                <c:ptCount val="20"/>
                <c:pt idx="0">
                  <c:v>13.903</c:v>
                </c:pt>
                <c:pt idx="1">
                  <c:v>14.182</c:v>
                </c:pt>
                <c:pt idx="2">
                  <c:v>14.44</c:v>
                </c:pt>
                <c:pt idx="3">
                  <c:v>12.308</c:v>
                </c:pt>
                <c:pt idx="4">
                  <c:v>13.497999999999999</c:v>
                </c:pt>
                <c:pt idx="5">
                  <c:v>15.186999999999999</c:v>
                </c:pt>
                <c:pt idx="6">
                  <c:v>15.355</c:v>
                </c:pt>
                <c:pt idx="7">
                  <c:v>16.21</c:v>
                </c:pt>
                <c:pt idx="8">
                  <c:v>16.672999999999998</c:v>
                </c:pt>
                <c:pt idx="9">
                  <c:v>16.687999999999999</c:v>
                </c:pt>
                <c:pt idx="10">
                  <c:v>16.606999999999999</c:v>
                </c:pt>
                <c:pt idx="11">
                  <c:v>16.75</c:v>
                </c:pt>
                <c:pt idx="12">
                  <c:v>17.722999999999999</c:v>
                </c:pt>
                <c:pt idx="13">
                  <c:v>17.478999999999999</c:v>
                </c:pt>
                <c:pt idx="14">
                  <c:v>17.376000000000001</c:v>
                </c:pt>
                <c:pt idx="15">
                  <c:v>17.683</c:v>
                </c:pt>
                <c:pt idx="16">
                  <c:v>18.283000000000001</c:v>
                </c:pt>
                <c:pt idx="17">
                  <c:v>18.370999999999999</c:v>
                </c:pt>
                <c:pt idx="18">
                  <c:v>18.79</c:v>
                </c:pt>
                <c:pt idx="19">
                  <c:v>18.782</c:v>
                </c:pt>
              </c:numCache>
            </c:numRef>
          </c:val>
          <c:smooth val="0"/>
          <c:extLst>
            <c:ext xmlns:c16="http://schemas.microsoft.com/office/drawing/2014/chart" uri="{C3380CC4-5D6E-409C-BE32-E72D297353CC}">
              <c16:uniqueId val="{00000002-59E2-4555-971E-82B6BC2EDE39}"/>
            </c:ext>
          </c:extLst>
        </c:ser>
        <c:dLbls>
          <c:showLegendKey val="0"/>
          <c:showVal val="0"/>
          <c:showCatName val="0"/>
          <c:showSerName val="0"/>
          <c:showPercent val="0"/>
          <c:showBubbleSize val="0"/>
        </c:dLbls>
        <c:marker val="1"/>
        <c:smooth val="0"/>
        <c:axId val="366375600"/>
        <c:axId val="366057504"/>
      </c:lineChart>
      <c:catAx>
        <c:axId val="366056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66056944"/>
        <c:crosses val="autoZero"/>
        <c:auto val="1"/>
        <c:lblAlgn val="ctr"/>
        <c:lblOffset val="100"/>
        <c:noMultiLvlLbl val="0"/>
      </c:catAx>
      <c:valAx>
        <c:axId val="36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w="6350">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66056384"/>
        <c:crosses val="autoZero"/>
        <c:crossBetween val="between"/>
      </c:valAx>
      <c:valAx>
        <c:axId val="366057504"/>
        <c:scaling>
          <c:orientation val="minMax"/>
        </c:scaling>
        <c:delete val="0"/>
        <c:axPos val="r"/>
        <c:numFmt formatCode="0.0" sourceLinked="1"/>
        <c:majorTickMark val="out"/>
        <c:minorTickMark val="none"/>
        <c:tickLblPos val="nextTo"/>
        <c:spPr>
          <a:noFill/>
          <a:ln w="6350">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66375600"/>
        <c:crosses val="max"/>
        <c:crossBetween val="between"/>
      </c:valAx>
      <c:catAx>
        <c:axId val="366375600"/>
        <c:scaling>
          <c:orientation val="minMax"/>
        </c:scaling>
        <c:delete val="1"/>
        <c:axPos val="b"/>
        <c:numFmt formatCode="General" sourceLinked="1"/>
        <c:majorTickMark val="out"/>
        <c:minorTickMark val="none"/>
        <c:tickLblPos val="nextTo"/>
        <c:crossAx val="366057504"/>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947864248767291E-2"/>
          <c:y val="0.1230838121586153"/>
          <c:w val="0.90336225862246378"/>
          <c:h val="0.73630205008157767"/>
        </c:manualLayout>
      </c:layout>
      <c:lineChart>
        <c:grouping val="standard"/>
        <c:varyColors val="0"/>
        <c:ser>
          <c:idx val="0"/>
          <c:order val="0"/>
          <c:tx>
            <c:strRef>
              <c:f>'FIGURE 9'!$A$4</c:f>
              <c:strCache>
                <c:ptCount val="1"/>
                <c:pt idx="0">
                  <c:v>contracting</c:v>
                </c:pt>
              </c:strCache>
            </c:strRef>
          </c:tx>
          <c:spPr>
            <a:ln w="28575" cap="rnd">
              <a:solidFill>
                <a:schemeClr val="accent1"/>
              </a:solidFill>
              <a:round/>
            </a:ln>
            <a:effectLst/>
          </c:spPr>
          <c:marker>
            <c:symbol val="none"/>
          </c:marker>
          <c:cat>
            <c:numRef>
              <c:f>'FIGURE 9'!$B$3:$AB$3</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9'!$B$4:$AB$4</c:f>
              <c:numCache>
                <c:formatCode>#,##0</c:formatCode>
                <c:ptCount val="27"/>
                <c:pt idx="0">
                  <c:v>1747.9241100000002</c:v>
                </c:pt>
                <c:pt idx="1">
                  <c:v>1791.39771</c:v>
                </c:pt>
                <c:pt idx="2">
                  <c:v>1821.5965800000001</c:v>
                </c:pt>
                <c:pt idx="3">
                  <c:v>1902.54168</c:v>
                </c:pt>
                <c:pt idx="4">
                  <c:v>1896.59808</c:v>
                </c:pt>
                <c:pt idx="5">
                  <c:v>2045.5556000000001</c:v>
                </c:pt>
                <c:pt idx="6">
                  <c:v>2082.5041999999999</c:v>
                </c:pt>
                <c:pt idx="7">
                  <c:v>2057.8632499999999</c:v>
                </c:pt>
                <c:pt idx="8">
                  <c:v>2058.8862600000002</c:v>
                </c:pt>
                <c:pt idx="9">
                  <c:v>2118.3421200000003</c:v>
                </c:pt>
                <c:pt idx="10">
                  <c:v>2116.4499999999998</c:v>
                </c:pt>
                <c:pt idx="11">
                  <c:v>2184.1596</c:v>
                </c:pt>
                <c:pt idx="12">
                  <c:v>2243.3846400000002</c:v>
                </c:pt>
                <c:pt idx="13">
                  <c:v>2305.9170600000002</c:v>
                </c:pt>
                <c:pt idx="14">
                  <c:v>2317.1853599999999</c:v>
                </c:pt>
                <c:pt idx="15">
                  <c:v>2408.0541800000001</c:v>
                </c:pt>
                <c:pt idx="16">
                  <c:v>2522.2934</c:v>
                </c:pt>
                <c:pt idx="17">
                  <c:v>2706.2984000000001</c:v>
                </c:pt>
                <c:pt idx="18">
                  <c:v>2820.84</c:v>
                </c:pt>
                <c:pt idx="19">
                  <c:v>2934.88</c:v>
                </c:pt>
                <c:pt idx="20">
                  <c:v>2964.3</c:v>
                </c:pt>
                <c:pt idx="21">
                  <c:v>3047.8695456</c:v>
                </c:pt>
                <c:pt idx="22">
                  <c:v>3118.4</c:v>
                </c:pt>
                <c:pt idx="23">
                  <c:v>3155.9299440000004</c:v>
                </c:pt>
                <c:pt idx="24">
                  <c:v>3209.8</c:v>
                </c:pt>
                <c:pt idx="25">
                  <c:v>3193.59051</c:v>
                </c:pt>
                <c:pt idx="26">
                  <c:v>3299.8369229846062</c:v>
                </c:pt>
              </c:numCache>
            </c:numRef>
          </c:val>
          <c:smooth val="0"/>
          <c:extLst>
            <c:ext xmlns:c16="http://schemas.microsoft.com/office/drawing/2014/chart" uri="{C3380CC4-5D6E-409C-BE32-E72D297353CC}">
              <c16:uniqueId val="{00000000-7FF4-43AD-9624-50E62C889A32}"/>
            </c:ext>
          </c:extLst>
        </c:ser>
        <c:ser>
          <c:idx val="1"/>
          <c:order val="1"/>
          <c:tx>
            <c:strRef>
              <c:f>'FIGURE 9'!$A$5</c:f>
              <c:strCache>
                <c:ptCount val="1"/>
                <c:pt idx="0">
                  <c:v>first processing of products</c:v>
                </c:pt>
              </c:strCache>
            </c:strRef>
          </c:tx>
          <c:spPr>
            <a:ln w="28575" cap="rnd">
              <a:solidFill>
                <a:schemeClr val="accent2"/>
              </a:solidFill>
              <a:round/>
            </a:ln>
            <a:effectLst/>
          </c:spPr>
          <c:marker>
            <c:symbol val="none"/>
          </c:marker>
          <c:cat>
            <c:numRef>
              <c:f>'FIGURE 9'!$B$3:$AB$3</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9'!$B$5:$AB$5</c:f>
              <c:numCache>
                <c:formatCode>#,##0</c:formatCode>
                <c:ptCount val="27"/>
                <c:pt idx="0">
                  <c:v>1222.0190085225329</c:v>
                </c:pt>
                <c:pt idx="1">
                  <c:v>1208.3834864478015</c:v>
                </c:pt>
                <c:pt idx="2">
                  <c:v>1293.4564938619574</c:v>
                </c:pt>
                <c:pt idx="3">
                  <c:v>1362.9739470137456</c:v>
                </c:pt>
                <c:pt idx="4">
                  <c:v>1331.9529820129574</c:v>
                </c:pt>
                <c:pt idx="5">
                  <c:v>1425.2907508018227</c:v>
                </c:pt>
                <c:pt idx="6">
                  <c:v>1439.3305809476881</c:v>
                </c:pt>
                <c:pt idx="7">
                  <c:v>1541.855237275566</c:v>
                </c:pt>
                <c:pt idx="8">
                  <c:v>1640.7265399775522</c:v>
                </c:pt>
                <c:pt idx="9">
                  <c:v>1703.2588362669005</c:v>
                </c:pt>
                <c:pt idx="10">
                  <c:v>1665.359330190299</c:v>
                </c:pt>
                <c:pt idx="11">
                  <c:v>1694.2035426036741</c:v>
                </c:pt>
                <c:pt idx="12">
                  <c:v>1752.8684528523479</c:v>
                </c:pt>
                <c:pt idx="13">
                  <c:v>1803.154011948445</c:v>
                </c:pt>
                <c:pt idx="14">
                  <c:v>1841.4567062103226</c:v>
                </c:pt>
                <c:pt idx="15">
                  <c:v>2029.5047337217989</c:v>
                </c:pt>
                <c:pt idx="16">
                  <c:v>2089.3354089450063</c:v>
                </c:pt>
                <c:pt idx="17">
                  <c:v>2148.1471881077937</c:v>
                </c:pt>
                <c:pt idx="18">
                  <c:v>2140.56312988022</c:v>
                </c:pt>
                <c:pt idx="19">
                  <c:v>2184.9368864388684</c:v>
                </c:pt>
                <c:pt idx="20">
                  <c:v>2232.4102750219927</c:v>
                </c:pt>
                <c:pt idx="21">
                  <c:v>2319.1434099970161</c:v>
                </c:pt>
                <c:pt idx="22">
                  <c:v>2307.201</c:v>
                </c:pt>
                <c:pt idx="23">
                  <c:v>2300.9619722205084</c:v>
                </c:pt>
                <c:pt idx="24">
                  <c:v>2383.6476105367838</c:v>
                </c:pt>
                <c:pt idx="25">
                  <c:v>2153.6177400000001</c:v>
                </c:pt>
                <c:pt idx="26">
                  <c:v>2354.0420213553598</c:v>
                </c:pt>
              </c:numCache>
            </c:numRef>
          </c:val>
          <c:smooth val="0"/>
          <c:extLst>
            <c:ext xmlns:c16="http://schemas.microsoft.com/office/drawing/2014/chart" uri="{C3380CC4-5D6E-409C-BE32-E72D297353CC}">
              <c16:uniqueId val="{00000001-7FF4-43AD-9624-50E62C889A32}"/>
            </c:ext>
          </c:extLst>
        </c:ser>
        <c:ser>
          <c:idx val="2"/>
          <c:order val="2"/>
          <c:tx>
            <c:strRef>
              <c:f>'FIGURE 9'!$A$6</c:f>
              <c:strCache>
                <c:ptCount val="1"/>
                <c:pt idx="0">
                  <c:v>maintenance of the territory</c:v>
                </c:pt>
              </c:strCache>
            </c:strRef>
          </c:tx>
          <c:spPr>
            <a:ln w="28575" cap="rnd">
              <a:solidFill>
                <a:schemeClr val="accent3"/>
              </a:solidFill>
              <a:round/>
            </a:ln>
            <a:effectLst/>
          </c:spPr>
          <c:marker>
            <c:symbol val="none"/>
          </c:marker>
          <c:cat>
            <c:numRef>
              <c:f>'FIGURE 9'!$B$3:$AB$3</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9'!$B$6:$AB$6</c:f>
              <c:numCache>
                <c:formatCode>#,##0</c:formatCode>
                <c:ptCount val="27"/>
                <c:pt idx="0">
                  <c:v>198.53582101942553</c:v>
                </c:pt>
                <c:pt idx="1">
                  <c:v>219.82530508052466</c:v>
                </c:pt>
                <c:pt idx="2">
                  <c:v>240.47427569317614</c:v>
                </c:pt>
                <c:pt idx="3">
                  <c:v>244.46133571309977</c:v>
                </c:pt>
                <c:pt idx="4">
                  <c:v>235.59687863191101</c:v>
                </c:pt>
                <c:pt idx="5">
                  <c:v>241.86739499999999</c:v>
                </c:pt>
                <c:pt idx="6">
                  <c:v>255.08826000000002</c:v>
                </c:pt>
                <c:pt idx="7">
                  <c:v>278.50027500000004</c:v>
                </c:pt>
                <c:pt idx="8">
                  <c:v>276.60599999999999</c:v>
                </c:pt>
                <c:pt idx="9">
                  <c:v>289.168542</c:v>
                </c:pt>
                <c:pt idx="10">
                  <c:v>307.56385199999994</c:v>
                </c:pt>
                <c:pt idx="11">
                  <c:v>337.290034386</c:v>
                </c:pt>
                <c:pt idx="12">
                  <c:v>352.74646998337852</c:v>
                </c:pt>
                <c:pt idx="13">
                  <c:v>385.18893600000007</c:v>
                </c:pt>
                <c:pt idx="14">
                  <c:v>447.96500460000317</c:v>
                </c:pt>
                <c:pt idx="15">
                  <c:v>464.64610932095098</c:v>
                </c:pt>
                <c:pt idx="16">
                  <c:v>492.572209320951</c:v>
                </c:pt>
                <c:pt idx="17">
                  <c:v>511.123609320951</c:v>
                </c:pt>
                <c:pt idx="18">
                  <c:v>535.42243199999996</c:v>
                </c:pt>
                <c:pt idx="19">
                  <c:v>546.69000000000005</c:v>
                </c:pt>
                <c:pt idx="20">
                  <c:v>552.20000000000005</c:v>
                </c:pt>
                <c:pt idx="21">
                  <c:v>563.856942</c:v>
                </c:pt>
                <c:pt idx="22">
                  <c:v>577.5</c:v>
                </c:pt>
                <c:pt idx="23">
                  <c:v>583.86866999999995</c:v>
                </c:pt>
                <c:pt idx="24">
                  <c:v>602.70000000000005</c:v>
                </c:pt>
                <c:pt idx="25">
                  <c:v>607.5306405</c:v>
                </c:pt>
                <c:pt idx="26">
                  <c:v>637.59733189834503</c:v>
                </c:pt>
              </c:numCache>
            </c:numRef>
          </c:val>
          <c:smooth val="0"/>
          <c:extLst>
            <c:ext xmlns:c16="http://schemas.microsoft.com/office/drawing/2014/chart" uri="{C3380CC4-5D6E-409C-BE32-E72D297353CC}">
              <c16:uniqueId val="{00000002-7FF4-43AD-9624-50E62C889A32}"/>
            </c:ext>
          </c:extLst>
        </c:ser>
        <c:ser>
          <c:idx val="3"/>
          <c:order val="3"/>
          <c:tx>
            <c:strRef>
              <c:f>'FIGURE 9'!$A$7</c:f>
              <c:strCache>
                <c:ptCount val="1"/>
                <c:pt idx="0">
                  <c:v>Other</c:v>
                </c:pt>
              </c:strCache>
            </c:strRef>
          </c:tx>
          <c:spPr>
            <a:ln w="28575" cap="rnd">
              <a:solidFill>
                <a:schemeClr val="accent4"/>
              </a:solidFill>
              <a:round/>
            </a:ln>
            <a:effectLst/>
          </c:spPr>
          <c:marker>
            <c:symbol val="none"/>
          </c:marker>
          <c:cat>
            <c:numRef>
              <c:f>'FIGURE 9'!$B$3:$AB$3</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'FIGURE 9'!$B$7:$AB$7</c:f>
              <c:numCache>
                <c:formatCode>#,##0</c:formatCode>
                <c:ptCount val="27"/>
                <c:pt idx="0">
                  <c:v>547.89852294200546</c:v>
                </c:pt>
                <c:pt idx="1">
                  <c:v>650.10634114262393</c:v>
                </c:pt>
                <c:pt idx="2">
                  <c:v>661.87572048536015</c:v>
                </c:pt>
                <c:pt idx="3">
                  <c:v>647.92876355932037</c:v>
                </c:pt>
                <c:pt idx="4">
                  <c:v>674.24256795035694</c:v>
                </c:pt>
                <c:pt idx="5">
                  <c:v>684.93502519699973</c:v>
                </c:pt>
                <c:pt idx="6">
                  <c:v>719.92700964099868</c:v>
                </c:pt>
                <c:pt idx="7">
                  <c:v>754.22520353200048</c:v>
                </c:pt>
                <c:pt idx="8">
                  <c:v>777.23419806400057</c:v>
                </c:pt>
                <c:pt idx="9">
                  <c:v>835.61303903715441</c:v>
                </c:pt>
                <c:pt idx="10">
                  <c:v>813.83709274199975</c:v>
                </c:pt>
                <c:pt idx="11">
                  <c:v>810.88092466299918</c:v>
                </c:pt>
                <c:pt idx="12">
                  <c:v>832.68015010799968</c:v>
                </c:pt>
                <c:pt idx="13">
                  <c:v>951.71359377652038</c:v>
                </c:pt>
                <c:pt idx="14">
                  <c:v>920.63773206100029</c:v>
                </c:pt>
                <c:pt idx="15">
                  <c:v>831.88772718299901</c:v>
                </c:pt>
                <c:pt idx="16">
                  <c:v>794.58343415499917</c:v>
                </c:pt>
                <c:pt idx="17">
                  <c:v>852.26461966799923</c:v>
                </c:pt>
                <c:pt idx="18">
                  <c:v>893.45332999999971</c:v>
                </c:pt>
                <c:pt idx="19">
                  <c:v>857.53431</c:v>
                </c:pt>
                <c:pt idx="20">
                  <c:v>838.21900000000005</c:v>
                </c:pt>
                <c:pt idx="21">
                  <c:v>850.79107359999955</c:v>
                </c:pt>
                <c:pt idx="22">
                  <c:v>828.6</c:v>
                </c:pt>
                <c:pt idx="23">
                  <c:v>824.32065150000017</c:v>
                </c:pt>
                <c:pt idx="24">
                  <c:v>830.7</c:v>
                </c:pt>
                <c:pt idx="25">
                  <c:v>840.91430349999928</c:v>
                </c:pt>
                <c:pt idx="26">
                  <c:v>904.03334274621511</c:v>
                </c:pt>
              </c:numCache>
            </c:numRef>
          </c:val>
          <c:smooth val="0"/>
          <c:extLst>
            <c:ext xmlns:c16="http://schemas.microsoft.com/office/drawing/2014/chart" uri="{C3380CC4-5D6E-409C-BE32-E72D297353CC}">
              <c16:uniqueId val="{00000003-7FF4-43AD-9624-50E62C889A32}"/>
            </c:ext>
          </c:extLst>
        </c:ser>
        <c:dLbls>
          <c:showLegendKey val="0"/>
          <c:showVal val="0"/>
          <c:showCatName val="0"/>
          <c:showSerName val="0"/>
          <c:showPercent val="0"/>
          <c:showBubbleSize val="0"/>
        </c:dLbls>
        <c:smooth val="0"/>
        <c:axId val="366130016"/>
        <c:axId val="366130576"/>
      </c:lineChart>
      <c:catAx>
        <c:axId val="366130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66130576"/>
        <c:crosses val="autoZero"/>
        <c:auto val="1"/>
        <c:lblAlgn val="ctr"/>
        <c:lblOffset val="100"/>
        <c:noMultiLvlLbl val="0"/>
      </c:catAx>
      <c:valAx>
        <c:axId val="366130576"/>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366130016"/>
        <c:crosses val="autoZero"/>
        <c:crossBetween val="between"/>
        <c:majorUnit val="500"/>
      </c:valAx>
      <c:spPr>
        <a:noFill/>
        <a:ln>
          <a:noFill/>
        </a:ln>
        <a:effectLst/>
      </c:spPr>
    </c:plotArea>
    <c:legend>
      <c:legendPos val="t"/>
      <c:layout>
        <c:manualLayout>
          <c:xMode val="edge"/>
          <c:yMode val="edge"/>
          <c:x val="0.12311605884360909"/>
          <c:y val="2.3522493384298737E-2"/>
          <c:w val="0.7537678823127818"/>
          <c:h val="8.8029227161071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3E8D4-5ECE-44EF-9457-29939AD01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15409</Words>
  <Characters>87836</Characters>
  <Application>Microsoft Office Word</Application>
  <DocSecurity>0</DocSecurity>
  <Lines>731</Lines>
  <Paragraphs>206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Nota trimestrale sulle tendenze dell'occupazione-IV trimestre 2020</vt:lpstr>
      <vt:lpstr>Nota trimestrale sulle tendenze dell'occupazione-IV trimestre 2020</vt:lpstr>
    </vt:vector>
  </TitlesOfParts>
  <Company/>
  <LinksUpToDate>false</LinksUpToDate>
  <CharactersWithSpaces>103039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trimestrale sulle tendenze dell'occupazione-IV trimestre 2020</dc:title>
  <dc:creator>Istat</dc:creator>
  <cp:lastModifiedBy>enzalucia vaccaro</cp:lastModifiedBy>
  <cp:revision>2</cp:revision>
  <cp:lastPrinted>2022-03-17T14:06:00Z</cp:lastPrinted>
  <dcterms:created xsi:type="dcterms:W3CDTF">2022-07-01T14:39:00Z</dcterms:created>
  <dcterms:modified xsi:type="dcterms:W3CDTF">2022-07-01T14:39:00Z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2021-03-22T00:00:00Z</vt:filetime>
  </property>
  <property fmtid="{D5CDD505-2E9C-101B-9397-08002B2CF9AE}" pid="3" name="Creator">
    <vt:lpwstr>Microsoft® Word 2013</vt:lpwstr>
  </property>
  <property fmtid="{D5CDD505-2E9C-101B-9397-08002B2CF9AE}" pid="4" name="LastSaved">
    <vt:filetime>2021-08-30T00:00:00Z</vt:filetime>
  </property>
</Properties>
</file>