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DB76" w14:textId="319A9453" w:rsidR="00B20682" w:rsidRDefault="00B20682"/>
    <w:p w14:paraId="1238FEA2" w14:textId="77777777" w:rsidR="00723050" w:rsidRDefault="00723050"/>
    <w:p w14:paraId="54BF28CA" w14:textId="77777777" w:rsidR="00B20682" w:rsidRDefault="004E797B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Istituto N</w:t>
      </w:r>
      <w:r w:rsidR="00B20682">
        <w:rPr>
          <w:rFonts w:ascii="Bookman Old Style" w:hAnsi="Bookman Old Style" w:cs="Bookman Old Style"/>
          <w:b/>
          <w:sz w:val="24"/>
          <w:szCs w:val="24"/>
        </w:rPr>
        <w:t>azionale di Statistica</w:t>
      </w:r>
    </w:p>
    <w:p w14:paraId="448CAF04" w14:textId="77777777" w:rsidR="00B20682" w:rsidRDefault="00A73B15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Organismo Indipendente di V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alutazione della performance</w:t>
      </w:r>
    </w:p>
    <w:p w14:paraId="6422F9ED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CDAF242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68C9CCD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B68419C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9A9CF0C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78BCDF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F2BC16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726623F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693E4F4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C324DA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RELAZIONE SUL FUNZIONAMENTO COMPLESSIVO</w:t>
      </w:r>
    </w:p>
    <w:p w14:paraId="4369B296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DEL SISTEMA DI VALUTAZIONE, TRASPARENZA E INTEGRITÀ</w:t>
      </w:r>
    </w:p>
    <w:p w14:paraId="48F4F3D7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DEI CONTROLLI INTERNI</w:t>
      </w:r>
    </w:p>
    <w:p w14:paraId="783B66A7" w14:textId="77777777" w:rsidR="00B20682" w:rsidRDefault="00B20682" w:rsidP="00844653">
      <w:pPr>
        <w:spacing w:before="60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ANNO </w:t>
      </w:r>
      <w:r w:rsidRPr="00254402">
        <w:rPr>
          <w:rFonts w:ascii="Bookman Old Style" w:hAnsi="Bookman Old Style" w:cs="Bookman Old Style"/>
          <w:b/>
          <w:bCs/>
          <w:sz w:val="24"/>
          <w:szCs w:val="24"/>
        </w:rPr>
        <w:t>201</w:t>
      </w:r>
      <w:r w:rsidR="00D649FE">
        <w:rPr>
          <w:rFonts w:ascii="Bookman Old Style" w:hAnsi="Bookman Old Style" w:cs="Bookman Old Style"/>
          <w:b/>
          <w:bCs/>
          <w:sz w:val="24"/>
          <w:szCs w:val="24"/>
        </w:rPr>
        <w:t>9</w:t>
      </w:r>
    </w:p>
    <w:p w14:paraId="19DE15EC" w14:textId="77777777" w:rsidR="00B20682" w:rsidRDefault="00B20682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7FBBEF2" w14:textId="77777777" w:rsidR="00C801DF" w:rsidRDefault="00C801DF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FD93D4F" w14:textId="77777777" w:rsidR="00844653" w:rsidRDefault="00844653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11A8B0" w14:textId="77777777"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C81291F" w14:textId="77777777"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2138B84" w14:textId="77777777"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2DC072B" w14:textId="77777777" w:rsidR="00B20682" w:rsidRDefault="00093DE2" w:rsidP="00664958">
      <w:pPr>
        <w:pageBreakBefore/>
        <w:spacing w:before="600" w:after="120" w:line="360" w:lineRule="auto"/>
        <w:ind w:left="142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P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RESENTAZIONE</w:t>
      </w:r>
    </w:p>
    <w:p w14:paraId="3E0BC9A6" w14:textId="77777777" w:rsidR="00942AE3" w:rsidRPr="00942AE3" w:rsidRDefault="00942AE3" w:rsidP="00942AE3">
      <w:pPr>
        <w:tabs>
          <w:tab w:val="center" w:pos="4819"/>
          <w:tab w:val="right" w:pos="9638"/>
          <w:tab w:val="right" w:leader="dot" w:pos="10260"/>
        </w:tabs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42AE3">
        <w:rPr>
          <w:rFonts w:ascii="Bookman Old Style" w:hAnsi="Bookman Old Style" w:cs="Bookman Old Style"/>
          <w:sz w:val="24"/>
          <w:szCs w:val="24"/>
        </w:rPr>
        <w:t xml:space="preserve">Come previsto dall’art. 14, comma 4, lett. a) del d.lgs. n. 150 del 2009, con la presente Relazione questo Organismo riferisce sul funzionamento complessivo del sistema di valutazione, trasparenza e integrità dei controlli interni dell’Istat per l’anno </w:t>
      </w:r>
      <w:r w:rsidRPr="002A335F">
        <w:rPr>
          <w:rFonts w:ascii="Bookman Old Style" w:hAnsi="Bookman Old Style" w:cs="Bookman Old Style"/>
          <w:sz w:val="24"/>
          <w:szCs w:val="24"/>
        </w:rPr>
        <w:t>201</w:t>
      </w:r>
      <w:r w:rsidR="003625E4" w:rsidRPr="002A335F">
        <w:rPr>
          <w:rFonts w:ascii="Bookman Old Style" w:hAnsi="Bookman Old Style" w:cs="Bookman Old Style"/>
          <w:sz w:val="24"/>
          <w:szCs w:val="24"/>
        </w:rPr>
        <w:t>9</w:t>
      </w:r>
      <w:r w:rsidRPr="002A335F">
        <w:rPr>
          <w:rFonts w:ascii="Bookman Old Style" w:hAnsi="Bookman Old Style" w:cs="Bookman Old Style"/>
          <w:sz w:val="24"/>
          <w:szCs w:val="24"/>
        </w:rPr>
        <w:t>,</w:t>
      </w:r>
      <w:r w:rsidRPr="00942AE3">
        <w:rPr>
          <w:rFonts w:ascii="Bookman Old Style" w:hAnsi="Bookman Old Style" w:cs="Bookman Old Style"/>
          <w:sz w:val="24"/>
          <w:szCs w:val="24"/>
        </w:rPr>
        <w:t xml:space="preserve"> nell’ottica di un progressivo perfezionamento del sistema complessivo della performance.</w:t>
      </w:r>
    </w:p>
    <w:p w14:paraId="383918C4" w14:textId="274B35FB" w:rsidR="00DB6590" w:rsidRDefault="001C27A7" w:rsidP="00DB6590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L’anno di riferimento è stato caratterizzato </w:t>
      </w:r>
      <w:r w:rsidR="002A335F">
        <w:rPr>
          <w:rFonts w:ascii="Bookman Old Style" w:hAnsi="Bookman Old Style" w:cs="Bookman Old Style"/>
          <w:sz w:val="24"/>
          <w:szCs w:val="24"/>
        </w:rPr>
        <w:t xml:space="preserve">dalla nomina del nuovo </w:t>
      </w:r>
      <w:r w:rsidR="002A335F" w:rsidRPr="002A335F">
        <w:rPr>
          <w:rFonts w:ascii="Bookman Old Style" w:hAnsi="Bookman Old Style" w:cs="Bookman Old Style"/>
          <w:sz w:val="24"/>
          <w:szCs w:val="24"/>
        </w:rPr>
        <w:t xml:space="preserve">Presidente, Prof. Gian Carlo </w:t>
      </w:r>
      <w:proofErr w:type="spellStart"/>
      <w:r w:rsidR="002A335F" w:rsidRPr="002A335F">
        <w:rPr>
          <w:rFonts w:ascii="Bookman Old Style" w:hAnsi="Bookman Old Style" w:cs="Bookman Old Style"/>
          <w:sz w:val="24"/>
          <w:szCs w:val="24"/>
        </w:rPr>
        <w:t>Blangiardo</w:t>
      </w:r>
      <w:proofErr w:type="spellEnd"/>
      <w:r w:rsidR="002A335F" w:rsidRPr="002A335F">
        <w:rPr>
          <w:rFonts w:ascii="Bookman Old Style" w:hAnsi="Bookman Old Style" w:cs="Bookman Old Style"/>
          <w:sz w:val="24"/>
          <w:szCs w:val="24"/>
        </w:rPr>
        <w:t xml:space="preserve"> (D.P.R. del 4 febbraio 2019)</w:t>
      </w:r>
      <w:r w:rsidR="00B47C96">
        <w:rPr>
          <w:rFonts w:ascii="Bookman Old Style" w:hAnsi="Bookman Old Style" w:cs="Bookman Old Style"/>
          <w:sz w:val="24"/>
          <w:szCs w:val="24"/>
        </w:rPr>
        <w:t>,</w:t>
      </w:r>
      <w:r w:rsidR="002A335F" w:rsidRPr="002A335F">
        <w:rPr>
          <w:rFonts w:ascii="Bookman Old Style" w:hAnsi="Bookman Old Style" w:cs="Bookman Old Style"/>
          <w:sz w:val="24"/>
          <w:szCs w:val="24"/>
        </w:rPr>
        <w:t xml:space="preserve"> e dalla definizione, nell’ultima parte dell’anno, di un nuovo assetto</w:t>
      </w:r>
      <w:r w:rsidR="002A335F">
        <w:rPr>
          <w:rFonts w:ascii="Bookman Old Style" w:hAnsi="Bookman Old Style" w:cs="Bookman Old Style"/>
          <w:sz w:val="24"/>
          <w:szCs w:val="24"/>
        </w:rPr>
        <w:t xml:space="preserve"> organizzativo-produttivo, finalizzato al perfezionamento e al miglioramento del complesso delle attività dell’Istituto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2A7614">
        <w:rPr>
          <w:rFonts w:ascii="Bookman Old Style" w:hAnsi="Bookman Old Style" w:cs="Bookman Old Style"/>
          <w:sz w:val="24"/>
          <w:szCs w:val="24"/>
        </w:rPr>
        <w:t xml:space="preserve"> In tal senso, il </w:t>
      </w:r>
      <w:r w:rsidR="002A7614" w:rsidRPr="002A7614">
        <w:rPr>
          <w:rFonts w:ascii="Bookman Old Style" w:hAnsi="Bookman Old Style" w:cs="Bookman Old Style"/>
          <w:sz w:val="24"/>
          <w:szCs w:val="24"/>
        </w:rPr>
        <w:t xml:space="preserve">Consiglio ha approvato le </w:t>
      </w:r>
      <w:r w:rsidR="00DB6590" w:rsidRPr="002A7614">
        <w:rPr>
          <w:rFonts w:ascii="Bookman Old Style" w:hAnsi="Bookman Old Style" w:cs="Bookman Old Style"/>
          <w:sz w:val="24"/>
          <w:szCs w:val="24"/>
        </w:rPr>
        <w:t>nuove Linee fondamentali di organizzazione dell’Istituto, entrate in vigore il 1° dicembre</w:t>
      </w:r>
      <w:r w:rsidR="002A7614" w:rsidRPr="002A7614">
        <w:rPr>
          <w:rFonts w:ascii="Bookman Old Style" w:hAnsi="Bookman Old Style" w:cs="Bookman Old Style"/>
          <w:sz w:val="24"/>
          <w:szCs w:val="24"/>
        </w:rPr>
        <w:t xml:space="preserve"> 2019</w:t>
      </w:r>
      <w:r w:rsidR="00DB6590" w:rsidRPr="002A7614">
        <w:rPr>
          <w:rFonts w:ascii="Bookman Old Style" w:hAnsi="Bookman Old Style" w:cs="Bookman Old Style"/>
          <w:sz w:val="24"/>
          <w:szCs w:val="24"/>
        </w:rPr>
        <w:t>.</w:t>
      </w:r>
    </w:p>
    <w:p w14:paraId="71765237" w14:textId="6229E3F2" w:rsidR="00BD000F" w:rsidRPr="000A73FD" w:rsidRDefault="008907C8" w:rsidP="00E81198">
      <w:pPr>
        <w:tabs>
          <w:tab w:val="center" w:pos="4819"/>
          <w:tab w:val="right" w:pos="9638"/>
          <w:tab w:val="right" w:leader="dot" w:pos="10260"/>
        </w:tabs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0A73FD">
        <w:rPr>
          <w:rFonts w:ascii="Bookman Old Style" w:hAnsi="Bookman Old Style" w:cs="Bookman Old Style"/>
          <w:sz w:val="24"/>
          <w:szCs w:val="24"/>
        </w:rPr>
        <w:t>Inoltre</w:t>
      </w:r>
      <w:r w:rsidR="001C27A7" w:rsidRPr="000A73FD">
        <w:rPr>
          <w:rFonts w:ascii="Bookman Old Style" w:hAnsi="Bookman Old Style" w:cs="Bookman Old Style"/>
          <w:sz w:val="24"/>
          <w:szCs w:val="24"/>
        </w:rPr>
        <w:t xml:space="preserve">, </w:t>
      </w:r>
      <w:r w:rsidRPr="000A73FD">
        <w:rPr>
          <w:rFonts w:ascii="Bookman Old Style" w:hAnsi="Bookman Old Style" w:cs="Bookman Old Style"/>
          <w:sz w:val="24"/>
          <w:szCs w:val="24"/>
        </w:rPr>
        <w:t>è stat</w:t>
      </w:r>
      <w:r w:rsidR="00F1760C" w:rsidRPr="000A73FD">
        <w:rPr>
          <w:rFonts w:ascii="Bookman Old Style" w:hAnsi="Bookman Old Style" w:cs="Bookman Old Style"/>
          <w:sz w:val="24"/>
          <w:szCs w:val="24"/>
        </w:rPr>
        <w:t>a</w:t>
      </w:r>
      <w:r w:rsidRPr="000A73FD">
        <w:rPr>
          <w:rFonts w:ascii="Bookman Old Style" w:hAnsi="Bookman Old Style" w:cs="Bookman Old Style"/>
          <w:sz w:val="24"/>
          <w:szCs w:val="24"/>
        </w:rPr>
        <w:t xml:space="preserve"> completata la definizione dell’assetto regolamentare dell’Istituto, con l’approvazione da parte del </w:t>
      </w:r>
      <w:r w:rsidR="00E81198" w:rsidRPr="000A73FD">
        <w:rPr>
          <w:rFonts w:ascii="Bookman Old Style" w:hAnsi="Bookman Old Style" w:cs="Bookman Old Style"/>
          <w:sz w:val="24"/>
          <w:szCs w:val="24"/>
        </w:rPr>
        <w:t>Consiglio</w:t>
      </w:r>
      <w:r w:rsidR="00FD4F03" w:rsidRPr="000A73FD">
        <w:rPr>
          <w:rFonts w:ascii="Bookman Old Style" w:hAnsi="Bookman Old Style" w:cs="Bookman Old Style"/>
          <w:sz w:val="24"/>
          <w:szCs w:val="24"/>
        </w:rPr>
        <w:t xml:space="preserve"> </w:t>
      </w:r>
      <w:r w:rsidRPr="000A73FD">
        <w:rPr>
          <w:rFonts w:ascii="Bookman Old Style" w:hAnsi="Bookman Old Style" w:cs="Bookman Old Style"/>
          <w:sz w:val="24"/>
          <w:szCs w:val="24"/>
        </w:rPr>
        <w:t xml:space="preserve">dei </w:t>
      </w:r>
      <w:r w:rsidR="000755DB" w:rsidRPr="000A73FD">
        <w:rPr>
          <w:rFonts w:ascii="Bookman Old Style" w:hAnsi="Bookman Old Style" w:cs="Bookman Old Style"/>
          <w:sz w:val="24"/>
          <w:szCs w:val="24"/>
        </w:rPr>
        <w:t xml:space="preserve">nuovi regolamenti </w:t>
      </w:r>
      <w:r w:rsidR="00BD000F" w:rsidRPr="000A73FD">
        <w:rPr>
          <w:rFonts w:ascii="Bookman Old Style" w:hAnsi="Bookman Old Style" w:cs="Bookman Old Style"/>
          <w:sz w:val="24"/>
          <w:szCs w:val="24"/>
        </w:rPr>
        <w:t>di organizzazione (29 aprile</w:t>
      </w:r>
      <w:r w:rsidR="00F1760C" w:rsidRPr="000A73FD">
        <w:rPr>
          <w:rFonts w:ascii="Bookman Old Style" w:hAnsi="Bookman Old Style" w:cs="Bookman Old Style"/>
          <w:sz w:val="24"/>
          <w:szCs w:val="24"/>
        </w:rPr>
        <w:t xml:space="preserve"> 2019</w:t>
      </w:r>
      <w:r w:rsidR="00BD000F" w:rsidRPr="000A73FD">
        <w:rPr>
          <w:rFonts w:ascii="Bookman Old Style" w:hAnsi="Bookman Old Style" w:cs="Bookman Old Style"/>
          <w:sz w:val="24"/>
          <w:szCs w:val="24"/>
        </w:rPr>
        <w:t>), del personale (9 settembre</w:t>
      </w:r>
      <w:r w:rsidR="00F1760C" w:rsidRPr="000A73FD">
        <w:rPr>
          <w:rFonts w:ascii="Bookman Old Style" w:hAnsi="Bookman Old Style" w:cs="Bookman Old Style"/>
          <w:sz w:val="24"/>
          <w:szCs w:val="24"/>
        </w:rPr>
        <w:t xml:space="preserve"> 2019</w:t>
      </w:r>
      <w:r w:rsidR="00BD000F" w:rsidRPr="000A73FD">
        <w:rPr>
          <w:rFonts w:ascii="Bookman Old Style" w:hAnsi="Bookman Old Style" w:cs="Bookman Old Style"/>
          <w:sz w:val="24"/>
          <w:szCs w:val="24"/>
        </w:rPr>
        <w:t>) e di amministrazione, finanza e contabilità (13 dicembre</w:t>
      </w:r>
      <w:r w:rsidR="00F1760C" w:rsidRPr="000A73FD">
        <w:rPr>
          <w:rFonts w:ascii="Bookman Old Style" w:hAnsi="Bookman Old Style" w:cs="Bookman Old Style"/>
          <w:sz w:val="24"/>
          <w:szCs w:val="24"/>
        </w:rPr>
        <w:t xml:space="preserve"> 2019</w:t>
      </w:r>
      <w:r w:rsidR="00BD000F" w:rsidRPr="000A73FD">
        <w:rPr>
          <w:rFonts w:ascii="Bookman Old Style" w:hAnsi="Bookman Old Style" w:cs="Bookman Old Style"/>
          <w:sz w:val="24"/>
          <w:szCs w:val="24"/>
        </w:rPr>
        <w:t xml:space="preserve">). </w:t>
      </w:r>
    </w:p>
    <w:p w14:paraId="37980303" w14:textId="059BFE2D" w:rsidR="00CE1AFA" w:rsidRPr="00C124A3" w:rsidRDefault="00282F1C" w:rsidP="00CE1AFA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3C1002">
        <w:rPr>
          <w:rFonts w:ascii="Bookman Old Style" w:hAnsi="Bookman Old Style" w:cs="Bookman Old Style"/>
          <w:sz w:val="24"/>
          <w:szCs w:val="24"/>
        </w:rPr>
        <w:t xml:space="preserve">In relazione al contesto esterno, </w:t>
      </w:r>
      <w:r w:rsidR="00B91C38" w:rsidRPr="003C1002">
        <w:rPr>
          <w:rFonts w:ascii="Bookman Old Style" w:hAnsi="Bookman Old Style" w:cs="Bookman Old Style"/>
          <w:sz w:val="24"/>
          <w:szCs w:val="24"/>
        </w:rPr>
        <w:t>nel</w:t>
      </w:r>
      <w:r w:rsidRPr="003C1002">
        <w:rPr>
          <w:rFonts w:ascii="Bookman Old Style" w:hAnsi="Bookman Old Style" w:cs="Bookman Old Style"/>
          <w:sz w:val="24"/>
          <w:szCs w:val="24"/>
        </w:rPr>
        <w:t xml:space="preserve">l’anno di riferimento è </w:t>
      </w:r>
      <w:r w:rsidR="002C4493" w:rsidRPr="003C1002">
        <w:rPr>
          <w:rFonts w:ascii="Bookman Old Style" w:hAnsi="Bookman Old Style" w:cs="Bookman Old Style"/>
          <w:sz w:val="24"/>
          <w:szCs w:val="24"/>
        </w:rPr>
        <w:t xml:space="preserve">proseguita l’attività di </w:t>
      </w:r>
      <w:r w:rsidR="003C1002">
        <w:rPr>
          <w:rFonts w:ascii="Bookman Old Style" w:hAnsi="Bookman Old Style" w:cs="Bookman Old Style"/>
          <w:sz w:val="24"/>
          <w:szCs w:val="24"/>
        </w:rPr>
        <w:t xml:space="preserve">perfezionamento </w:t>
      </w:r>
      <w:r w:rsidR="002C4493" w:rsidRPr="003C1002">
        <w:rPr>
          <w:rFonts w:ascii="Bookman Old Style" w:hAnsi="Bookman Old Style" w:cs="Bookman Old Style"/>
          <w:sz w:val="24"/>
          <w:szCs w:val="24"/>
        </w:rPr>
        <w:t>de</w:t>
      </w:r>
      <w:r w:rsidR="00217DCD" w:rsidRPr="003C1002">
        <w:rPr>
          <w:rFonts w:ascii="Bookman Old Style" w:hAnsi="Bookman Old Style" w:cs="Bookman Old Style"/>
          <w:sz w:val="24"/>
          <w:szCs w:val="24"/>
        </w:rPr>
        <w:t>ll</w:t>
      </w:r>
      <w:r w:rsidR="003C1002">
        <w:rPr>
          <w:rFonts w:ascii="Bookman Old Style" w:hAnsi="Bookman Old Style" w:cs="Bookman Old Style"/>
          <w:sz w:val="24"/>
          <w:szCs w:val="24"/>
        </w:rPr>
        <w:t xml:space="preserve">a disciplina </w:t>
      </w:r>
      <w:r w:rsidR="00217DCD" w:rsidRPr="003C1002">
        <w:rPr>
          <w:rFonts w:ascii="Bookman Old Style" w:hAnsi="Bookman Old Style" w:cs="Bookman Old Style"/>
          <w:sz w:val="24"/>
          <w:szCs w:val="24"/>
        </w:rPr>
        <w:t>del ciclo di gestione della performance</w:t>
      </w:r>
      <w:r w:rsidR="00BD000F">
        <w:rPr>
          <w:rFonts w:ascii="Bookman Old Style" w:hAnsi="Bookman Old Style" w:cs="Bookman Old Style"/>
          <w:sz w:val="24"/>
          <w:szCs w:val="24"/>
        </w:rPr>
        <w:t>, con l’em</w:t>
      </w:r>
      <w:r w:rsidR="00E153B0">
        <w:rPr>
          <w:rFonts w:ascii="Bookman Old Style" w:hAnsi="Bookman Old Style" w:cs="Bookman Old Style"/>
          <w:sz w:val="24"/>
          <w:szCs w:val="24"/>
        </w:rPr>
        <w:t xml:space="preserve">anazione </w:t>
      </w:r>
      <w:r w:rsidR="00CE1AFA">
        <w:rPr>
          <w:rFonts w:ascii="Bookman Old Style" w:hAnsi="Bookman Old Style" w:cs="Bookman Old Style"/>
          <w:sz w:val="24"/>
          <w:szCs w:val="24"/>
        </w:rPr>
        <w:t xml:space="preserve">da parte </w:t>
      </w:r>
      <w:r w:rsidR="00CE1AFA" w:rsidRPr="00E153B0">
        <w:rPr>
          <w:rFonts w:ascii="Bookman Old Style" w:hAnsi="Bookman Old Style" w:cs="Bookman Old Style"/>
          <w:sz w:val="24"/>
          <w:szCs w:val="24"/>
        </w:rPr>
        <w:t>della Presidenza del Consiglio dei Ministri – Dipartimento della Funzione Pubblica – Ufficio per la Valutazione della Performance</w:t>
      </w:r>
      <w:r w:rsidR="00E153B0">
        <w:rPr>
          <w:rFonts w:ascii="Bookman Old Style" w:hAnsi="Bookman Old Style" w:cs="Bookman Old Style"/>
          <w:sz w:val="24"/>
          <w:szCs w:val="24"/>
        </w:rPr>
        <w:t xml:space="preserve">, nel mese di novembre, </w:t>
      </w:r>
      <w:r w:rsidR="00BD000F" w:rsidRPr="00E153B0">
        <w:rPr>
          <w:rFonts w:ascii="Bookman Old Style" w:hAnsi="Bookman Old Style" w:cs="Bookman Old Style"/>
          <w:sz w:val="24"/>
          <w:szCs w:val="24"/>
        </w:rPr>
        <w:t>del</w:t>
      </w:r>
      <w:r w:rsidR="00BD000F" w:rsidRPr="00E153B0">
        <w:rPr>
          <w:rFonts w:ascii="Bookman Old Style" w:hAnsi="Bookman Old Style" w:cs="Bookman Old Style"/>
          <w:bCs/>
          <w:sz w:val="24"/>
          <w:szCs w:val="24"/>
        </w:rPr>
        <w:t>le “Linee guida sulla valutazione partecipativa nelle amministrazioni pubbliche”</w:t>
      </w:r>
      <w:r w:rsidR="00E153B0" w:rsidRPr="00E153B0">
        <w:rPr>
          <w:rFonts w:ascii="Bookman Old Style" w:hAnsi="Bookman Old Style" w:cs="Bookman Old Style"/>
          <w:bCs/>
          <w:sz w:val="24"/>
          <w:szCs w:val="24"/>
        </w:rPr>
        <w:t xml:space="preserve"> (Linee Guida n. 4/2019)</w:t>
      </w:r>
      <w:r w:rsidR="00BD000F" w:rsidRPr="00E153B0">
        <w:rPr>
          <w:rFonts w:ascii="Bookman Old Style" w:hAnsi="Bookman Old Style" w:cs="Bookman Old Style"/>
          <w:sz w:val="24"/>
          <w:szCs w:val="24"/>
        </w:rPr>
        <w:t xml:space="preserve">, </w:t>
      </w:r>
      <w:r w:rsidR="00BD000F" w:rsidRPr="00E153B0">
        <w:rPr>
          <w:rFonts w:ascii="Bookman Old Style" w:hAnsi="Bookman Old Style" w:cs="Bookman Old Style"/>
          <w:bCs/>
          <w:sz w:val="24"/>
          <w:szCs w:val="24"/>
        </w:rPr>
        <w:t xml:space="preserve">allo scopo di fornire alle amministrazioni indicazioni metodologiche in merito alle modalità con cui assicurare il </w:t>
      </w:r>
      <w:r w:rsidR="00BD000F" w:rsidRPr="00E153B0">
        <w:rPr>
          <w:rFonts w:ascii="Bookman Old Style" w:hAnsi="Bookman Old Style" w:cs="Bookman Old Style"/>
          <w:bCs/>
          <w:sz w:val="24"/>
          <w:szCs w:val="24"/>
        </w:rPr>
        <w:lastRenderedPageBreak/>
        <w:t>coinvolgimento di cittadini e utenti nel processo di misurazione d</w:t>
      </w:r>
      <w:r w:rsidR="007C2CA1" w:rsidRPr="00E153B0">
        <w:rPr>
          <w:rFonts w:ascii="Bookman Old Style" w:hAnsi="Bookman Old Style" w:cs="Bookman Old Style"/>
          <w:bCs/>
          <w:sz w:val="24"/>
          <w:szCs w:val="24"/>
        </w:rPr>
        <w:t>ella performance organizzativa</w:t>
      </w:r>
      <w:r w:rsidR="00E153B0">
        <w:rPr>
          <w:rFonts w:ascii="Bookman Old Style" w:hAnsi="Bookman Old Style" w:cs="Bookman Old Style"/>
          <w:bCs/>
          <w:sz w:val="24"/>
          <w:szCs w:val="24"/>
        </w:rPr>
        <w:t xml:space="preserve">. </w:t>
      </w:r>
      <w:r w:rsidR="00CE1AFA" w:rsidRPr="00E153B0">
        <w:rPr>
          <w:rFonts w:ascii="Bookman Old Style" w:hAnsi="Bookman Old Style" w:cs="Bookman Old Style"/>
          <w:bCs/>
          <w:sz w:val="24"/>
          <w:szCs w:val="24"/>
        </w:rPr>
        <w:t xml:space="preserve">Nel mese di dicembre sono state emanate le “Linee guida per la misurazione e la valutazione della performance individuale” </w:t>
      </w:r>
      <w:r w:rsidR="00E153B0" w:rsidRPr="00E153B0">
        <w:rPr>
          <w:rFonts w:ascii="Bookman Old Style" w:hAnsi="Bookman Old Style" w:cs="Bookman Old Style"/>
          <w:bCs/>
          <w:sz w:val="24"/>
          <w:szCs w:val="24"/>
        </w:rPr>
        <w:t>(Linee guida n. 5/2019)</w:t>
      </w:r>
      <w:r w:rsidR="00E153B0">
        <w:rPr>
          <w:rFonts w:ascii="Bookman Old Style" w:hAnsi="Bookman Old Style" w:cs="Bookman Old Style"/>
          <w:bCs/>
          <w:sz w:val="24"/>
          <w:szCs w:val="24"/>
        </w:rPr>
        <w:t>,</w:t>
      </w:r>
      <w:r w:rsidR="00E153B0" w:rsidRPr="00E153B0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CE1AFA" w:rsidRPr="00E153B0">
        <w:rPr>
          <w:rFonts w:ascii="Bookman Old Style" w:hAnsi="Bookman Old Style" w:cs="Bookman Old Style"/>
          <w:bCs/>
          <w:sz w:val="24"/>
          <w:szCs w:val="24"/>
        </w:rPr>
        <w:t xml:space="preserve">al fine di fornire alle amministrazioni indicazioni dettagliate rispetto a quanto previsto nelle precedenti </w:t>
      </w:r>
      <w:r w:rsidR="00E153B0" w:rsidRPr="00E153B0">
        <w:rPr>
          <w:rFonts w:ascii="Bookman Old Style" w:hAnsi="Bookman Old Style" w:cs="Bookman Old Style"/>
          <w:bCs/>
          <w:sz w:val="24"/>
          <w:szCs w:val="24"/>
        </w:rPr>
        <w:t>L</w:t>
      </w:r>
      <w:r w:rsidR="00CE1AFA" w:rsidRPr="00E153B0">
        <w:rPr>
          <w:rFonts w:ascii="Bookman Old Style" w:hAnsi="Bookman Old Style" w:cs="Bookman Old Style"/>
          <w:bCs/>
          <w:sz w:val="24"/>
          <w:szCs w:val="24"/>
        </w:rPr>
        <w:t xml:space="preserve">inee </w:t>
      </w:r>
      <w:r w:rsidR="00E153B0">
        <w:rPr>
          <w:rFonts w:ascii="Bookman Old Style" w:hAnsi="Bookman Old Style" w:cs="Bookman Old Style"/>
          <w:bCs/>
          <w:sz w:val="24"/>
          <w:szCs w:val="24"/>
        </w:rPr>
        <w:t>G</w:t>
      </w:r>
      <w:r w:rsidR="00CE1AFA" w:rsidRPr="00E153B0">
        <w:rPr>
          <w:rFonts w:ascii="Bookman Old Style" w:hAnsi="Bookman Old Style" w:cs="Bookman Old Style"/>
          <w:bCs/>
          <w:sz w:val="24"/>
          <w:szCs w:val="24"/>
        </w:rPr>
        <w:t xml:space="preserve">uida e, in particolare, nelle </w:t>
      </w:r>
      <w:r w:rsidR="00E153B0">
        <w:rPr>
          <w:rFonts w:ascii="Bookman Old Style" w:hAnsi="Bookman Old Style" w:cs="Bookman Old Style"/>
          <w:bCs/>
          <w:sz w:val="24"/>
          <w:szCs w:val="24"/>
        </w:rPr>
        <w:t>L</w:t>
      </w:r>
      <w:r w:rsidR="00CE1AFA" w:rsidRPr="00E153B0">
        <w:rPr>
          <w:rFonts w:ascii="Bookman Old Style" w:hAnsi="Bookman Old Style" w:cs="Bookman Old Style"/>
          <w:bCs/>
          <w:sz w:val="24"/>
          <w:szCs w:val="24"/>
        </w:rPr>
        <w:t>inee n. 2/2017.</w:t>
      </w:r>
    </w:p>
    <w:p w14:paraId="5DB8571D" w14:textId="77777777" w:rsidR="00B20682" w:rsidRPr="00C124A3" w:rsidRDefault="00B20682" w:rsidP="009D3A7E">
      <w:pPr>
        <w:spacing w:before="600" w:after="120" w:line="360" w:lineRule="auto"/>
        <w:ind w:left="284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A.</w:t>
      </w:r>
      <w:r w:rsidR="004736BB" w:rsidRPr="00C124A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755A2" w:rsidRPr="00C124A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PERFORMANCE ORGANIZZATIVA</w:t>
      </w:r>
    </w:p>
    <w:p w14:paraId="03F2E940" w14:textId="60DA6847" w:rsidR="00F60A0B" w:rsidRPr="00C124A3" w:rsidRDefault="00CE086C" w:rsidP="009D7066">
      <w:pPr>
        <w:spacing w:before="36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A477B">
        <w:rPr>
          <w:rFonts w:ascii="Bookman Old Style" w:hAnsi="Bookman Old Style" w:cs="Bookman Old Style"/>
          <w:bCs/>
          <w:sz w:val="24"/>
          <w:szCs w:val="24"/>
        </w:rPr>
        <w:t xml:space="preserve">Nel </w:t>
      </w:r>
      <w:r w:rsidR="00F60A0B" w:rsidRPr="00723050">
        <w:rPr>
          <w:rFonts w:ascii="Bookman Old Style" w:hAnsi="Bookman Old Style" w:cs="Bookman Old Style"/>
          <w:bCs/>
          <w:sz w:val="24"/>
          <w:szCs w:val="24"/>
        </w:rPr>
        <w:t>201</w:t>
      </w:r>
      <w:r w:rsidR="00D649FE" w:rsidRPr="00723050">
        <w:rPr>
          <w:rFonts w:ascii="Bookman Old Style" w:hAnsi="Bookman Old Style" w:cs="Bookman Old Style"/>
          <w:bCs/>
          <w:sz w:val="24"/>
          <w:szCs w:val="24"/>
        </w:rPr>
        <w:t>9</w:t>
      </w:r>
      <w:r w:rsidRPr="00723050">
        <w:rPr>
          <w:rFonts w:ascii="Bookman Old Style" w:hAnsi="Bookman Old Style" w:cs="Bookman Old Style"/>
          <w:bCs/>
          <w:sz w:val="24"/>
          <w:szCs w:val="24"/>
        </w:rPr>
        <w:t xml:space="preserve"> è stato </w:t>
      </w:r>
      <w:r w:rsidR="00642B69" w:rsidRPr="00723050">
        <w:rPr>
          <w:rFonts w:ascii="Bookman Old Style" w:hAnsi="Bookman Old Style" w:cs="Bookman Old Style"/>
          <w:bCs/>
          <w:sz w:val="24"/>
          <w:szCs w:val="24"/>
        </w:rPr>
        <w:t>ulteriormente perfezionato</w:t>
      </w:r>
      <w:r w:rsidR="00D649FE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l’assetto d</w:t>
      </w:r>
      <w:r w:rsidR="002A477B">
        <w:rPr>
          <w:rFonts w:ascii="Bookman Old Style" w:hAnsi="Bookman Old Style" w:cs="Bookman Old Style"/>
          <w:bCs/>
          <w:sz w:val="24"/>
          <w:szCs w:val="24"/>
        </w:rPr>
        <w:t>el</w:t>
      </w:r>
      <w:r w:rsidR="008440EB" w:rsidRPr="00C124A3">
        <w:rPr>
          <w:rFonts w:ascii="Bookman Old Style" w:hAnsi="Bookman Old Style" w:cs="Bookman Old Style"/>
          <w:bCs/>
          <w:sz w:val="24"/>
          <w:szCs w:val="24"/>
        </w:rPr>
        <w:t xml:space="preserve"> processo relativo alla performance organizzativa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 xml:space="preserve">, conseguente alla ridefinizione del 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modello 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>di pianificazione</w:t>
      </w:r>
      <w:r w:rsidR="00642B69">
        <w:rPr>
          <w:rFonts w:ascii="Bookman Old Style" w:hAnsi="Bookman Old Style" w:cs="Bookman Old Style"/>
          <w:bCs/>
          <w:sz w:val="24"/>
          <w:szCs w:val="24"/>
        </w:rPr>
        <w:t>,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 avviato nel 2016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18EAFD71" w14:textId="0B62B0FC" w:rsidR="00F60A0B" w:rsidRPr="00C124A3" w:rsidRDefault="002A477B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A477B">
        <w:rPr>
          <w:rFonts w:ascii="Bookman Old Style" w:hAnsi="Bookman Old Style" w:cs="Bookman Old Style"/>
          <w:bCs/>
          <w:sz w:val="24"/>
          <w:szCs w:val="24"/>
        </w:rPr>
        <w:t>Tale modello,</w:t>
      </w:r>
      <w:r w:rsidR="00CE086C" w:rsidRPr="002A477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basato sulla metodologia del </w:t>
      </w:r>
      <w:r w:rsidR="008440EB" w:rsidRPr="002A477B">
        <w:rPr>
          <w:rFonts w:ascii="Bookman Old Style" w:hAnsi="Bookman Old Style" w:cs="Bookman Old Style"/>
          <w:bCs/>
          <w:i/>
          <w:sz w:val="24"/>
          <w:szCs w:val="24"/>
        </w:rPr>
        <w:t>project and portfolio management</w:t>
      </w:r>
      <w:r w:rsidR="008D2C42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(PPMO)</w:t>
      </w:r>
      <w:r w:rsidR="00B47C96">
        <w:rPr>
          <w:rFonts w:ascii="Bookman Old Style" w:hAnsi="Bookman Old Style" w:cs="Bookman Old Style"/>
          <w:bCs/>
          <w:i/>
          <w:sz w:val="24"/>
          <w:szCs w:val="24"/>
        </w:rPr>
        <w:t>,</w:t>
      </w:r>
      <w:r w:rsidR="00331399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maggiormente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orienta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>t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o ai risultati, 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 xml:space="preserve">essendo fondato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sull’integrazione delle fasi di definizione dei programmi statistici e dei servizi trasversali, con la relativa attribuzione delle risorse umane, finanziarie e strumentali.</w:t>
      </w:r>
    </w:p>
    <w:p w14:paraId="0A098C94" w14:textId="53FE7FF3" w:rsidR="00F60A0B" w:rsidRPr="00C124A3" w:rsidRDefault="00DE4427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Rispetto al tradizionale albero della performance, il modello 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 w:rsidR="00CE086C" w:rsidRPr="00C124A3">
        <w:rPr>
          <w:rFonts w:ascii="Bookman Old Style" w:hAnsi="Bookman Old Style" w:cs="Bookman Old Style"/>
          <w:bCs/>
          <w:sz w:val="24"/>
          <w:szCs w:val="24"/>
        </w:rPr>
        <w:t xml:space="preserve">caratterizzato da 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programmi</w:t>
      </w:r>
      <w:r w:rsidR="00E93A75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726075">
        <w:rPr>
          <w:rFonts w:ascii="Bookman Old Style" w:hAnsi="Bookman Old Style" w:cs="Bookman Old Style"/>
          <w:bCs/>
          <w:sz w:val="24"/>
          <w:szCs w:val="24"/>
        </w:rPr>
        <w:t>e linee strategiche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 xml:space="preserve"> che mirano a rafforzare la propensione alla crescita e all’innovazione e </w:t>
      </w:r>
      <w:r w:rsidR="00726075">
        <w:rPr>
          <w:rFonts w:ascii="Bookman Old Style" w:hAnsi="Bookman Old Style" w:cs="Bookman Old Style"/>
          <w:bCs/>
          <w:sz w:val="24"/>
          <w:szCs w:val="24"/>
        </w:rPr>
        <w:t xml:space="preserve">tendono a favorire il collegamento tra </w:t>
      </w:r>
      <w:r w:rsidR="00BA4498">
        <w:rPr>
          <w:rFonts w:ascii="Bookman Old Style" w:hAnsi="Bookman Old Style" w:cs="Bookman Old Style"/>
          <w:bCs/>
          <w:sz w:val="24"/>
          <w:szCs w:val="24"/>
        </w:rPr>
        <w:t>strategia generale e linee di attività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6610D4F0" w14:textId="1655AEF9" w:rsidR="00E93A75" w:rsidRPr="00880AEB" w:rsidRDefault="00880AEB" w:rsidP="00880AEB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Nell’anno di riferimento si è consolidato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il modello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c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he,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partendo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dalla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m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issione e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dalle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l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inee strategiche, ha definito sette Programmi </w:t>
      </w:r>
      <w:r w:rsidR="00F473D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strategici 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e due Obiettivi generali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, 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curando la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classificazione e la convergenza delle varie iniziative dell’Istituto verso le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l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inee strategiche.</w:t>
      </w:r>
    </w:p>
    <w:p w14:paraId="56E56796" w14:textId="788B7038" w:rsidR="00E93A75" w:rsidRDefault="00E93A75" w:rsidP="00880AEB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lastRenderedPageBreak/>
        <w:t>In</w:t>
      </w:r>
      <w:r w:rsidR="004F0B22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oltre, in 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coerenza con 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le previsioni del d. lgs. n. 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218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del 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2016,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è stata data</w:t>
      </w:r>
      <w:r w:rsidR="004F0B22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maggiore centralit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à 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alle attivit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à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di sviluppo della ricerca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,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attraverso l’aggiornamento delle</w:t>
      </w:r>
      <w:r w:rsid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l</w:t>
      </w:r>
      <w:r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inee strategiche</w:t>
      </w:r>
      <w:r w:rsidR="004F0B22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.</w:t>
      </w:r>
    </w:p>
    <w:p w14:paraId="1E7EA1DE" w14:textId="707681A6" w:rsidR="005A5703" w:rsidRPr="00C124A3" w:rsidRDefault="005A5703" w:rsidP="005A570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5A5703">
        <w:rPr>
          <w:rFonts w:ascii="Bookman Old Style" w:hAnsi="Bookman Old Style" w:cs="Bookman Old Style"/>
          <w:bCs/>
          <w:sz w:val="24"/>
          <w:szCs w:val="24"/>
        </w:rPr>
        <w:t>In un’ottica di semplificazione e razionalizzazione del processo di pianificazione delle attività dell’Istituto, si è provveduto ad innovare gli atti in materia, integrando in un unico documento</w:t>
      </w:r>
      <w:r w:rsidR="009F289F">
        <w:rPr>
          <w:rFonts w:ascii="Bookman Old Style" w:hAnsi="Bookman Old Style" w:cs="Bookman Old Style"/>
          <w:bCs/>
          <w:sz w:val="24"/>
          <w:szCs w:val="24"/>
        </w:rPr>
        <w:t xml:space="preserve"> (approvato dal Consiglio il 30 gennaio 2019)</w:t>
      </w:r>
      <w:r w:rsidRPr="005A5703">
        <w:rPr>
          <w:rFonts w:ascii="Bookman Old Style" w:hAnsi="Bookman Old Style" w:cs="Bookman Old Style"/>
          <w:bCs/>
          <w:sz w:val="24"/>
          <w:szCs w:val="24"/>
        </w:rPr>
        <w:t xml:space="preserve">: il Quadro strategico, il Piano di attività, </w:t>
      </w:r>
      <w:r w:rsidR="007F0B50" w:rsidRPr="005A5703">
        <w:rPr>
          <w:rFonts w:ascii="Bookman Old Style" w:hAnsi="Bookman Old Style" w:cs="Bookman Old Style"/>
          <w:bCs/>
          <w:sz w:val="24"/>
          <w:szCs w:val="24"/>
        </w:rPr>
        <w:t>il Piano della performance</w:t>
      </w:r>
      <w:r w:rsidR="007F0B50">
        <w:rPr>
          <w:rFonts w:ascii="Bookman Old Style" w:hAnsi="Bookman Old Style" w:cs="Bookman Old Style"/>
          <w:bCs/>
          <w:sz w:val="24"/>
          <w:szCs w:val="24"/>
        </w:rPr>
        <w:t xml:space="preserve"> e i fabbisogni di personale</w:t>
      </w:r>
      <w:r w:rsidR="007F0B50" w:rsidRPr="005A570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5A5703">
        <w:rPr>
          <w:rFonts w:ascii="Bookman Old Style" w:hAnsi="Bookman Old Style" w:cs="Bookman Old Style"/>
          <w:bCs/>
          <w:sz w:val="24"/>
          <w:szCs w:val="24"/>
        </w:rPr>
        <w:t>nonché gli aspetti da porre sotto osservazione per quanto attiene alle azioni in materia di anticorruzione e trasparenza.</w:t>
      </w:r>
    </w:p>
    <w:p w14:paraId="4D444331" w14:textId="7B7FC7F8" w:rsidR="005F2033" w:rsidRDefault="005F2033" w:rsidP="005F203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bCs/>
          <w:sz w:val="24"/>
          <w:szCs w:val="24"/>
        </w:rPr>
        <w:t>E’</w:t>
      </w:r>
      <w:proofErr w:type="gramEnd"/>
      <w:r>
        <w:rPr>
          <w:rFonts w:ascii="Bookman Old Style" w:hAnsi="Bookman Old Style" w:cs="Bookman Old Style"/>
          <w:bCs/>
          <w:sz w:val="24"/>
          <w:szCs w:val="24"/>
        </w:rPr>
        <w:t xml:space="preserve"> stata quindi confermata l’importanza d</w:t>
      </w:r>
      <w:r w:rsidR="00B47C96">
        <w:rPr>
          <w:rFonts w:ascii="Bookman Old Style" w:hAnsi="Bookman Old Style" w:cs="Bookman Old Style"/>
          <w:bCs/>
          <w:sz w:val="24"/>
          <w:szCs w:val="24"/>
        </w:rPr>
        <w:t>ella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“visione integrata” de</w:t>
      </w:r>
      <w:r w:rsidRPr="000252AB">
        <w:rPr>
          <w:rFonts w:ascii="Bookman Old Style" w:hAnsi="Bookman Old Style" w:cs="Bookman Old Style"/>
          <w:bCs/>
          <w:sz w:val="24"/>
          <w:szCs w:val="24"/>
        </w:rPr>
        <w:t>gli strumenti di programmazione strategico-gestionale.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 tal proposito, è importante sottolineare come costituisca parte integrante della programmazione annuale la gestione dei rischi, sia di natura organizzativa </w:t>
      </w:r>
      <w:r w:rsidR="00B47C96">
        <w:rPr>
          <w:rFonts w:ascii="Bookman Old Style" w:hAnsi="Bookman Old Style" w:cs="Bookman Old Style"/>
          <w:bCs/>
          <w:sz w:val="24"/>
          <w:szCs w:val="24"/>
        </w:rPr>
        <w:t>sia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di corruzione.</w:t>
      </w:r>
    </w:p>
    <w:p w14:paraId="7FCFD012" w14:textId="5D04A208" w:rsidR="0007743C" w:rsidRPr="00C124A3" w:rsidRDefault="00B06C0A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Sulla base della dimensione strategica dell’Istituto,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il Presidente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ha</w:t>
      </w:r>
      <w:r w:rsidR="000274D8">
        <w:rPr>
          <w:rFonts w:ascii="Bookman Old Style" w:hAnsi="Bookman Old Style" w:cs="Bookman Old Style"/>
          <w:bCs/>
          <w:sz w:val="24"/>
          <w:szCs w:val="24"/>
        </w:rPr>
        <w:t xml:space="preserve"> quindi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individua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e assegna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alla dirigenza generale </w:t>
      </w:r>
      <w:r w:rsidR="000274D8">
        <w:rPr>
          <w:rFonts w:ascii="Bookman Old Style" w:hAnsi="Bookman Old Style" w:cs="Bookman Old Style"/>
          <w:bCs/>
          <w:sz w:val="24"/>
          <w:szCs w:val="24"/>
        </w:rPr>
        <w:t xml:space="preserve">gli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o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biettivi </w:t>
      </w:r>
      <w:r w:rsidR="00640264" w:rsidRPr="00C124A3">
        <w:rPr>
          <w:rFonts w:ascii="Bookman Old Style" w:hAnsi="Bookman Old Style" w:cs="Bookman Old Style"/>
          <w:bCs/>
          <w:sz w:val="24"/>
          <w:szCs w:val="24"/>
        </w:rPr>
        <w:t>individuali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collegati ad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iniziative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definit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8E1138" w:rsidRPr="00C124A3">
        <w:rPr>
          <w:rFonts w:ascii="Bookman Old Style" w:hAnsi="Bookman Old Style" w:cs="Bookman Old Style"/>
          <w:bCs/>
          <w:sz w:val="24"/>
          <w:szCs w:val="24"/>
        </w:rPr>
        <w:t>su orizzonti temporali annuali</w:t>
      </w:r>
      <w:r w:rsidR="000E6EDA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626E5014" w14:textId="77777777" w:rsidR="0018022A" w:rsidRPr="00C124A3" w:rsidRDefault="0018022A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Le iniziative rappresentano le unità elementari</w:t>
      </w:r>
      <w:r w:rsidR="00252BF8" w:rsidRPr="00C124A3">
        <w:rPr>
          <w:rFonts w:ascii="Bookman Old Style" w:hAnsi="Bookman Old Style" w:cs="Bookman Old Style"/>
          <w:bCs/>
          <w:sz w:val="24"/>
          <w:szCs w:val="24"/>
        </w:rPr>
        <w:t xml:space="preserve"> in cui si articola la programmazione operativa. Ad esse sono associate risultati prefissati, risorse umane ed economiche, tempi e output definiti. In corso d’anno, sono soggette a monitoraggi periodici. </w:t>
      </w:r>
    </w:p>
    <w:p w14:paraId="3D02EDC0" w14:textId="77777777" w:rsidR="00F24E42" w:rsidRPr="00C124A3" w:rsidRDefault="00F24E42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La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metodologia di valutazione della performance organizzativa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continua ad essere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basata sull’analisi dei risultati conseguiti nell’anno, in rapporto alle priorità determinate con l’adozione de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i Programmi strategici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 anche avvalendosi di un confronto con l’ultimo triennio.</w:t>
      </w:r>
    </w:p>
    <w:p w14:paraId="3467BA77" w14:textId="4133AD6C" w:rsidR="00F24E42" w:rsidRPr="00522DEB" w:rsidRDefault="00F24E42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lastRenderedPageBreak/>
        <w:t>I macro-ambiti di riferimento, individuati nel Sistema di promozione, misurazione e valutazione della performance (Sistema)</w:t>
      </w:r>
      <w:r w:rsidR="00F65534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secondo un criterio di aggregazione degli amb</w:t>
      </w:r>
      <w:r w:rsidR="00522DEB">
        <w:rPr>
          <w:rFonts w:ascii="Bookman Old Style" w:hAnsi="Bookman Old Style" w:cs="Bookman Old Style"/>
          <w:bCs/>
          <w:sz w:val="24"/>
          <w:szCs w:val="24"/>
        </w:rPr>
        <w:t>iti previsti dall’art. 8 del d.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lgs. n. 150 del 2009, sono il grado di attuazione della strategia, il portafoglio delle attività e lo stato di salute dell’amministrazione</w:t>
      </w:r>
      <w:r w:rsidRPr="00522DEB">
        <w:rPr>
          <w:rFonts w:ascii="Bookman Old Style" w:hAnsi="Bookman Old Style" w:cs="Bookman Old Style"/>
          <w:bCs/>
          <w:sz w:val="24"/>
          <w:szCs w:val="24"/>
        </w:rPr>
        <w:t>.</w:t>
      </w:r>
      <w:r w:rsidR="00F17110" w:rsidRPr="00522D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17110" w:rsidRPr="00A11E43">
        <w:rPr>
          <w:rFonts w:ascii="Bookman Old Style" w:hAnsi="Bookman Old Style" w:cs="Bookman Old Style"/>
          <w:bCs/>
          <w:sz w:val="24"/>
          <w:szCs w:val="24"/>
        </w:rPr>
        <w:t>Il Sistema vigente è stato adottato nel 2013, ma è importante sottolineare</w:t>
      </w:r>
      <w:r w:rsidR="00371113" w:rsidRPr="00A11E4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02751">
        <w:rPr>
          <w:rFonts w:ascii="Bookman Old Style" w:hAnsi="Bookman Old Style" w:cs="Bookman Old Style"/>
          <w:bCs/>
          <w:sz w:val="24"/>
          <w:szCs w:val="24"/>
        </w:rPr>
        <w:t>che</w:t>
      </w:r>
      <w:r w:rsidR="00A11E43">
        <w:rPr>
          <w:rFonts w:ascii="Bookman Old Style" w:hAnsi="Bookman Old Style" w:cs="Bookman Old Style"/>
          <w:bCs/>
          <w:sz w:val="24"/>
          <w:szCs w:val="24"/>
        </w:rPr>
        <w:t xml:space="preserve"> nell’anno di riferimento </w:t>
      </w:r>
      <w:r w:rsidR="00A11E43" w:rsidRPr="00A11E43">
        <w:rPr>
          <w:rFonts w:ascii="Bookman Old Style" w:hAnsi="Bookman Old Style" w:cs="Bookman Old Style"/>
          <w:bCs/>
          <w:sz w:val="24"/>
          <w:szCs w:val="24"/>
        </w:rPr>
        <w:t>ha ultimato i propri lavori</w:t>
      </w:r>
      <w:r w:rsidR="00A11E43">
        <w:rPr>
          <w:rFonts w:ascii="Bookman Old Style" w:hAnsi="Bookman Old Style" w:cs="Bookman Old Style"/>
          <w:bCs/>
          <w:sz w:val="24"/>
          <w:szCs w:val="24"/>
        </w:rPr>
        <w:t xml:space="preserve"> la t</w:t>
      </w:r>
      <w:r w:rsidR="00E276BB" w:rsidRPr="00A11E43">
        <w:rPr>
          <w:rFonts w:ascii="Bookman Old Style" w:hAnsi="Bookman Old Style" w:cs="Bookman Old Style"/>
          <w:bCs/>
          <w:sz w:val="24"/>
          <w:szCs w:val="24"/>
        </w:rPr>
        <w:t>ask force</w:t>
      </w:r>
      <w:r w:rsidR="00202751">
        <w:rPr>
          <w:rFonts w:ascii="Bookman Old Style" w:hAnsi="Bookman Old Style" w:cs="Bookman Old Style"/>
          <w:bCs/>
          <w:sz w:val="24"/>
          <w:szCs w:val="24"/>
        </w:rPr>
        <w:t>,</w:t>
      </w:r>
      <w:r w:rsidR="00E276BB" w:rsidRPr="00A11E4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A11E43">
        <w:rPr>
          <w:rFonts w:ascii="Bookman Old Style" w:hAnsi="Bookman Old Style" w:cs="Bookman Old Style"/>
          <w:bCs/>
          <w:sz w:val="24"/>
          <w:szCs w:val="24"/>
        </w:rPr>
        <w:t>istituita nel 2018</w:t>
      </w:r>
      <w:r w:rsidR="00202751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F17110" w:rsidRPr="00A11E43">
        <w:rPr>
          <w:rFonts w:ascii="Bookman Old Style" w:hAnsi="Bookman Old Style" w:cs="Bookman Old Style"/>
          <w:bCs/>
          <w:sz w:val="24"/>
          <w:szCs w:val="24"/>
        </w:rPr>
        <w:t>con il compito, tra gli altri, di proporre elementi per l</w:t>
      </w:r>
      <w:r w:rsidR="00522DEB" w:rsidRPr="00A11E43">
        <w:rPr>
          <w:rFonts w:ascii="Bookman Old Style" w:hAnsi="Bookman Old Style" w:cs="Bookman Old Style"/>
          <w:bCs/>
          <w:sz w:val="24"/>
          <w:szCs w:val="24"/>
        </w:rPr>
        <w:t>a definizione del nuovo Sistema.</w:t>
      </w:r>
    </w:p>
    <w:p w14:paraId="7F154DB2" w14:textId="71F8621A" w:rsidR="00FC64FB" w:rsidRDefault="00AF50CA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bCs/>
          <w:sz w:val="24"/>
          <w:szCs w:val="24"/>
        </w:rPr>
        <w:t>E’</w:t>
      </w:r>
      <w:proofErr w:type="gramEnd"/>
      <w:r>
        <w:rPr>
          <w:rFonts w:ascii="Bookman Old Style" w:hAnsi="Bookman Old Style" w:cs="Bookman Old Style"/>
          <w:bCs/>
          <w:sz w:val="24"/>
          <w:szCs w:val="24"/>
        </w:rPr>
        <w:t xml:space="preserve"> opportuno evidenziare che l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 xml:space="preserve">’Istituto </w:t>
      </w:r>
      <w:r w:rsidR="0044794F">
        <w:rPr>
          <w:rFonts w:ascii="Bookman Old Style" w:hAnsi="Bookman Old Style" w:cs="Bookman Old Style"/>
          <w:bCs/>
          <w:sz w:val="24"/>
          <w:szCs w:val="24"/>
        </w:rPr>
        <w:t xml:space="preserve">nel 2019 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>ha aderito alla fase di sperimentazione proposta dal Dipartimento della Funzione Pubblica per sviluppare un sistema di indicatori utili a misurare l’andamento delle funzioni di supporto all’attività core delle amministrazioni</w:t>
      </w:r>
      <w:r w:rsidR="0044794F"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 xml:space="preserve"> identificate nelle risorse umane, negli approv</w:t>
      </w:r>
      <w:r w:rsidR="00B202E1" w:rsidRPr="00AF50CA">
        <w:rPr>
          <w:rFonts w:ascii="Bookman Old Style" w:hAnsi="Bookman Old Style" w:cs="Bookman Old Style"/>
          <w:bCs/>
          <w:sz w:val="24"/>
          <w:szCs w:val="24"/>
        </w:rPr>
        <w:t>v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>igionamenti e immobili, nelle risorse informatiche</w:t>
      </w:r>
      <w:r w:rsidR="0044794F"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196F91" w:rsidRPr="00AF50CA">
        <w:rPr>
          <w:rFonts w:ascii="Bookman Old Style" w:hAnsi="Bookman Old Style" w:cs="Bookman Old Style"/>
          <w:bCs/>
          <w:sz w:val="24"/>
          <w:szCs w:val="24"/>
        </w:rPr>
        <w:t xml:space="preserve">nella </w:t>
      </w:r>
      <w:r w:rsidR="00FC64FB" w:rsidRPr="00AF50CA">
        <w:rPr>
          <w:rFonts w:ascii="Bookman Old Style" w:hAnsi="Bookman Old Style" w:cs="Bookman Old Style"/>
          <w:bCs/>
          <w:sz w:val="24"/>
          <w:szCs w:val="24"/>
        </w:rPr>
        <w:t>digitalizzazione</w:t>
      </w:r>
      <w:r w:rsidR="0044794F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196F91" w:rsidRPr="00AF50CA">
        <w:rPr>
          <w:rFonts w:ascii="Bookman Old Style" w:hAnsi="Bookman Old Style" w:cs="Bookman Old Style"/>
          <w:bCs/>
          <w:sz w:val="24"/>
          <w:szCs w:val="24"/>
        </w:rPr>
        <w:t xml:space="preserve">nella comunicazione e nella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>trasparenza.</w:t>
      </w:r>
      <w:r w:rsidR="00FC64F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6F52A39E" w14:textId="0A7EE96F" w:rsidR="003D5A51" w:rsidRPr="0044794F" w:rsidRDefault="0044794F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4794F">
        <w:rPr>
          <w:rFonts w:ascii="Bookman Old Style" w:hAnsi="Bookman Old Style" w:cs="Bookman Old Style"/>
          <w:bCs/>
          <w:sz w:val="24"/>
          <w:szCs w:val="24"/>
        </w:rPr>
        <w:t xml:space="preserve">Nel mese di luglio </w:t>
      </w:r>
      <w:r>
        <w:rPr>
          <w:rFonts w:ascii="Bookman Old Style" w:hAnsi="Bookman Old Style" w:cs="Bookman Old Style"/>
          <w:bCs/>
          <w:sz w:val="24"/>
          <w:szCs w:val="24"/>
        </w:rPr>
        <w:t>è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 xml:space="preserve"> stata avviata la prima rilevazione, relativa al periodo 1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>gennaio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>-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>30 giugno, a cui è seguita nel mese di novembre la seconda rilevazione</w:t>
      </w:r>
      <w:r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 xml:space="preserve"> relativa al periodo 1 gennaio</w:t>
      </w:r>
      <w:r w:rsidR="003D5A51" w:rsidRPr="0044794F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>-</w:t>
      </w:r>
      <w:r w:rsidR="003D5A51" w:rsidRPr="0044794F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44794F">
        <w:rPr>
          <w:rFonts w:ascii="Bookman Old Style" w:hAnsi="Bookman Old Style" w:cs="Bookman Old Style"/>
          <w:bCs/>
          <w:sz w:val="24"/>
          <w:szCs w:val="24"/>
        </w:rPr>
        <w:t xml:space="preserve">30 settembre. </w:t>
      </w:r>
    </w:p>
    <w:p w14:paraId="505BCB46" w14:textId="44F8E0C7" w:rsidR="00FC64FB" w:rsidRDefault="003D5A51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Al fine di poter sviluppare </w:t>
      </w:r>
      <w:r w:rsidR="008E30F2">
        <w:rPr>
          <w:rFonts w:ascii="Bookman Old Style" w:hAnsi="Bookman Old Style" w:cs="Bookman Old Style"/>
          <w:bCs/>
          <w:sz w:val="24"/>
          <w:szCs w:val="24"/>
        </w:rPr>
        <w:t>il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sistema di misurazione della performance organizzativa integrat</w:t>
      </w:r>
      <w:r w:rsidR="00DA2BAB">
        <w:rPr>
          <w:rFonts w:ascii="Bookman Old Style" w:hAnsi="Bookman Old Style" w:cs="Bookman Old Style"/>
          <w:bCs/>
          <w:sz w:val="24"/>
          <w:szCs w:val="24"/>
        </w:rPr>
        <w:t>o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con il controllo di gestione, in grado di rendicontare il miglioramento e il rafforzamento dell’azione e della capacità amministrativa complessiva dell’Istituto, è stata pertanto costituita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nel mese di ottobre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una </w:t>
      </w:r>
      <w:r w:rsidR="000D3FFB">
        <w:rPr>
          <w:rFonts w:ascii="Bookman Old Style" w:hAnsi="Bookman Old Style" w:cs="Bookman Old Style"/>
          <w:bCs/>
          <w:sz w:val="24"/>
          <w:szCs w:val="24"/>
        </w:rPr>
        <w:t>t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ask </w:t>
      </w:r>
      <w:r w:rsidR="000D3FFB">
        <w:rPr>
          <w:rFonts w:ascii="Bookman Old Style" w:hAnsi="Bookman Old Style" w:cs="Bookman Old Style"/>
          <w:bCs/>
          <w:sz w:val="24"/>
          <w:szCs w:val="24"/>
        </w:rPr>
        <w:t>f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orce trasversale</w:t>
      </w:r>
      <w:r w:rsidR="000D3FFB">
        <w:rPr>
          <w:rFonts w:ascii="Bookman Old Style" w:hAnsi="Bookman Old Style" w:cs="Bookman Old Style"/>
          <w:bCs/>
          <w:sz w:val="24"/>
          <w:szCs w:val="24"/>
        </w:rPr>
        <w:t>,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avente il compito di delineare il sistema metodologico e costruirne il relativo cruscotto base (profili di misurazione, indicatori, modalità di calcolo, valore base, fonti).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Tale </w:t>
      </w:r>
      <w:r w:rsidR="000D3FFB">
        <w:rPr>
          <w:rFonts w:ascii="Bookman Old Style" w:hAnsi="Bookman Old Style" w:cs="Bookman Old Style"/>
          <w:bCs/>
          <w:sz w:val="24"/>
          <w:szCs w:val="24"/>
        </w:rPr>
        <w:t>t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ask </w:t>
      </w:r>
      <w:r w:rsidR="000D3FFB">
        <w:rPr>
          <w:rFonts w:ascii="Bookman Old Style" w:hAnsi="Bookman Old Style" w:cs="Bookman Old Style"/>
          <w:bCs/>
          <w:sz w:val="24"/>
          <w:szCs w:val="24"/>
        </w:rPr>
        <w:t>f</w:t>
      </w:r>
      <w:r>
        <w:rPr>
          <w:rFonts w:ascii="Bookman Old Style" w:hAnsi="Bookman Old Style" w:cs="Bookman Old Style"/>
          <w:bCs/>
          <w:sz w:val="24"/>
          <w:szCs w:val="24"/>
        </w:rPr>
        <w:t>orce ha effettuato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alla fine del mese di </w:t>
      </w:r>
      <w:r>
        <w:rPr>
          <w:rFonts w:ascii="Bookman Old Style" w:hAnsi="Bookman Old Style" w:cs="Bookman Old Style"/>
          <w:bCs/>
          <w:sz w:val="24"/>
          <w:szCs w:val="24"/>
        </w:rPr>
        <w:lastRenderedPageBreak/>
        <w:t>dicembre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l’</w:t>
      </w:r>
      <w:r w:rsidR="00FC64FB" w:rsidRPr="000D3FFB">
        <w:rPr>
          <w:rFonts w:ascii="Bookman Old Style" w:hAnsi="Bookman Old Style" w:cs="Bookman Old Style"/>
          <w:bCs/>
          <w:sz w:val="24"/>
          <w:szCs w:val="24"/>
        </w:rPr>
        <w:t>analisi conclusi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va dei dati e la scelta del set definitivo di indicatori da utilizzare nell’ambito del ciclo della performance 2020-2022.</w:t>
      </w:r>
    </w:p>
    <w:p w14:paraId="6C922567" w14:textId="35188F60" w:rsidR="00AD00D8" w:rsidRDefault="00AD00D8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0D3FFB">
        <w:rPr>
          <w:rFonts w:ascii="Bookman Old Style" w:hAnsi="Bookman Old Style" w:cs="Bookman Old Style"/>
          <w:bCs/>
          <w:sz w:val="24"/>
          <w:szCs w:val="24"/>
        </w:rPr>
        <w:t>A</w:t>
      </w:r>
      <w:r w:rsidR="000D3FFB">
        <w:rPr>
          <w:rFonts w:ascii="Bookman Old Style" w:hAnsi="Bookman Old Style" w:cs="Bookman Old Style"/>
          <w:bCs/>
          <w:sz w:val="24"/>
          <w:szCs w:val="24"/>
        </w:rPr>
        <w:t>ll’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esito d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ella 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sperimentazione svolta dal D</w:t>
      </w:r>
      <w:r w:rsidR="000D3FFB">
        <w:rPr>
          <w:rFonts w:ascii="Bookman Old Style" w:hAnsi="Bookman Old Style" w:cs="Bookman Old Style"/>
          <w:bCs/>
          <w:sz w:val="24"/>
          <w:szCs w:val="24"/>
        </w:rPr>
        <w:t>ipartimento della Funzione pubblica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con varie amministrazioni, il Ministro per la Pubblica amministrazione ha adottato il 30 dicembre 2019 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 xml:space="preserve">la </w:t>
      </w:r>
      <w:r w:rsidR="00DA2BAB">
        <w:rPr>
          <w:rFonts w:ascii="Bookman Old Style" w:hAnsi="Bookman Old Style" w:cs="Bookman Old Style"/>
          <w:bCs/>
          <w:sz w:val="24"/>
          <w:szCs w:val="24"/>
        </w:rPr>
        <w:t>C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ircolare sugli indicatori comuni relativi alle funzioni di supporto svolte dalle pubbliche amministrazioni</w:t>
      </w:r>
      <w:r w:rsidR="000D3FFB">
        <w:rPr>
          <w:rFonts w:ascii="Bookman Old Style" w:hAnsi="Bookman Old Style" w:cs="Bookman Old Style"/>
          <w:bCs/>
          <w:sz w:val="24"/>
          <w:szCs w:val="24"/>
        </w:rPr>
        <w:t xml:space="preserve">, relativamente al ciclo della performance </w:t>
      </w:r>
      <w:r w:rsidR="000D3FFB" w:rsidRPr="000D3FFB">
        <w:rPr>
          <w:rFonts w:ascii="Bookman Old Style" w:hAnsi="Bookman Old Style" w:cs="Bookman Old Style"/>
          <w:bCs/>
          <w:sz w:val="24"/>
          <w:szCs w:val="24"/>
        </w:rPr>
        <w:t>2020-2022</w:t>
      </w:r>
      <w:r w:rsidRPr="000D3FFB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3DB1CC9D" w14:textId="77777777" w:rsidR="00B20682" w:rsidRPr="00C124A3" w:rsidRDefault="00B20682" w:rsidP="00C649A0">
      <w:pPr>
        <w:spacing w:before="60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/>
          <w:sz w:val="24"/>
          <w:szCs w:val="24"/>
        </w:rPr>
        <w:t>B.  PERFORMANCE INDIVIDUALE</w:t>
      </w:r>
      <w:r w:rsidR="00331399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14:paraId="690387F6" w14:textId="5C876F8B" w:rsidR="00346D46" w:rsidRPr="00C124A3" w:rsidRDefault="009A7186" w:rsidP="00FD6EB3">
      <w:pPr>
        <w:spacing w:before="36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N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ell’anno di riferimento l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metodologi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di valutazione della performance individuale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 xml:space="preserve"> è rimasta invariata, anche se ricalibrata in conseguenza del modello di pianificazione strategica e operativa adottato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4783DBE8" w14:textId="0BB209A5" w:rsidR="00B20682" w:rsidRPr="00C124A3" w:rsidRDefault="00346D46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 particolare,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i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generali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sono valutati dal Presidente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sulla base de</w:t>
      </w:r>
      <w:r w:rsidR="00677855" w:rsidRPr="00C124A3">
        <w:rPr>
          <w:rFonts w:ascii="Bookman Old Style" w:hAnsi="Bookman Old Style" w:cs="Bookman Old Style"/>
          <w:bCs/>
          <w:sz w:val="24"/>
          <w:szCs w:val="24"/>
        </w:rPr>
        <w:t xml:space="preserve">gli elementi forniti </w:t>
      </w:r>
      <w:r w:rsidR="00F35943">
        <w:rPr>
          <w:rFonts w:ascii="Bookman Old Style" w:hAnsi="Bookman Old Style" w:cs="Bookman Old Style"/>
          <w:bCs/>
          <w:sz w:val="24"/>
          <w:szCs w:val="24"/>
        </w:rPr>
        <w:t>d</w:t>
      </w:r>
      <w:r w:rsidR="0067785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ll’OIV, in relazione al 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lla struttura organizzativa diretta</w:t>
      </w:r>
      <w:r w:rsidR="008E30F2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con riferimento ai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posti in essere. </w:t>
      </w:r>
    </w:p>
    <w:p w14:paraId="28983092" w14:textId="21BE9061" w:rsidR="00B20682" w:rsidRPr="00C124A3" w:rsidRDefault="00017A9D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Analoga è la metodologia di valutazione prevista per 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non generali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valutati dal </w:t>
      </w:r>
      <w:r w:rsidR="00315C85">
        <w:rPr>
          <w:rFonts w:ascii="Bookman Old Style" w:hAnsi="Bookman Old Style" w:cs="Bookman Old Style"/>
          <w:bCs/>
          <w:sz w:val="24"/>
          <w:szCs w:val="24"/>
        </w:rPr>
        <w:t xml:space="preserve">proprio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dirigente generale, in relazione al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lla struttura coordinata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in relazione ai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messi in atto.</w:t>
      </w:r>
    </w:p>
    <w:p w14:paraId="718C09FB" w14:textId="77777777" w:rsidR="00133308" w:rsidRDefault="00133308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lastRenderedPageBreak/>
        <w:t xml:space="preserve">Per quanto riguarda il personale 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 xml:space="preserve">non dirigenziale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dei livelli I-VIII, il Sistema prevede che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 xml:space="preserve">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linee di attività assegnat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siano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quelle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ne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quali la risorsa è impiegata secondo quanto risulta dalla program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mazione annuale delle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 Attraverso la valutazione dei risultati conseguiti viene anche effettuata la valutazione dei comportamenti organizzativi dimostrati dal dipendente, in quanto funzionali al raggiungimento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e finalizzati al perseguimento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 xml:space="preserve">lle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stess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2467E430" w14:textId="77777777" w:rsidR="00B20682" w:rsidRPr="00C124A3" w:rsidRDefault="00B20682" w:rsidP="00672114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C. PROCESSO DI ATTUAZIONE DEL CICLO DELLA PERFORMANCE</w:t>
      </w:r>
    </w:p>
    <w:p w14:paraId="40A9BE9C" w14:textId="6240B215" w:rsidR="001A2A8C" w:rsidRPr="00C124A3" w:rsidRDefault="001A2A8C" w:rsidP="003606CD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070F2">
        <w:rPr>
          <w:rFonts w:ascii="Bookman Old Style" w:hAnsi="Bookman Old Style" w:cs="Bookman Old Style"/>
          <w:sz w:val="24"/>
          <w:szCs w:val="24"/>
        </w:rPr>
        <w:t>I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 xml:space="preserve"> </w:t>
      </w:r>
      <w:r w:rsidR="00220601" w:rsidRPr="00C070F2">
        <w:rPr>
          <w:rFonts w:ascii="Bookman Old Style" w:hAnsi="Bookman Old Style" w:cs="Bookman Old Style"/>
          <w:sz w:val="24"/>
          <w:szCs w:val="24"/>
        </w:rPr>
        <w:t>principali documenti programmat</w:t>
      </w:r>
      <w:r w:rsidRPr="00C070F2">
        <w:rPr>
          <w:rFonts w:ascii="Bookman Old Style" w:hAnsi="Bookman Old Style" w:cs="Bookman Old Style"/>
          <w:sz w:val="24"/>
          <w:szCs w:val="24"/>
        </w:rPr>
        <w:t>ici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 xml:space="preserve"> del ciclo della performance, rappresentati dal </w:t>
      </w:r>
      <w:r w:rsidRPr="00834B53">
        <w:rPr>
          <w:rFonts w:ascii="Bookman Old Style" w:hAnsi="Bookman Old Style" w:cs="Bookman Old Style"/>
          <w:sz w:val="24"/>
          <w:szCs w:val="24"/>
        </w:rPr>
        <w:t>Piano della Performance 201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>9</w:t>
      </w:r>
      <w:r w:rsidR="003606CD" w:rsidRPr="00834B53">
        <w:rPr>
          <w:rFonts w:ascii="Bookman Old Style" w:hAnsi="Bookman Old Style" w:cs="Bookman Old Style"/>
          <w:sz w:val="24"/>
          <w:szCs w:val="24"/>
        </w:rPr>
        <w:t>-20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>21</w:t>
      </w:r>
      <w:r w:rsidRPr="00834B53">
        <w:rPr>
          <w:rFonts w:ascii="Bookman Old Style" w:hAnsi="Bookman Old Style" w:cs="Bookman Old Style"/>
          <w:sz w:val="24"/>
          <w:szCs w:val="24"/>
        </w:rPr>
        <w:t xml:space="preserve"> e </w:t>
      </w:r>
      <w:r w:rsidR="00FA147D" w:rsidRPr="00834B53">
        <w:rPr>
          <w:rFonts w:ascii="Bookman Old Style" w:hAnsi="Bookman Old Style" w:cs="Bookman Old Style"/>
          <w:sz w:val="24"/>
          <w:szCs w:val="24"/>
        </w:rPr>
        <w:t>da</w:t>
      </w:r>
      <w:r w:rsidRPr="00834B53">
        <w:rPr>
          <w:rFonts w:ascii="Bookman Old Style" w:hAnsi="Bookman Old Style" w:cs="Bookman Old Style"/>
          <w:sz w:val="24"/>
          <w:szCs w:val="24"/>
        </w:rPr>
        <w:t>l Piano Triennale di Prevenzione della Corruzione 201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>9</w:t>
      </w:r>
      <w:r w:rsidRPr="00834B53">
        <w:rPr>
          <w:rFonts w:ascii="Bookman Old Style" w:hAnsi="Bookman Old Style" w:cs="Bookman Old Style"/>
          <w:sz w:val="24"/>
          <w:szCs w:val="24"/>
        </w:rPr>
        <w:t>-20</w:t>
      </w:r>
      <w:r w:rsidR="00897BC6" w:rsidRPr="00834B53">
        <w:rPr>
          <w:rFonts w:ascii="Bookman Old Style" w:hAnsi="Bookman Old Style" w:cs="Bookman Old Style"/>
          <w:sz w:val="24"/>
          <w:szCs w:val="24"/>
        </w:rPr>
        <w:t>2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>1</w:t>
      </w:r>
      <w:r w:rsidRPr="00C070F2">
        <w:rPr>
          <w:rFonts w:ascii="Bookman Old Style" w:hAnsi="Bookman Old Style" w:cs="Bookman Old Style"/>
          <w:sz w:val="24"/>
          <w:szCs w:val="24"/>
        </w:rPr>
        <w:t>, con la specifica sezione dedicata ai contenuti in materia di tras</w:t>
      </w:r>
      <w:r w:rsidR="00C070F2">
        <w:rPr>
          <w:rFonts w:ascii="Bookman Old Style" w:hAnsi="Bookman Old Style" w:cs="Bookman Old Style"/>
          <w:sz w:val="24"/>
          <w:szCs w:val="24"/>
        </w:rPr>
        <w:t>parenza, obblighi di pubblicità 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diritto di accesso civico, sono stati approvati dal Consiglio</w:t>
      </w:r>
      <w:r w:rsidR="00834B53">
        <w:rPr>
          <w:rFonts w:ascii="Bookman Old Style" w:hAnsi="Bookman Old Style" w:cs="Bookman Old Style"/>
          <w:sz w:val="24"/>
          <w:szCs w:val="24"/>
        </w:rPr>
        <w:t xml:space="preserve">, 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rispettivamente</w:t>
      </w:r>
      <w:r w:rsidR="00834B53">
        <w:rPr>
          <w:rFonts w:ascii="Bookman Old Style" w:hAnsi="Bookman Old Style" w:cs="Bookman Old Style"/>
          <w:sz w:val="24"/>
          <w:szCs w:val="24"/>
        </w:rPr>
        <w:t>,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 xml:space="preserve"> </w:t>
      </w:r>
      <w:r w:rsidRPr="00C070F2">
        <w:rPr>
          <w:rFonts w:ascii="Bookman Old Style" w:hAnsi="Bookman Old Style" w:cs="Bookman Old Style"/>
          <w:sz w:val="24"/>
          <w:szCs w:val="24"/>
        </w:rPr>
        <w:t>nell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sedut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del 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 xml:space="preserve">30 </w:t>
      </w:r>
      <w:r w:rsidR="00897BC6" w:rsidRPr="00834B53">
        <w:rPr>
          <w:rFonts w:ascii="Bookman Old Style" w:hAnsi="Bookman Old Style" w:cs="Bookman Old Style"/>
          <w:sz w:val="24"/>
          <w:szCs w:val="24"/>
        </w:rPr>
        <w:t>gennaio e del 2</w:t>
      </w:r>
      <w:r w:rsidR="006B1209" w:rsidRPr="00834B53">
        <w:rPr>
          <w:rFonts w:ascii="Bookman Old Style" w:hAnsi="Bookman Old Style" w:cs="Bookman Old Style"/>
          <w:sz w:val="24"/>
          <w:szCs w:val="24"/>
        </w:rPr>
        <w:t>0 marzo 2019</w:t>
      </w:r>
      <w:r w:rsidR="003606CD" w:rsidRPr="00834B53">
        <w:rPr>
          <w:rFonts w:ascii="Bookman Old Style" w:hAnsi="Bookman Old Style" w:cs="Bookman Old Style"/>
          <w:sz w:val="24"/>
          <w:szCs w:val="24"/>
        </w:rPr>
        <w:t>.</w:t>
      </w:r>
    </w:p>
    <w:p w14:paraId="4B0230DA" w14:textId="5E19D0E1" w:rsidR="003606CD" w:rsidRPr="002A39AB" w:rsidRDefault="002A39AB" w:rsidP="002A39AB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A39AB">
        <w:rPr>
          <w:rFonts w:ascii="Bookman Old Style" w:hAnsi="Bookman Old Style" w:cs="Bookman Old Style"/>
          <w:sz w:val="24"/>
          <w:szCs w:val="24"/>
        </w:rPr>
        <w:t>Come sopra ricordato, i</w:t>
      </w:r>
      <w:r w:rsidR="003606CD" w:rsidRPr="002A39AB">
        <w:rPr>
          <w:rFonts w:ascii="Bookman Old Style" w:hAnsi="Bookman Old Style" w:cs="Bookman Old Style"/>
          <w:sz w:val="24"/>
          <w:szCs w:val="24"/>
        </w:rPr>
        <w:t>l Piano della Performance</w:t>
      </w:r>
      <w:r w:rsidRPr="002A39AB">
        <w:rPr>
          <w:rFonts w:ascii="Bookman Old Style" w:hAnsi="Bookman Old Style" w:cs="Bookman Old Style"/>
          <w:sz w:val="24"/>
          <w:szCs w:val="24"/>
        </w:rPr>
        <w:t xml:space="preserve"> è stato integrato in un unico documento con le </w:t>
      </w:r>
      <w:r w:rsidRPr="002A39AB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>scelte programmatorie riguardanti il Quadro strategico, il</w:t>
      </w:r>
      <w:r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 xml:space="preserve"> </w:t>
      </w:r>
      <w:r w:rsidRPr="002A39AB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>Piano delle attività e i fabbisogni di personale</w:t>
      </w:r>
      <w:r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 xml:space="preserve">, proseguendo quindi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nel </w:t>
      </w:r>
      <w:r w:rsidR="003606CD" w:rsidRPr="002A39AB">
        <w:rPr>
          <w:rFonts w:ascii="Bookman Old Style" w:hAnsi="Bookman Old Style" w:cs="Bookman Old Style"/>
          <w:sz w:val="24"/>
          <w:szCs w:val="24"/>
        </w:rPr>
        <w:t xml:space="preserve">percorso 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 xml:space="preserve">di integrazione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tra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 xml:space="preserve">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gli 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>strume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nti di programmazione strategico-gestionale</w:t>
      </w:r>
      <w:r w:rsidR="007E5267" w:rsidRPr="002A39AB"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z w:val="24"/>
          <w:szCs w:val="24"/>
        </w:rPr>
        <w:t xml:space="preserve">le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azioni di </w:t>
      </w:r>
      <w:r>
        <w:rPr>
          <w:rFonts w:ascii="Bookman Old Style" w:hAnsi="Bookman Old Style" w:cs="Bookman Old Style"/>
          <w:sz w:val="24"/>
          <w:szCs w:val="24"/>
        </w:rPr>
        <w:t xml:space="preserve">prevenzione della corruzione 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promozione della trasparenza 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nonché </w:t>
      </w:r>
      <w:r>
        <w:rPr>
          <w:rFonts w:ascii="Bookman Old Style" w:hAnsi="Bookman Old Style" w:cs="Bookman Old Style"/>
          <w:sz w:val="24"/>
          <w:szCs w:val="24"/>
        </w:rPr>
        <w:t xml:space="preserve">la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gestione dei rischi organizzativi e gestionali</w:t>
      </w:r>
      <w:r w:rsidR="007E5267" w:rsidRPr="002A39AB">
        <w:rPr>
          <w:rFonts w:ascii="Bookman Old Style" w:hAnsi="Bookman Old Style" w:cs="Bookman Old Style"/>
          <w:sz w:val="24"/>
          <w:szCs w:val="24"/>
        </w:rPr>
        <w:t>.</w:t>
      </w:r>
      <w:r w:rsidR="00E91AB6" w:rsidRPr="002A39AB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04E6A243" w14:textId="77777777" w:rsidR="00E25A7F" w:rsidRDefault="007E1F34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E1F34">
        <w:rPr>
          <w:rFonts w:ascii="Bookman Old Style" w:hAnsi="Bookman Old Style" w:cs="Bookman Old Style"/>
          <w:sz w:val="24"/>
          <w:szCs w:val="24"/>
        </w:rPr>
        <w:t xml:space="preserve">Le linee programmatiche </w:t>
      </w:r>
      <w:r w:rsidR="00B42DEA"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llustrate nel </w:t>
      </w:r>
      <w:r>
        <w:rPr>
          <w:rFonts w:ascii="Bookman Old Style" w:hAnsi="Bookman Old Style" w:cs="Bookman Old Style"/>
          <w:sz w:val="24"/>
          <w:szCs w:val="24"/>
        </w:rPr>
        <w:t>Piano d</w:t>
      </w:r>
      <w:r w:rsidRPr="00C070F2">
        <w:rPr>
          <w:rFonts w:ascii="Bookman Old Style" w:hAnsi="Bookman Old Style" w:cs="Bookman Old Style"/>
          <w:sz w:val="24"/>
          <w:szCs w:val="24"/>
        </w:rPr>
        <w:t>i Prevenzione della corruzione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si pongono in continuità con la strategia di prevenzione che l’Istat ha pianificato e realizzato negli ultimi anni</w:t>
      </w:r>
      <w:r w:rsidR="00B42DEA">
        <w:rPr>
          <w:rFonts w:ascii="Bookman Old Style" w:hAnsi="Bookman Old Style" w:cs="Bookman Old Style"/>
          <w:sz w:val="24"/>
          <w:szCs w:val="24"/>
        </w:rPr>
        <w:t xml:space="preserve">, 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con alcuni elementi di innovazione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volt</w:t>
      </w:r>
      <w:r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al miglioramento della qualità e del livello di attuazione delle misure di prevenzione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.</w:t>
      </w:r>
    </w:p>
    <w:p w14:paraId="2E18EE4B" w14:textId="0D4A8275" w:rsidR="00C070F2" w:rsidRDefault="008A10F3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25A7F">
        <w:rPr>
          <w:rFonts w:ascii="Bookman Old Style" w:hAnsi="Bookman Old Style" w:cs="Bookman Old Style"/>
          <w:sz w:val="24"/>
          <w:szCs w:val="24"/>
        </w:rPr>
        <w:lastRenderedPageBreak/>
        <w:t xml:space="preserve">Per il triennio 2019-2021, l’Istituto ha selezionato 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>ulteriori specifici rischi di corruzione</w:t>
      </w:r>
      <w:r w:rsidR="00E25A7F" w:rsidRPr="00E25A7F">
        <w:rPr>
          <w:rFonts w:ascii="Bookman Old Style" w:hAnsi="Bookman Old Style" w:cs="Bookman Old Style"/>
          <w:sz w:val="24"/>
          <w:szCs w:val="24"/>
        </w:rPr>
        <w:t xml:space="preserve"> 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(5 rischi, aggiunti ai precedenti </w:t>
      </w:r>
      <w:r w:rsidR="00E25A7F" w:rsidRPr="00E25A7F">
        <w:rPr>
          <w:rFonts w:ascii="Bookman Old Style" w:hAnsi="Bookman Old Style" w:cs="Bookman Old Style"/>
          <w:sz w:val="24"/>
          <w:szCs w:val="24"/>
        </w:rPr>
        <w:t>11</w:t>
      </w:r>
      <w:r w:rsidR="00E25A7F">
        <w:rPr>
          <w:rFonts w:ascii="Bookman Old Style" w:hAnsi="Bookman Old Style" w:cs="Bookman Old Style"/>
          <w:sz w:val="24"/>
          <w:szCs w:val="24"/>
        </w:rPr>
        <w:t>)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 xml:space="preserve">, identificati come </w:t>
      </w:r>
      <w:r w:rsidRPr="00E25A7F">
        <w:rPr>
          <w:rFonts w:ascii="Bookman Old Style" w:hAnsi="Bookman Old Style" w:cs="Bookman Old Style"/>
          <w:sz w:val="24"/>
          <w:szCs w:val="24"/>
        </w:rPr>
        <w:t>prioritari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 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>a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nche a 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 xml:space="preserve">seguito della mappatura dei processi effettuata nel </w:t>
      </w:r>
      <w:r w:rsidR="00856116">
        <w:rPr>
          <w:rFonts w:ascii="Bookman Old Style" w:hAnsi="Bookman Old Style" w:cs="Bookman Old Style"/>
          <w:sz w:val="24"/>
          <w:szCs w:val="24"/>
        </w:rPr>
        <w:t xml:space="preserve">corso del 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>2018 e sulla base di ulteriori informazioni acquisite dal R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esponsabile per la prevenzione della corruzione e </w:t>
      </w:r>
      <w:r w:rsidR="00CF6C20">
        <w:rPr>
          <w:rFonts w:ascii="Bookman Old Style" w:hAnsi="Bookman Old Style" w:cs="Bookman Old Style"/>
          <w:sz w:val="24"/>
          <w:szCs w:val="24"/>
        </w:rPr>
        <w:t xml:space="preserve">per la </w:t>
      </w:r>
      <w:r w:rsidR="00E25A7F">
        <w:rPr>
          <w:rFonts w:ascii="Bookman Old Style" w:hAnsi="Bookman Old Style" w:cs="Bookman Old Style"/>
          <w:sz w:val="24"/>
          <w:szCs w:val="24"/>
        </w:rPr>
        <w:t>trasparenza</w:t>
      </w:r>
      <w:r w:rsidR="0077643E" w:rsidRPr="00E25A7F">
        <w:rPr>
          <w:rFonts w:ascii="Bookman Old Style" w:hAnsi="Bookman Old Style" w:cs="Bookman Old Style"/>
          <w:sz w:val="24"/>
          <w:szCs w:val="24"/>
        </w:rPr>
        <w:t xml:space="preserve"> nell’ambito della propria attività.</w:t>
      </w:r>
      <w:r w:rsidR="0077643E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E4A5BC8" w14:textId="3233D059" w:rsidR="00066D32" w:rsidRDefault="00066D32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Per quanto riguarda la Struttura tecnica permanente, qu</w:t>
      </w:r>
      <w:r w:rsidR="00BA4BE8">
        <w:rPr>
          <w:rFonts w:ascii="Bookman Old Style" w:hAnsi="Bookman Old Style" w:cs="Bookman Old Style"/>
          <w:sz w:val="24"/>
          <w:szCs w:val="24"/>
        </w:rPr>
        <w:t xml:space="preserve">esto Organismo </w:t>
      </w:r>
      <w:r w:rsidR="00A861A5">
        <w:rPr>
          <w:rFonts w:ascii="Bookman Old Style" w:hAnsi="Bookman Old Style" w:cs="Bookman Old Style"/>
          <w:sz w:val="24"/>
          <w:szCs w:val="24"/>
        </w:rPr>
        <w:t>rileva che</w:t>
      </w:r>
      <w:r w:rsidR="00BC7B91">
        <w:rPr>
          <w:rFonts w:ascii="Bookman Old Style" w:hAnsi="Bookman Old Style" w:cs="Bookman Old Style"/>
          <w:sz w:val="24"/>
          <w:szCs w:val="24"/>
        </w:rPr>
        <w:t xml:space="preserve"> </w:t>
      </w:r>
      <w:r w:rsidR="00A861A5">
        <w:rPr>
          <w:rFonts w:ascii="Bookman Old Style" w:hAnsi="Bookman Old Style" w:cs="Bookman Old Style"/>
          <w:sz w:val="24"/>
          <w:szCs w:val="24"/>
        </w:rPr>
        <w:t>nell’anno di riferimento</w:t>
      </w:r>
      <w:r w:rsidR="00BC7B91">
        <w:rPr>
          <w:rFonts w:ascii="Bookman Old Style" w:hAnsi="Bookman Old Style" w:cs="Bookman Old Style"/>
          <w:sz w:val="24"/>
          <w:szCs w:val="24"/>
        </w:rPr>
        <w:t xml:space="preserve"> sono state incrementate le </w:t>
      </w:r>
      <w:r w:rsidR="00A861A5" w:rsidRPr="00C124A3">
        <w:rPr>
          <w:rFonts w:ascii="Bookman Old Style" w:hAnsi="Bookman Old Style" w:cs="Bookman Old Style"/>
          <w:sz w:val="24"/>
          <w:szCs w:val="24"/>
        </w:rPr>
        <w:t xml:space="preserve">risorse </w:t>
      </w:r>
      <w:r w:rsidR="00BC7B91">
        <w:rPr>
          <w:rFonts w:ascii="Bookman Old Style" w:hAnsi="Bookman Old Style" w:cs="Bookman Old Style"/>
          <w:sz w:val="24"/>
          <w:szCs w:val="24"/>
        </w:rPr>
        <w:t>di personale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, </w:t>
      </w:r>
      <w:r w:rsidR="00BC7B91">
        <w:rPr>
          <w:rFonts w:ascii="Bookman Old Style" w:hAnsi="Bookman Old Style" w:cs="Bookman Old Style"/>
          <w:sz w:val="24"/>
          <w:szCs w:val="24"/>
        </w:rPr>
        <w:t xml:space="preserve">con l’assegnazione di una </w:t>
      </w:r>
      <w:r w:rsidR="00A47BEA">
        <w:rPr>
          <w:rFonts w:ascii="Bookman Old Style" w:hAnsi="Bookman Old Style" w:cs="Bookman Old Style"/>
          <w:sz w:val="24"/>
          <w:szCs w:val="24"/>
        </w:rPr>
        <w:t xml:space="preserve">ulteriore </w:t>
      </w:r>
      <w:r w:rsidR="00BC7B91">
        <w:rPr>
          <w:rFonts w:ascii="Bookman Old Style" w:hAnsi="Bookman Old Style" w:cs="Bookman Old Style"/>
          <w:sz w:val="24"/>
          <w:szCs w:val="24"/>
        </w:rPr>
        <w:t>unità. L’</w:t>
      </w:r>
      <w:r w:rsidRPr="00C124A3">
        <w:rPr>
          <w:rFonts w:ascii="Bookman Old Style" w:hAnsi="Bookman Old Style" w:cs="Bookman Old Style"/>
          <w:sz w:val="24"/>
          <w:szCs w:val="24"/>
        </w:rPr>
        <w:t>Ufficio ha garantito un elevato livello di professionalità e di impegno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 xml:space="preserve"> a supporto delle attività dell’Organismo, anche in considerazione del particolare bilanciamento delle competenze professionali presenti. Ciò ha consentito all’Ufficio di assicurare la necessaria assistenza tecni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ca 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alle strutture dell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’amministrazione, </w:t>
      </w:r>
      <w:r w:rsidR="00BA4BE8">
        <w:rPr>
          <w:rFonts w:ascii="Bookman Old Style" w:hAnsi="Bookman Old Style" w:cs="Bookman Old Style"/>
          <w:sz w:val="24"/>
          <w:szCs w:val="24"/>
        </w:rPr>
        <w:t>proseguendo nell’attività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 di accompagnamento e raccordo</w:t>
      </w:r>
      <w:r w:rsidR="00BA4BE8">
        <w:rPr>
          <w:rFonts w:ascii="Bookman Old Style" w:hAnsi="Bookman Old Style" w:cs="Bookman Old Style"/>
          <w:sz w:val="24"/>
          <w:szCs w:val="24"/>
        </w:rPr>
        <w:t>, in un</w:t>
      </w:r>
      <w:r w:rsidR="00BC7B91">
        <w:rPr>
          <w:rFonts w:ascii="Bookman Old Style" w:hAnsi="Bookman Old Style" w:cs="Bookman Old Style"/>
          <w:sz w:val="24"/>
          <w:szCs w:val="24"/>
        </w:rPr>
        <w:t>’</w:t>
      </w:r>
      <w:r w:rsidR="00BA4BE8">
        <w:rPr>
          <w:rFonts w:ascii="Bookman Old Style" w:hAnsi="Bookman Old Style" w:cs="Bookman Old Style"/>
          <w:sz w:val="24"/>
          <w:szCs w:val="24"/>
        </w:rPr>
        <w:t xml:space="preserve">ottica di </w:t>
      </w:r>
      <w:r w:rsidR="005C6020">
        <w:rPr>
          <w:rFonts w:ascii="Bookman Old Style" w:hAnsi="Bookman Old Style" w:cs="Bookman Old Style"/>
          <w:sz w:val="24"/>
          <w:szCs w:val="24"/>
        </w:rPr>
        <w:t xml:space="preserve">proficua interazione e </w:t>
      </w:r>
      <w:r w:rsidR="00BA4BE8">
        <w:rPr>
          <w:rFonts w:ascii="Bookman Old Style" w:hAnsi="Bookman Old Style" w:cs="Bookman Old Style"/>
          <w:sz w:val="24"/>
          <w:szCs w:val="24"/>
        </w:rPr>
        <w:t>fattiva collaborazione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.</w:t>
      </w:r>
    </w:p>
    <w:p w14:paraId="75AFDA86" w14:textId="77777777" w:rsidR="00B20682" w:rsidRPr="00C124A3" w:rsidRDefault="00AD00D8" w:rsidP="00393E03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D. </w:t>
      </w:r>
      <w:r w:rsidR="00B20682" w:rsidRPr="00C124A3">
        <w:rPr>
          <w:rFonts w:ascii="Bookman Old Style" w:hAnsi="Bookman Old Style" w:cs="Bookman Old Style"/>
          <w:b/>
          <w:sz w:val="24"/>
          <w:szCs w:val="24"/>
        </w:rPr>
        <w:t>INFRASTRUTTURA DI SUPPORTO</w:t>
      </w:r>
    </w:p>
    <w:p w14:paraId="765F42D5" w14:textId="2571E581" w:rsidR="00D56657" w:rsidRPr="00C124A3" w:rsidRDefault="00816B95" w:rsidP="00393E03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A supporto del funzionamento del ciclo della performance,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435FC9" w:rsidRPr="00D90B2B">
        <w:rPr>
          <w:rFonts w:ascii="Bookman Old Style" w:hAnsi="Bookman Old Style" w:cs="Bookman Old Style"/>
          <w:sz w:val="24"/>
          <w:szCs w:val="24"/>
        </w:rPr>
        <w:t xml:space="preserve">è stato </w:t>
      </w:r>
      <w:r w:rsidR="00D90B2B" w:rsidRPr="00D90B2B">
        <w:rPr>
          <w:rFonts w:ascii="Bookman Old Style" w:hAnsi="Bookman Old Style" w:cs="Bookman Old Style"/>
          <w:sz w:val="24"/>
          <w:szCs w:val="24"/>
        </w:rPr>
        <w:t>confermato il</w:t>
      </w:r>
      <w:r w:rsidR="000A2B24">
        <w:rPr>
          <w:rFonts w:ascii="Bookman Old Style" w:hAnsi="Bookman Old Style" w:cs="Bookman Old Style"/>
          <w:sz w:val="24"/>
          <w:szCs w:val="24"/>
        </w:rPr>
        <w:t xml:space="preserve"> </w:t>
      </w:r>
      <w:r w:rsidR="006B66A2">
        <w:rPr>
          <w:rFonts w:ascii="Bookman Old Style" w:hAnsi="Bookman Old Style" w:cs="Bookman Old Style"/>
          <w:sz w:val="24"/>
          <w:szCs w:val="24"/>
        </w:rPr>
        <w:t>s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istema informativo di gestione delle attività di pianificazione PPMO, </w:t>
      </w:r>
      <w:r w:rsidR="00DD6326">
        <w:rPr>
          <w:rFonts w:ascii="Bookman Old Style" w:hAnsi="Bookman Old Style" w:cs="Bookman Old Style"/>
          <w:sz w:val="24"/>
          <w:szCs w:val="24"/>
        </w:rPr>
        <w:t>introdotto nel 2016. Tale sistema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245A86" w:rsidRPr="00C124A3">
        <w:rPr>
          <w:rFonts w:ascii="Bookman Old Style" w:hAnsi="Bookman Old Style" w:cs="Bookman Old Style"/>
          <w:sz w:val="24"/>
          <w:szCs w:val="24"/>
        </w:rPr>
        <w:t>fornisce ausilio al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fasi del processo di pianificazione strategico-operativa e consente la realizzazione del modello di </w:t>
      </w:r>
      <w:r w:rsidR="00435FC9" w:rsidRPr="00C124A3">
        <w:rPr>
          <w:rFonts w:ascii="Bookman Old Style" w:hAnsi="Bookman Old Style" w:cs="Bookman Old Style"/>
          <w:i/>
          <w:sz w:val="24"/>
          <w:szCs w:val="24"/>
        </w:rPr>
        <w:t>portfolio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e </w:t>
      </w:r>
      <w:r w:rsidR="00435FC9" w:rsidRPr="00C124A3">
        <w:rPr>
          <w:rFonts w:ascii="Bookman Old Style" w:hAnsi="Bookman Old Style" w:cs="Bookman Old Style"/>
          <w:i/>
          <w:sz w:val="24"/>
          <w:szCs w:val="24"/>
        </w:rPr>
        <w:t xml:space="preserve">project management,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>offrendo una vista differenziata d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elle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informazioni 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>presenti nelle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componenti della pianificazione (</w:t>
      </w:r>
      <w:proofErr w:type="spellStart"/>
      <w:r w:rsidR="00435FC9" w:rsidRPr="00C124A3">
        <w:rPr>
          <w:rFonts w:ascii="Bookman Old Style" w:hAnsi="Bookman Old Style" w:cs="Bookman Old Style"/>
          <w:sz w:val="24"/>
          <w:szCs w:val="24"/>
        </w:rPr>
        <w:t>portfoli</w:t>
      </w:r>
      <w:proofErr w:type="spellEnd"/>
      <w:r w:rsidR="00435FC9" w:rsidRPr="00C124A3">
        <w:rPr>
          <w:rFonts w:ascii="Bookman Old Style" w:hAnsi="Bookman Old Style" w:cs="Bookman Old Style"/>
          <w:sz w:val="24"/>
          <w:szCs w:val="24"/>
        </w:rPr>
        <w:t>, iniziative, responsabilità, risorse, tempi, output, ecc.)</w:t>
      </w:r>
      <w:r w:rsidR="007220B2" w:rsidRPr="00C124A3">
        <w:rPr>
          <w:rFonts w:ascii="Bookman Old Style" w:hAnsi="Bookman Old Style" w:cs="Bookman Old Style"/>
          <w:sz w:val="24"/>
          <w:szCs w:val="24"/>
        </w:rPr>
        <w:t>.</w:t>
      </w:r>
    </w:p>
    <w:p w14:paraId="3F93E4D5" w14:textId="3C9AD4BD" w:rsidR="00B20682" w:rsidRPr="00C124A3" w:rsidRDefault="001B0EF6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lastRenderedPageBreak/>
        <w:t>In relazione agli altri sistemi informativi ed informatici, si segnalano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 il sistema informativo </w:t>
      </w:r>
      <w:r w:rsidR="00803CB5" w:rsidRPr="00C124A3">
        <w:rPr>
          <w:rFonts w:ascii="Bookman Old Style" w:hAnsi="Bookman Old Style" w:cs="Bookman Old Style"/>
          <w:sz w:val="24"/>
          <w:szCs w:val="24"/>
        </w:rPr>
        <w:t xml:space="preserve">di gestione del personale e quello di 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gestione </w:t>
      </w:r>
      <w:r w:rsidR="00941D22" w:rsidRPr="00C124A3">
        <w:rPr>
          <w:rFonts w:ascii="Bookman Old Style" w:hAnsi="Bookman Old Style" w:cs="Bookman Old Style"/>
          <w:sz w:val="24"/>
          <w:szCs w:val="24"/>
        </w:rPr>
        <w:t xml:space="preserve">della </w:t>
      </w:r>
      <w:r w:rsidR="00816B95" w:rsidRPr="00D90B2B">
        <w:rPr>
          <w:rFonts w:ascii="Bookman Old Style" w:hAnsi="Bookman Old Style" w:cs="Bookman Old Style"/>
          <w:sz w:val="24"/>
          <w:szCs w:val="24"/>
        </w:rPr>
        <w:t>contabilità e bilancio. In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 tale ambito, questo Organismo </w:t>
      </w:r>
      <w:r w:rsidR="00D90B2B" w:rsidRPr="00D90B2B">
        <w:rPr>
          <w:rFonts w:ascii="Bookman Old Style" w:hAnsi="Bookman Old Style" w:cs="Bookman Old Style"/>
          <w:sz w:val="24"/>
          <w:szCs w:val="24"/>
        </w:rPr>
        <w:t>co</w:t>
      </w:r>
      <w:r w:rsidR="00D90B2B">
        <w:rPr>
          <w:rFonts w:ascii="Bookman Old Style" w:hAnsi="Bookman Old Style" w:cs="Bookman Old Style"/>
          <w:sz w:val="24"/>
          <w:szCs w:val="24"/>
        </w:rPr>
        <w:t>nferma l’importanza d</w:t>
      </w:r>
      <w:r w:rsidR="00B56945">
        <w:rPr>
          <w:rFonts w:ascii="Bookman Old Style" w:hAnsi="Bookman Old Style" w:cs="Bookman Old Style"/>
          <w:sz w:val="24"/>
          <w:szCs w:val="24"/>
        </w:rPr>
        <w:t xml:space="preserve">ella </w:t>
      </w:r>
      <w:r w:rsidR="000A2B24" w:rsidRPr="00D90B2B">
        <w:rPr>
          <w:rFonts w:ascii="Bookman Old Style" w:hAnsi="Bookman Old Style" w:cs="Bookman Old Style"/>
          <w:sz w:val="24"/>
          <w:szCs w:val="24"/>
        </w:rPr>
        <w:t xml:space="preserve">sempre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maggiore integrazione </w:t>
      </w:r>
      <w:r w:rsidR="00EC0CAB" w:rsidRPr="00D90B2B">
        <w:rPr>
          <w:rFonts w:ascii="Bookman Old Style" w:hAnsi="Bookman Old Style" w:cs="Bookman Old Style"/>
          <w:sz w:val="24"/>
          <w:szCs w:val="24"/>
        </w:rPr>
        <w:t xml:space="preserve">ed interoperabilità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tra i 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diversi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>sistemi informativi</w:t>
      </w:r>
      <w:r w:rsidR="00B20682" w:rsidRPr="00D90B2B">
        <w:rPr>
          <w:rFonts w:ascii="Bookman Old Style" w:hAnsi="Bookman Old Style" w:cs="Bookman Old Style"/>
          <w:sz w:val="24"/>
          <w:szCs w:val="24"/>
        </w:rPr>
        <w:t>.</w:t>
      </w:r>
      <w:r w:rsidR="00B20682" w:rsidRPr="00C124A3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7BE982C" w14:textId="77777777" w:rsidR="00B20682" w:rsidRDefault="00B20682" w:rsidP="00393E0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L’Istituto è inoltre dotato di altri sistemi di controllo, </w:t>
      </w:r>
      <w:r w:rsidR="00352FE1">
        <w:rPr>
          <w:rFonts w:ascii="Bookman Old Style" w:hAnsi="Bookman Old Style" w:cs="Bookman Old Style"/>
          <w:bCs/>
          <w:sz w:val="24"/>
          <w:szCs w:val="24"/>
        </w:rPr>
        <w:t xml:space="preserve">cui si fa cenno nel paragrafo </w:t>
      </w:r>
      <w:r w:rsidR="00725063">
        <w:rPr>
          <w:rFonts w:ascii="Bookman Old Style" w:hAnsi="Bookman Old Style" w:cs="Bookman Old Style"/>
          <w:bCs/>
          <w:sz w:val="24"/>
          <w:szCs w:val="24"/>
        </w:rPr>
        <w:t>F</w:t>
      </w:r>
      <w:r w:rsidR="0099624C"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connessi alla qualità della produzione statistica e della metodologia, i quali costituiscono elementi fondament</w:t>
      </w:r>
      <w:r w:rsidR="00463EFF" w:rsidRPr="00C124A3">
        <w:rPr>
          <w:rFonts w:ascii="Bookman Old Style" w:hAnsi="Bookman Old Style" w:cs="Bookman Old Style"/>
          <w:bCs/>
          <w:sz w:val="24"/>
          <w:szCs w:val="24"/>
        </w:rPr>
        <w:t>ali per il controllo strategico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55E08CD3" w14:textId="77777777" w:rsidR="00B20682" w:rsidRPr="00C124A3" w:rsidRDefault="003E6EA9" w:rsidP="00C649A0">
      <w:pPr>
        <w:spacing w:before="720" w:after="24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SISTEMI INFORMATIVI E INFORMATICI A SUPPORTO DELL’ATTUAZIONE DEL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PROGRAMMA TRIENNALE PER LA TRASPARENZA E L’INTEGRITA’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E PER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IL RISPETTO DEGLI OBBLIGHI DI PUBBLICAZIONE</w:t>
      </w:r>
    </w:p>
    <w:p w14:paraId="22876760" w14:textId="4583C1CE" w:rsidR="00D33B43" w:rsidRDefault="00C57101" w:rsidP="00C649A0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2D681D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="00B37195" w:rsidRPr="002D681D">
        <w:rPr>
          <w:rFonts w:ascii="Bookman Old Style" w:hAnsi="Bookman Old Style" w:cs="Bookman Old Style"/>
          <w:bCs/>
          <w:iCs/>
          <w:sz w:val="24"/>
          <w:szCs w:val="24"/>
        </w:rPr>
        <w:t>l fine d</w:t>
      </w:r>
      <w:r w:rsidR="00A04FD7">
        <w:rPr>
          <w:rFonts w:ascii="Bookman Old Style" w:hAnsi="Bookman Old Style" w:cs="Bookman Old Style"/>
          <w:bCs/>
          <w:iCs/>
          <w:sz w:val="24"/>
          <w:szCs w:val="24"/>
        </w:rPr>
        <w:t xml:space="preserve">ella </w:t>
      </w:r>
      <w:r w:rsidR="00006BA6" w:rsidRPr="002D681D">
        <w:rPr>
          <w:rFonts w:ascii="Bookman Old Style" w:hAnsi="Bookman Old Style" w:cs="Bookman Old Style"/>
          <w:bCs/>
          <w:iCs/>
          <w:sz w:val="24"/>
          <w:szCs w:val="24"/>
        </w:rPr>
        <w:t>più efficace gestione del s</w:t>
      </w:r>
      <w:r w:rsidR="00B37195" w:rsidRPr="002D681D">
        <w:rPr>
          <w:rFonts w:ascii="Bookman Old Style" w:hAnsi="Bookman Old Style" w:cs="Bookman Old Style"/>
          <w:bCs/>
          <w:iCs/>
          <w:sz w:val="24"/>
          <w:szCs w:val="24"/>
        </w:rPr>
        <w:t xml:space="preserve">istema di prevenzione </w:t>
      </w:r>
      <w:r w:rsidR="00BA49E8" w:rsidRPr="002D681D">
        <w:rPr>
          <w:rFonts w:ascii="Bookman Old Style" w:hAnsi="Bookman Old Style" w:cs="Bookman Old Style"/>
          <w:bCs/>
          <w:iCs/>
          <w:sz w:val="24"/>
          <w:szCs w:val="24"/>
        </w:rPr>
        <w:t>della corruz</w:t>
      </w:r>
      <w:r w:rsidR="00342EAC" w:rsidRPr="002D681D">
        <w:rPr>
          <w:rFonts w:ascii="Bookman Old Style" w:hAnsi="Bookman Old Style" w:cs="Bookman Old Style"/>
          <w:bCs/>
          <w:iCs/>
          <w:sz w:val="24"/>
          <w:szCs w:val="24"/>
        </w:rPr>
        <w:t>ione in Istituto, not</w:t>
      </w:r>
      <w:r w:rsidR="00031A45" w:rsidRPr="002D681D">
        <w:rPr>
          <w:rFonts w:ascii="Bookman Old Style" w:hAnsi="Bookman Old Style" w:cs="Bookman Old Style"/>
          <w:bCs/>
          <w:iCs/>
          <w:sz w:val="24"/>
          <w:szCs w:val="24"/>
        </w:rPr>
        <w:t xml:space="preserve">evole importanza è </w:t>
      </w:r>
      <w:r w:rsidR="00A04FD7">
        <w:rPr>
          <w:rFonts w:ascii="Bookman Old Style" w:hAnsi="Bookman Old Style" w:cs="Bookman Old Style"/>
          <w:bCs/>
          <w:iCs/>
          <w:sz w:val="24"/>
          <w:szCs w:val="24"/>
        </w:rPr>
        <w:t>attribuita</w:t>
      </w:r>
      <w:r w:rsidR="001A00EE">
        <w:rPr>
          <w:rFonts w:ascii="Bookman Old Style" w:hAnsi="Bookman Old Style" w:cs="Bookman Old Style"/>
          <w:bCs/>
          <w:iCs/>
          <w:sz w:val="24"/>
          <w:szCs w:val="24"/>
        </w:rPr>
        <w:t xml:space="preserve"> al</w:t>
      </w:r>
      <w:r w:rsidR="001A00EE"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l’applicativo </w:t>
      </w:r>
      <w:proofErr w:type="spellStart"/>
      <w:r w:rsidR="001A00EE"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>Riskinistat</w:t>
      </w:r>
      <w:proofErr w:type="spellEnd"/>
      <w:r w:rsidR="001A00EE"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 xml:space="preserve">, </w:t>
      </w:r>
      <w:r w:rsidR="001A00EE" w:rsidRPr="00D33B43">
        <w:rPr>
          <w:rFonts w:ascii="Bookman Old Style" w:hAnsi="Bookman Old Style" w:cs="Bookman Old Style"/>
          <w:bCs/>
          <w:iCs/>
          <w:sz w:val="24"/>
          <w:szCs w:val="24"/>
        </w:rPr>
        <w:t>creato nell</w:t>
      </w:r>
      <w:r w:rsidR="001A00EE">
        <w:rPr>
          <w:rFonts w:ascii="Bookman Old Style" w:hAnsi="Bookman Old Style" w:cs="Bookman Old Style"/>
          <w:bCs/>
          <w:iCs/>
          <w:sz w:val="24"/>
          <w:szCs w:val="24"/>
        </w:rPr>
        <w:t xml:space="preserve">’ambito della funzione di Risk Management, </w:t>
      </w:r>
      <w:r w:rsidR="00D33B43"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a supporto dell’attuazione del </w:t>
      </w:r>
      <w:r w:rsidR="001D699F" w:rsidRPr="00D33B43">
        <w:rPr>
          <w:rFonts w:ascii="Bookman Old Style" w:hAnsi="Bookman Old Style" w:cs="Bookman Old Style"/>
          <w:bCs/>
          <w:iCs/>
          <w:sz w:val="24"/>
          <w:szCs w:val="24"/>
        </w:rPr>
        <w:t>Piano di Prevenzione dell</w:t>
      </w:r>
      <w:r w:rsidR="001A00EE">
        <w:rPr>
          <w:rFonts w:ascii="Bookman Old Style" w:hAnsi="Bookman Old Style" w:cs="Bookman Old Style"/>
          <w:bCs/>
          <w:iCs/>
          <w:sz w:val="24"/>
          <w:szCs w:val="24"/>
        </w:rPr>
        <w:t>a Corruzione.</w:t>
      </w:r>
    </w:p>
    <w:p w14:paraId="3F9596DB" w14:textId="470D1373" w:rsidR="00D33B43" w:rsidRDefault="00D33B43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e attività inerenti l’identificazione, l’analisi, la ponderazione e il monitoraggio dei rischi sono 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tutte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svolte in maniera informatizzata.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Questo garantisce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la tracciabilità di ogni operazione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l’accessibilità in ogni momento all’archivio dei cataloghi dei rischi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. </w:t>
      </w:r>
    </w:p>
    <w:p w14:paraId="07CD4529" w14:textId="76297B93" w:rsidR="001A00EE" w:rsidRDefault="00D33B43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L’applicativo permette agli utenti di inserire e visionare le informazioni necessarie per la gestione dei rischi, sia organizzativi che di corruzione,</w:t>
      </w:r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 delle strutture dell’Istituto.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 Le informazioni raccolte costituiscono la base per la reportistica </w:t>
      </w:r>
      <w:r>
        <w:rPr>
          <w:rFonts w:ascii="Bookman Old Style" w:hAnsi="Bookman Old Style" w:cs="Bookman Old Style"/>
          <w:bCs/>
          <w:iCs/>
          <w:sz w:val="24"/>
          <w:szCs w:val="24"/>
        </w:rPr>
        <w:t>utile ai fini dell</w:t>
      </w:r>
      <w:r w:rsidR="00DE588F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predisposizione del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Piano </w:t>
      </w:r>
      <w:r w:rsidR="00FC580D">
        <w:rPr>
          <w:rFonts w:ascii="Bookman Old Style" w:hAnsi="Bookman Old Style" w:cs="Bookman Old Style"/>
          <w:bCs/>
          <w:iCs/>
          <w:sz w:val="24"/>
          <w:szCs w:val="24"/>
        </w:rPr>
        <w:t xml:space="preserve">di </w:t>
      </w:r>
      <w:r w:rsidR="00FC580D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>Prevenzione della Corruzione e degli altri documenti del ciclo della p</w:t>
      </w:r>
      <w:r>
        <w:rPr>
          <w:rFonts w:ascii="Bookman Old Style" w:hAnsi="Bookman Old Style" w:cs="Bookman Old Style"/>
          <w:bCs/>
          <w:iCs/>
          <w:sz w:val="24"/>
          <w:szCs w:val="24"/>
        </w:rPr>
        <w:t>erformance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.</w:t>
      </w:r>
      <w:r w:rsid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4D0276" w:rsidRPr="004D0276">
        <w:rPr>
          <w:rFonts w:ascii="Bookman Old Style" w:hAnsi="Bookman Old Style" w:cs="Bookman Old Style"/>
          <w:bCs/>
          <w:iCs/>
          <w:sz w:val="24"/>
          <w:szCs w:val="24"/>
        </w:rPr>
        <w:t>L’</w:t>
      </w:r>
      <w:r w:rsidR="001A00EE" w:rsidRPr="004D0276">
        <w:rPr>
          <w:rFonts w:ascii="Bookman Old Style" w:hAnsi="Bookman Old Style" w:cs="Bookman Old Style"/>
          <w:bCs/>
          <w:iCs/>
          <w:sz w:val="24"/>
          <w:szCs w:val="24"/>
        </w:rPr>
        <w:t>11 novembre 2019 è stata c</w:t>
      </w:r>
      <w:r w:rsid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ostituita </w:t>
      </w:r>
      <w:r w:rsidR="001A00EE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una task force con il compito di aggiornare la procedura di gestione </w:t>
      </w:r>
      <w:r w:rsidR="00342EAC" w:rsidRPr="004D0276">
        <w:rPr>
          <w:rFonts w:ascii="Bookman Old Style" w:hAnsi="Bookman Old Style" w:cs="Bookman Old Style"/>
          <w:bCs/>
          <w:iCs/>
          <w:sz w:val="24"/>
          <w:szCs w:val="24"/>
        </w:rPr>
        <w:t>del s</w:t>
      </w:r>
      <w:r w:rsidR="00031A45" w:rsidRPr="004D0276">
        <w:rPr>
          <w:rFonts w:ascii="Bookman Old Style" w:hAnsi="Bookman Old Style" w:cs="Bookman Old Style"/>
          <w:bCs/>
          <w:iCs/>
          <w:sz w:val="24"/>
          <w:szCs w:val="24"/>
        </w:rPr>
        <w:t>istema di risk management organizzativo e anticorruzione dell’Istituto.</w:t>
      </w:r>
      <w:r w:rsidR="00031A45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</w:p>
    <w:p w14:paraId="68E2FC8D" w14:textId="77777777" w:rsidR="00B20682" w:rsidRPr="008D7B54" w:rsidRDefault="00B20682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In </w:t>
      </w:r>
      <w:r w:rsidR="009D19F7">
        <w:rPr>
          <w:rFonts w:ascii="Bookman Old Style" w:hAnsi="Bookman Old Style" w:cs="Bookman Old Style"/>
          <w:bCs/>
          <w:iCs/>
          <w:sz w:val="24"/>
          <w:szCs w:val="24"/>
        </w:rPr>
        <w:t>materia di trasparenza</w:t>
      </w:r>
      <w:r w:rsidR="00036348" w:rsidRPr="009D19F7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DC309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l’OIV ha proseguito la propria </w:t>
      </w:r>
      <w:r w:rsidR="00090792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attività di monitoraggio, impulso e promozione 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>dell’assolvimento de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gli </w:t>
      </w:r>
      <w:r w:rsidR="00357D79" w:rsidRPr="009D19F7">
        <w:rPr>
          <w:rFonts w:ascii="Bookman Old Style" w:hAnsi="Bookman Old Style" w:cs="Bookman Old Style"/>
          <w:bCs/>
          <w:iCs/>
          <w:sz w:val="24"/>
          <w:szCs w:val="24"/>
        </w:rPr>
        <w:t>obblighi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di pubblicazione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. In particolare, ha provveduto alla 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compilazione dell’apposita 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Griglia di rilevazione, </w:t>
      </w:r>
      <w:r w:rsidR="00D21F6B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secondo </w:t>
      </w:r>
      <w:r w:rsidR="00D21F6B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le indicazioni contenute nella delibera </w:t>
      </w:r>
      <w:proofErr w:type="spellStart"/>
      <w:r w:rsidR="00357D79" w:rsidRPr="004D0276">
        <w:rPr>
          <w:rFonts w:ascii="Bookman Old Style" w:hAnsi="Bookman Old Style" w:cs="Bookman Old Style"/>
          <w:bCs/>
          <w:iCs/>
          <w:sz w:val="24"/>
          <w:szCs w:val="24"/>
        </w:rPr>
        <w:t>Anac</w:t>
      </w:r>
      <w:proofErr w:type="spellEnd"/>
      <w:r w:rsidR="00D21F6B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n. </w:t>
      </w:r>
      <w:r w:rsidR="0026761D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141 </w:t>
      </w:r>
      <w:r w:rsidR="009D19F7" w:rsidRPr="004D0276">
        <w:rPr>
          <w:rFonts w:ascii="Bookman Old Style" w:hAnsi="Bookman Old Style" w:cs="Bookman Old Style"/>
          <w:bCs/>
          <w:iCs/>
          <w:sz w:val="24"/>
          <w:szCs w:val="24"/>
        </w:rPr>
        <w:t>del 2</w:t>
      </w:r>
      <w:r w:rsidR="008D7B54" w:rsidRPr="004D0276">
        <w:rPr>
          <w:rFonts w:ascii="Bookman Old Style" w:hAnsi="Bookman Old Style" w:cs="Bookman Old Style"/>
          <w:bCs/>
          <w:iCs/>
          <w:sz w:val="24"/>
          <w:szCs w:val="24"/>
        </w:rPr>
        <w:t>7</w:t>
      </w:r>
      <w:r w:rsidR="009D19F7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febbraio </w:t>
      </w:r>
      <w:r w:rsidR="00CE086C" w:rsidRPr="004D0276">
        <w:rPr>
          <w:rFonts w:ascii="Bookman Old Style" w:hAnsi="Bookman Old Style" w:cs="Bookman Old Style"/>
          <w:bCs/>
          <w:iCs/>
          <w:sz w:val="24"/>
          <w:szCs w:val="24"/>
        </w:rPr>
        <w:t>201</w:t>
      </w:r>
      <w:r w:rsidR="008D7B54" w:rsidRPr="004D0276">
        <w:rPr>
          <w:rFonts w:ascii="Bookman Old Style" w:hAnsi="Bookman Old Style" w:cs="Bookman Old Style"/>
          <w:bCs/>
          <w:iCs/>
          <w:sz w:val="24"/>
          <w:szCs w:val="24"/>
        </w:rPr>
        <w:t>9</w:t>
      </w:r>
      <w:r w:rsidR="00F210D9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424A25" w:rsidRPr="004D0276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="00DC3099" w:rsidRPr="004D0276">
        <w:rPr>
          <w:rFonts w:ascii="Bookman Old Style" w:hAnsi="Bookman Old Style" w:cs="Bookman Old Style"/>
          <w:bCs/>
          <w:iCs/>
          <w:sz w:val="24"/>
          <w:szCs w:val="24"/>
        </w:rPr>
        <w:t>d</w:t>
      </w:r>
      <w:r w:rsidR="00424A25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ha predisposto</w:t>
      </w:r>
      <w:r w:rsidR="00E16C02" w:rsidRPr="004D0276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424A25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E16C02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nel mese di </w:t>
      </w:r>
      <w:r w:rsidR="00CE086C" w:rsidRPr="004D0276">
        <w:rPr>
          <w:rFonts w:ascii="Bookman Old Style" w:hAnsi="Bookman Old Style" w:cs="Bookman Old Style"/>
          <w:bCs/>
          <w:iCs/>
          <w:sz w:val="24"/>
          <w:szCs w:val="24"/>
        </w:rPr>
        <w:t>aprile 201</w:t>
      </w:r>
      <w:r w:rsidR="008D7B54" w:rsidRPr="004D0276">
        <w:rPr>
          <w:rFonts w:ascii="Bookman Old Style" w:hAnsi="Bookman Old Style" w:cs="Bookman Old Style"/>
          <w:bCs/>
          <w:iCs/>
          <w:sz w:val="24"/>
          <w:szCs w:val="24"/>
        </w:rPr>
        <w:t>9</w:t>
      </w:r>
      <w:r w:rsidR="00E16C02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424A25" w:rsidRPr="004D0276">
        <w:rPr>
          <w:rFonts w:ascii="Bookman Old Style" w:hAnsi="Bookman Old Style" w:cs="Bookman Old Style"/>
          <w:bCs/>
          <w:iCs/>
          <w:sz w:val="24"/>
          <w:szCs w:val="24"/>
        </w:rPr>
        <w:t>il conseg</w:t>
      </w:r>
      <w:r w:rsidR="00DC3099" w:rsidRPr="004D0276">
        <w:rPr>
          <w:rFonts w:ascii="Bookman Old Style" w:hAnsi="Bookman Old Style" w:cs="Bookman Old Style"/>
          <w:bCs/>
          <w:iCs/>
          <w:sz w:val="24"/>
          <w:szCs w:val="24"/>
        </w:rPr>
        <w:t>uente D</w:t>
      </w:r>
      <w:r w:rsidR="00212BF5" w:rsidRPr="004D0276">
        <w:rPr>
          <w:rFonts w:ascii="Bookman Old Style" w:hAnsi="Bookman Old Style" w:cs="Bookman Old Style"/>
          <w:bCs/>
          <w:iCs/>
          <w:sz w:val="24"/>
          <w:szCs w:val="24"/>
        </w:rPr>
        <w:t>o</w:t>
      </w:r>
      <w:r w:rsidR="00D21F6B" w:rsidRPr="004D0276">
        <w:rPr>
          <w:rFonts w:ascii="Bookman Old Style" w:hAnsi="Bookman Old Style" w:cs="Bookman Old Style"/>
          <w:bCs/>
          <w:iCs/>
          <w:sz w:val="24"/>
          <w:szCs w:val="24"/>
        </w:rPr>
        <w:t>cumento di Attestazione</w:t>
      </w:r>
      <w:r w:rsidRPr="004D0276"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14:paraId="66FF9213" w14:textId="77777777" w:rsidR="00B20682" w:rsidRPr="00C124A3" w:rsidRDefault="003E6EA9" w:rsidP="00040735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t>F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.  DEFINIZIONE E GESTIONE DEGLI STANDARD DI QUALITA’</w:t>
      </w:r>
    </w:p>
    <w:p w14:paraId="7593CF78" w14:textId="77777777" w:rsidR="003B7614" w:rsidRDefault="003B7614" w:rsidP="00D16414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 xml:space="preserve">Con riferimento alla qualità dei dati, l’Istat ha adottato la </w:t>
      </w:r>
      <w:r>
        <w:rPr>
          <w:rFonts w:ascii="Bookman Old Style" w:hAnsi="Bookman Old Style" w:cs="Bookman Old Style"/>
          <w:sz w:val="24"/>
          <w:szCs w:val="24"/>
        </w:rPr>
        <w:t>definizione della qualità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 formulata da Eurostat, che i</w:t>
      </w:r>
      <w:r w:rsidR="00245AFE">
        <w:rPr>
          <w:rFonts w:ascii="Bookman Old Style" w:hAnsi="Bookman Old Style" w:cs="Bookman Old Style"/>
          <w:sz w:val="24"/>
          <w:szCs w:val="24"/>
        </w:rPr>
        <w:t>ndividua le seguenti dimensioni</w:t>
      </w:r>
      <w:r w:rsidRPr="003B7614">
        <w:rPr>
          <w:rFonts w:ascii="Bookman Old Style" w:hAnsi="Bookman Old Style" w:cs="Bookman Old Style"/>
          <w:sz w:val="24"/>
          <w:szCs w:val="24"/>
        </w:rPr>
        <w:t>: rilevanza, accuratezza, tempestività e puntualità, accessibilità e chiarezza, coerenza e comparabilità.</w:t>
      </w:r>
    </w:p>
    <w:p w14:paraId="428B365D" w14:textId="77777777" w:rsidR="00245AFE" w:rsidRPr="00245AFE" w:rsidRDefault="00245AFE" w:rsidP="00245AFE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La politica per la qualità dell'Istat è finalizzata al miglioramento dei prodotti e dei processi statistici, attraverso lo sviluppo di appropriate metodologie e strumenti. Tra questi si segnalano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71B16CB7" w14:textId="77777777"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 xml:space="preserve">le Linee Guida per la qualità dei processi statistici </w:t>
      </w:r>
      <w:r>
        <w:rPr>
          <w:rFonts w:ascii="Bookman Old Style" w:hAnsi="Bookman Old Style" w:cs="Bookman Old Style"/>
          <w:sz w:val="24"/>
          <w:szCs w:val="24"/>
        </w:rPr>
        <w:t xml:space="preserve">di fonte amministrativa e per la </w:t>
      </w:r>
      <w:r w:rsidRPr="00C124A3">
        <w:rPr>
          <w:rFonts w:ascii="Bookman Old Style" w:hAnsi="Bookman Old Style" w:cs="Bookman Old Style"/>
          <w:sz w:val="24"/>
          <w:szCs w:val="24"/>
        </w:rPr>
        <w:t>qualità dei processi statistici</w:t>
      </w:r>
      <w:r w:rsidRPr="00245AFE">
        <w:rPr>
          <w:rFonts w:ascii="Bookman Old Style" w:hAnsi="Bookman Old Style" w:cs="Bookman Old Style"/>
          <w:sz w:val="24"/>
          <w:szCs w:val="24"/>
        </w:rPr>
        <w:t>;</w:t>
      </w:r>
    </w:p>
    <w:p w14:paraId="3EA4AE01" w14:textId="77777777"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245AFE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245AFE">
        <w:rPr>
          <w:rFonts w:ascii="Bookman Old Style" w:hAnsi="Bookman Old Style" w:cs="Bookman Old Style"/>
          <w:sz w:val="24"/>
          <w:szCs w:val="24"/>
        </w:rPr>
        <w:t>);</w:t>
      </w:r>
    </w:p>
    <w:p w14:paraId="4EB42A37" w14:textId="4DF9D518" w:rsid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l’Audit per la valutazione della qualità.</w:t>
      </w:r>
    </w:p>
    <w:p w14:paraId="0470DA15" w14:textId="77777777" w:rsidR="003027AB" w:rsidRPr="00245AFE" w:rsidRDefault="003027AB" w:rsidP="003027AB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70C44F40" w14:textId="77777777" w:rsidR="00245AFE" w:rsidRDefault="00895812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lastRenderedPageBreak/>
        <w:t xml:space="preserve">Le </w:t>
      </w:r>
      <w:hyperlink r:id="rId8" w:history="1">
        <w:r w:rsidRPr="00C124A3">
          <w:rPr>
            <w:rStyle w:val="Collegamentoipertestuale"/>
            <w:rFonts w:ascii="Bookman Old Style" w:hAnsi="Bookman Old Style" w:cs="Bookman Old Style"/>
            <w:bCs/>
            <w:color w:val="auto"/>
            <w:sz w:val="24"/>
            <w:szCs w:val="24"/>
            <w:u w:val="none"/>
          </w:rPr>
          <w:t>Linee guida per la qualità dei processi statistici</w:t>
        </w:r>
      </w:hyperlink>
      <w:r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245AFE" w:rsidRPr="00245AFE">
        <w:rPr>
          <w:rFonts w:ascii="Bookman Old Style" w:hAnsi="Bookman Old Style" w:cs="Bookman Old Style"/>
          <w:sz w:val="24"/>
          <w:szCs w:val="24"/>
        </w:rPr>
        <w:t>di fonte amministrativa contengono i principi per l’acquisizione e l’integrazione di dati amministrativi e per la diffusione di statistiche prodotte utilizzando dati di fonte amministrativa.</w:t>
      </w:r>
    </w:p>
    <w:p w14:paraId="36215132" w14:textId="77777777" w:rsidR="00245AFE" w:rsidRDefault="007F7841" w:rsidP="00D57081">
      <w:pPr>
        <w:spacing w:before="240" w:after="120" w:line="360" w:lineRule="auto"/>
        <w:jc w:val="both"/>
        <w:rPr>
          <w:rStyle w:val="Collegamentoipertestuale"/>
          <w:rFonts w:ascii="Bookman Old Style" w:hAnsi="Bookman Old Style" w:cs="Bookman Old Style"/>
          <w:bCs/>
          <w:color w:val="auto"/>
          <w:sz w:val="24"/>
          <w:szCs w:val="24"/>
          <w:u w:val="none"/>
        </w:rPr>
      </w:pPr>
      <w:r w:rsidRPr="00C124A3">
        <w:rPr>
          <w:rFonts w:ascii="Bookman Old Style" w:hAnsi="Bookman Old Style" w:cs="Bookman Old Style"/>
          <w:sz w:val="24"/>
          <w:szCs w:val="24"/>
        </w:rPr>
        <w:t xml:space="preserve">Le Linee </w:t>
      </w:r>
      <w:hyperlink r:id="rId9" w:history="1">
        <w:r w:rsidR="00895812" w:rsidRPr="00C124A3">
          <w:rPr>
            <w:rStyle w:val="Collegamentoipertestuale"/>
            <w:rFonts w:ascii="Bookman Old Style" w:hAnsi="Bookman Old Style" w:cs="Bookman Old Style"/>
            <w:bCs/>
            <w:color w:val="auto"/>
            <w:sz w:val="24"/>
            <w:szCs w:val="24"/>
            <w:u w:val="none"/>
          </w:rPr>
          <w:t xml:space="preserve">per la qualità dei processi statistici </w:t>
        </w:r>
      </w:hyperlink>
      <w:r w:rsidR="00245AFE" w:rsidRPr="00245AFE">
        <w:t xml:space="preserve"> 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 xml:space="preserve">contengono i principi per la progettazione, </w:t>
      </w:r>
      <w:r w:rsidR="00245AFE">
        <w:rPr>
          <w:rFonts w:ascii="Bookman Old Style" w:hAnsi="Bookman Old Style" w:cs="Bookman Old Style"/>
          <w:bCs/>
          <w:sz w:val="24"/>
          <w:szCs w:val="24"/>
        </w:rPr>
        <w:t>l’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 xml:space="preserve">esecuzione e </w:t>
      </w:r>
      <w:r w:rsidR="00245AFE">
        <w:rPr>
          <w:rFonts w:ascii="Bookman Old Style" w:hAnsi="Bookman Old Style" w:cs="Bookman Old Style"/>
          <w:bCs/>
          <w:sz w:val="24"/>
          <w:szCs w:val="24"/>
        </w:rPr>
        <w:t xml:space="preserve">il 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>controllo di una rilevazione statistica e i requisiti di qualità che le statistiche devono soddisfare.</w:t>
      </w:r>
    </w:p>
    <w:p w14:paraId="3734CA40" w14:textId="77777777" w:rsidR="00895812" w:rsidRDefault="00A80C08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Le Linee guida sono lo standard di riferimento per la valutazione della qualità, sia di processo che di prodotto, dei processi condotti dall'Istituto. Infatti, sono utilizzate nelle procedure di audit e autovalutazione statistico-metodologica.</w:t>
      </w:r>
    </w:p>
    <w:p w14:paraId="7F3FBFFB" w14:textId="786AFB5E" w:rsidR="003B7614" w:rsidRDefault="003B7614" w:rsidP="00FF75B6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)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contiene informazioni sulle modalità di esecuzione delle rilevazioni ed elaborazioni condotte dall’Istat e sulle attività svolte per garantire la qualità dell’in</w:t>
      </w:r>
      <w:r w:rsidR="00810159">
        <w:rPr>
          <w:rFonts w:ascii="Bookman Old Style" w:hAnsi="Bookman Old Style" w:cs="Bookman Old Style"/>
          <w:sz w:val="24"/>
          <w:szCs w:val="24"/>
        </w:rPr>
        <w:t xml:space="preserve">formazione statistica prodotta.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Il sistema è dedicato alla navigazione dei metadati che descrivono il processo produttivo e le sue caratteristiche: contenuto informativo, scomposizione in fasi e operazioni, attività di prevenzione, controllo e valutazione dell’errore.</w:t>
      </w:r>
      <w:r w:rsidR="00810159">
        <w:rPr>
          <w:rFonts w:ascii="Bookman Old Style" w:hAnsi="Bookman Old Style" w:cs="Bookman Old Style"/>
          <w:sz w:val="24"/>
          <w:szCs w:val="24"/>
        </w:rPr>
        <w:t xml:space="preserve"> 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Permette l’interrogazione di indicatori standard di qualità attraverso varie funzionalità grafiche e tabellari, e la loro esportazione in formato 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excel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. Consente inoltre l’accesso a documentazione di diversa natura, dai questionari delle rilevazioni, ai regolamenti europei, ai manuali di carattere operativo che disciplinano la produzione, fino ai documenti rilevanti sulla qualità (per es. 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quality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 report). </w:t>
      </w:r>
    </w:p>
    <w:p w14:paraId="3B3A37A4" w14:textId="77777777" w:rsidR="003027AB" w:rsidRPr="003B7614" w:rsidRDefault="003027AB" w:rsidP="00FF75B6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BB4EC01" w14:textId="43D07CC0" w:rsidR="00810159" w:rsidRPr="00810159" w:rsidRDefault="00810159" w:rsidP="00810159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810159">
        <w:rPr>
          <w:rFonts w:ascii="Bookman Old Style" w:hAnsi="Bookman Old Style" w:cs="Bookman Old Style"/>
          <w:sz w:val="24"/>
          <w:szCs w:val="24"/>
        </w:rPr>
        <w:lastRenderedPageBreak/>
        <w:t xml:space="preserve">Le procedure di Audit si basano sul confronto tra le caratteristiche del processo statistico ed i principi contenuti nelle </w:t>
      </w:r>
      <w:r>
        <w:rPr>
          <w:rFonts w:ascii="Bookman Old Style" w:hAnsi="Bookman Old Style" w:cs="Bookman Old Style"/>
          <w:sz w:val="24"/>
          <w:szCs w:val="24"/>
        </w:rPr>
        <w:t>Linee guida per la qualità</w:t>
      </w:r>
      <w:r w:rsidRPr="00810159">
        <w:rPr>
          <w:rFonts w:ascii="Bookman Old Style" w:hAnsi="Bookman Old Style" w:cs="Bookman Old Style"/>
          <w:sz w:val="24"/>
          <w:szCs w:val="24"/>
        </w:rPr>
        <w:t xml:space="preserve"> e sono finalizzate a individuare eventuali punti di debolezza del processo nonché le eventuali azioni di miglioramento da effettuare.</w:t>
      </w:r>
    </w:p>
    <w:p w14:paraId="76CECAE3" w14:textId="431292A8" w:rsidR="00A6369B" w:rsidRDefault="00621C9F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Da sottolineare l’importanza delle </w:t>
      </w:r>
      <w:r w:rsidR="009E2FB7" w:rsidRPr="004534F3">
        <w:rPr>
          <w:rFonts w:ascii="Bookman Old Style" w:hAnsi="Bookman Old Style" w:cs="Bookman Old Style"/>
          <w:sz w:val="24"/>
          <w:szCs w:val="24"/>
        </w:rPr>
        <w:t>Linee guida per la qualità del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le statistiche del</w:t>
      </w:r>
      <w:r w:rsidR="009E2FB7" w:rsidRPr="004534F3">
        <w:rPr>
          <w:rFonts w:ascii="Bookman Old Style" w:hAnsi="Bookman Old Style" w:cs="Bookman Old Style"/>
          <w:sz w:val="24"/>
          <w:szCs w:val="24"/>
        </w:rPr>
        <w:t xml:space="preserve"> Sistema statistico nazionale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,</w:t>
      </w:r>
      <w:r w:rsidR="00777C1C" w:rsidRPr="004534F3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predisposte dall’Istituto nel 2018, </w:t>
      </w:r>
      <w:r w:rsidR="00777C1C" w:rsidRPr="004534F3">
        <w:rPr>
          <w:rFonts w:ascii="Bookman Old Style" w:hAnsi="Bookman Old Style" w:cs="Bookman Old Style"/>
          <w:sz w:val="24"/>
          <w:szCs w:val="24"/>
        </w:rPr>
        <w:t xml:space="preserve">quale strumento di supporto alla valutazione della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qualità delle statistiche prodotte d</w:t>
      </w:r>
      <w:r w:rsidR="00AA7AA7" w:rsidRPr="004534F3">
        <w:rPr>
          <w:rFonts w:ascii="Bookman Old Style" w:hAnsi="Bookman Old Style" w:cs="Bookman Old Style"/>
          <w:sz w:val="24"/>
          <w:szCs w:val="24"/>
        </w:rPr>
        <w:t xml:space="preserve">agli enti del </w:t>
      </w:r>
      <w:proofErr w:type="spellStart"/>
      <w:r w:rsidR="00AA7AA7" w:rsidRPr="004534F3">
        <w:rPr>
          <w:rFonts w:ascii="Bookman Old Style" w:hAnsi="Bookman Old Style" w:cs="Bookman Old Style"/>
          <w:sz w:val="24"/>
          <w:szCs w:val="24"/>
        </w:rPr>
        <w:t>Sist</w:t>
      </w:r>
      <w:r w:rsidR="004534F3">
        <w:rPr>
          <w:rFonts w:ascii="Bookman Old Style" w:hAnsi="Bookman Old Style" w:cs="Bookman Old Style"/>
          <w:sz w:val="24"/>
          <w:szCs w:val="24"/>
        </w:rPr>
        <w:t>an</w:t>
      </w:r>
      <w:proofErr w:type="spellEnd"/>
      <w:r w:rsidR="004534F3">
        <w:rPr>
          <w:rFonts w:ascii="Bookman Old Style" w:hAnsi="Bookman Old Style" w:cs="Bookman Old Style"/>
          <w:sz w:val="24"/>
          <w:szCs w:val="24"/>
        </w:rPr>
        <w:t xml:space="preserve">. </w:t>
      </w:r>
      <w:r w:rsidR="00DD538C">
        <w:rPr>
          <w:rFonts w:ascii="Bookman Old Style" w:hAnsi="Bookman Old Style" w:cs="Bookman Old Style"/>
          <w:sz w:val="24"/>
          <w:szCs w:val="24"/>
        </w:rPr>
        <w:t>Tali Linee r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iportano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i principi da seguire per produrre le statistiche secondo gli standard metodologici più consolidati.</w:t>
      </w:r>
    </w:p>
    <w:p w14:paraId="764A4F36" w14:textId="77777777" w:rsidR="00AA7AA7" w:rsidRPr="004534F3" w:rsidRDefault="00AA7AA7" w:rsidP="00FF75B6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4534F3">
        <w:rPr>
          <w:rFonts w:ascii="Bookman Old Style" w:hAnsi="Bookman Old Style" w:cs="Bookman Old Style"/>
          <w:sz w:val="24"/>
          <w:szCs w:val="24"/>
        </w:rPr>
        <w:t xml:space="preserve">Sono rivolte ai responsabili dei processi statistici degli enti del </w:t>
      </w:r>
      <w:proofErr w:type="spellStart"/>
      <w:r w:rsidRPr="004534F3">
        <w:rPr>
          <w:rFonts w:ascii="Bookman Old Style" w:hAnsi="Bookman Old Style" w:cs="Bookman Old Style"/>
          <w:sz w:val="24"/>
          <w:szCs w:val="24"/>
        </w:rPr>
        <w:t>Sistan</w:t>
      </w:r>
      <w:proofErr w:type="spellEnd"/>
      <w:r w:rsidRPr="004534F3">
        <w:rPr>
          <w:rFonts w:ascii="Bookman Old Style" w:hAnsi="Bookman Old Style" w:cs="Bookman Old Style"/>
          <w:sz w:val="24"/>
          <w:szCs w:val="24"/>
        </w:rPr>
        <w:t xml:space="preserve">, che 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 xml:space="preserve">in tal modo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possono ripercorrere tutte le fasi di un tipico processo produttivo, per </w:t>
      </w:r>
      <w:r w:rsidRPr="004534F3">
        <w:rPr>
          <w:rFonts w:ascii="Bookman Old Style" w:hAnsi="Bookman Old Style" w:cs="Bookman Old Style"/>
          <w:sz w:val="24"/>
          <w:szCs w:val="24"/>
        </w:rPr>
        <w:t xml:space="preserve">comprendere quali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siano le </w:t>
      </w:r>
      <w:r w:rsidRPr="004534F3">
        <w:rPr>
          <w:rFonts w:ascii="Bookman Old Style" w:hAnsi="Bookman Old Style" w:cs="Bookman Old Style"/>
          <w:sz w:val="24"/>
          <w:szCs w:val="24"/>
        </w:rPr>
        <w:t xml:space="preserve">attività statistiche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che 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>possono essere svolte, come dovrebbero essere implementate per prevenire gl</w:t>
      </w:r>
      <w:r w:rsidR="00E07218">
        <w:rPr>
          <w:rFonts w:ascii="Bookman Old Style" w:hAnsi="Bookman Old Style" w:cs="Bookman Old Style"/>
          <w:sz w:val="24"/>
          <w:szCs w:val="24"/>
        </w:rPr>
        <w:t>i errori, quali indicatori possa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>no essere calcolati per effettuare il monitoraggio in corso d’opera e valutare a posteriori la qualità e quale sia l’impatto delle procedure sulla qualità finale dei dati.</w:t>
      </w:r>
    </w:p>
    <w:p w14:paraId="1BCDC86D" w14:textId="77777777" w:rsidR="003E6EA9" w:rsidRPr="00A57EFB" w:rsidRDefault="003E6EA9" w:rsidP="000964E0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/>
          <w:bCs/>
          <w:iCs/>
          <w:sz w:val="24"/>
          <w:szCs w:val="24"/>
        </w:rPr>
        <w:t>G. UTILIZZO DEI RISULTATI DEL SISTEMA DI MISURAZIONE E VALUTAZIONE</w:t>
      </w:r>
    </w:p>
    <w:p w14:paraId="408EB02D" w14:textId="343A0FB9" w:rsidR="003E6EA9" w:rsidRPr="00A57EFB" w:rsidRDefault="003E6EA9" w:rsidP="006D79F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I cambiamenti introdotti al sistema di pianificazione e programmazione dell’Istituto hanno richiesto un ulteriore impegno da parte di t</w:t>
      </w:r>
      <w:r w:rsidR="00E07218">
        <w:rPr>
          <w:rFonts w:ascii="Bookman Old Style" w:hAnsi="Bookman Old Style" w:cs="Bookman Old Style"/>
          <w:bCs/>
          <w:iCs/>
          <w:sz w:val="24"/>
          <w:szCs w:val="24"/>
        </w:rPr>
        <w:t xml:space="preserve">utte le strutture organizzative,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ai fini di </w:t>
      </w:r>
      <w:r w:rsidR="00A57EFB">
        <w:rPr>
          <w:rFonts w:ascii="Bookman Old Style" w:hAnsi="Bookman Old Style" w:cs="Bookman Old Style"/>
          <w:bCs/>
          <w:iCs/>
          <w:sz w:val="24"/>
          <w:szCs w:val="24"/>
        </w:rPr>
        <w:t>una ottimale realizzazione del c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iclo della performance. La </w:t>
      </w:r>
      <w:r w:rsidR="00A57EFB">
        <w:rPr>
          <w:rFonts w:ascii="Bookman Old Style" w:hAnsi="Bookman Old Style" w:cs="Bookman Old Style"/>
          <w:bCs/>
          <w:iCs/>
          <w:sz w:val="24"/>
          <w:szCs w:val="24"/>
        </w:rPr>
        <w:t>collaborazione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tra le strutture ha </w:t>
      </w:r>
      <w:r w:rsidR="007F502F">
        <w:rPr>
          <w:rFonts w:ascii="Bookman Old Style" w:hAnsi="Bookman Old Style" w:cs="Bookman Old Style"/>
          <w:bCs/>
          <w:iCs/>
          <w:sz w:val="24"/>
          <w:szCs w:val="24"/>
        </w:rPr>
        <w:t>confermato l’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assestamento del sistema di programmazione.</w:t>
      </w:r>
    </w:p>
    <w:p w14:paraId="3D097920" w14:textId="18BC25F6" w:rsidR="003E6EA9" w:rsidRPr="00A57EFB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 xml:space="preserve">In tale contesto, l’Organismo ha favorito, attraverso incontri e colloqui con i responsabili interessati, una più intensa sensibilizzazione ai fini della diffusione di una </w:t>
      </w:r>
      <w:r w:rsidR="007F502F">
        <w:rPr>
          <w:rFonts w:ascii="Bookman Old Style" w:hAnsi="Bookman Old Style" w:cs="Bookman Old Style"/>
          <w:bCs/>
          <w:iCs/>
          <w:sz w:val="24"/>
          <w:szCs w:val="24"/>
        </w:rPr>
        <w:t xml:space="preserve">sempre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maggiore cultura della performance all’interno dell’Istituto.</w:t>
      </w:r>
    </w:p>
    <w:p w14:paraId="2F78A51B" w14:textId="77777777" w:rsidR="003E6EA9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 tal proposito, si ribadisce l’importanza della coerenza tra le risultanze dei </w:t>
      </w:r>
      <w:r w:rsidR="00A57EFB" w:rsidRPr="00A57EFB">
        <w:rPr>
          <w:rFonts w:ascii="Bookman Old Style" w:hAnsi="Bookman Old Style" w:cs="Bookman Old Style"/>
          <w:bCs/>
          <w:iCs/>
          <w:sz w:val="24"/>
          <w:szCs w:val="24"/>
        </w:rPr>
        <w:t>documenti previsti dal ciclo della performance (Piano della performance, Relazione sulla performance, ecc.)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, dei documenti di bilancio</w:t>
      </w:r>
      <w:r w:rsidR="00E07218">
        <w:rPr>
          <w:rFonts w:ascii="Bookman Old Style" w:hAnsi="Bookman Old Style" w:cs="Bookman Old Style"/>
          <w:bCs/>
          <w:iCs/>
          <w:sz w:val="24"/>
          <w:szCs w:val="24"/>
        </w:rPr>
        <w:t xml:space="preserve"> nonché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di quelli volti a prevenire la corruzione e ad accrescere la trasparenza e l’integrità. </w:t>
      </w:r>
    </w:p>
    <w:p w14:paraId="4262C68A" w14:textId="77777777" w:rsidR="00B20682" w:rsidRPr="00C124A3" w:rsidRDefault="00B20682" w:rsidP="00C649A0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H.  DESCRIZIONE DELLE MODALITA’ DI MONITORAGGIO DELL’OIV</w:t>
      </w:r>
    </w:p>
    <w:p w14:paraId="62676BC8" w14:textId="77777777" w:rsidR="002E0711" w:rsidRPr="00C124A3" w:rsidRDefault="00AB6FB4" w:rsidP="00D5708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>’Organismo, a seguito dell’assegnazione da parte del Presidente degli obiettivi individuali ai dirigenti generali, ha esaminato le schede e le relazioni di programmazione dei direttori. Nel corso dell’anno, ha seguito il grado di conseguimento degli obiettivi individuali, verificando gli eventuali scostamenti dello stato di avanzamento effettivo rispetto alle previsioni iniziali</w:t>
      </w:r>
      <w:r w:rsidR="008255D0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fornendo assistenza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alle strutture 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in caso di 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>c</w:t>
      </w:r>
      <w:r w:rsidR="00B420A0">
        <w:rPr>
          <w:rFonts w:ascii="Bookman Old Style" w:hAnsi="Bookman Old Style" w:cs="Bookman Old Style"/>
          <w:bCs/>
          <w:iCs/>
          <w:sz w:val="24"/>
          <w:szCs w:val="24"/>
        </w:rPr>
        <w:t>riticità riscontrate, interloquendo con i direttori e fornendo loro un supporto nell’eventuale rimodulazione degli obiettivi.</w:t>
      </w:r>
    </w:p>
    <w:p w14:paraId="349EB4B8" w14:textId="77777777" w:rsidR="00B20682" w:rsidRDefault="006B37D1">
      <w:pPr>
        <w:spacing w:before="240" w:after="120" w:line="360" w:lineRule="auto"/>
        <w:jc w:val="both"/>
      </w:pP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Ha inoltre seguito lo stato di attuazione delle </w:t>
      </w:r>
      <w:r w:rsidR="00762DA5" w:rsidRPr="00C124A3">
        <w:rPr>
          <w:rFonts w:ascii="Bookman Old Style" w:hAnsi="Bookman Old Style" w:cs="Bookman Old Style"/>
          <w:bCs/>
          <w:iCs/>
          <w:sz w:val="24"/>
          <w:szCs w:val="24"/>
        </w:rPr>
        <w:t>attività</w:t>
      </w:r>
      <w:r w:rsidR="00E514FA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AB6FB4">
        <w:rPr>
          <w:rFonts w:ascii="Bookman Old Style" w:hAnsi="Bookman Old Style" w:cs="Bookman Old Style"/>
          <w:bCs/>
          <w:iCs/>
          <w:sz w:val="24"/>
          <w:szCs w:val="24"/>
        </w:rPr>
        <w:t>afferenti alle singole strutture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in relazione alle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informazioni fornite d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 direttori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e a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quelle presenti ne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>sistema di pianificazione PPMO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.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Le attività di verifica 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dell’Organismo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sono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stat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effettuat</w:t>
      </w:r>
      <w:r w:rsidR="0066647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attraverso colloqui con i responsa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bili degli uffici dirigenziali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 </w:t>
      </w:r>
      <w:r w:rsidR="00EF48C0">
        <w:rPr>
          <w:rFonts w:ascii="Bookman Old Style" w:hAnsi="Bookman Old Style" w:cs="Bookman Old Style"/>
          <w:bCs/>
          <w:iCs/>
          <w:sz w:val="24"/>
          <w:szCs w:val="24"/>
        </w:rPr>
        <w:t xml:space="preserve">mediante 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report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sullo stato di 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>avanzamento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delle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 xml:space="preserve"> attività</w:t>
      </w:r>
      <w:r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sectPr w:rsidR="00B20682" w:rsidSect="00796BC3">
      <w:headerReference w:type="default" r:id="rId10"/>
      <w:footerReference w:type="default" r:id="rId11"/>
      <w:pgSz w:w="11906" w:h="16838" w:code="9"/>
      <w:pgMar w:top="2268" w:right="1701" w:bottom="2268" w:left="1701" w:header="680" w:footer="68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DA896" w14:textId="77777777" w:rsidR="005A5CEB" w:rsidRDefault="005A5CEB">
      <w:pPr>
        <w:spacing w:after="0" w:line="240" w:lineRule="auto"/>
      </w:pPr>
      <w:r>
        <w:separator/>
      </w:r>
    </w:p>
  </w:endnote>
  <w:endnote w:type="continuationSeparator" w:id="0">
    <w:p w14:paraId="3CB07935" w14:textId="77777777" w:rsidR="005A5CEB" w:rsidRDefault="005A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,Italic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605A" w14:textId="77777777" w:rsidR="00DD0E5E" w:rsidRDefault="00DD0E5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F48C0">
      <w:rPr>
        <w:noProof/>
      </w:rPr>
      <w:t>2</w:t>
    </w:r>
    <w:r>
      <w:fldChar w:fldCharType="end"/>
    </w:r>
  </w:p>
  <w:p w14:paraId="06F11A4A" w14:textId="77777777" w:rsidR="008F0769" w:rsidRDefault="008F0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F6EB" w14:textId="77777777" w:rsidR="005A5CEB" w:rsidRDefault="005A5CEB">
      <w:pPr>
        <w:spacing w:after="0" w:line="240" w:lineRule="auto"/>
      </w:pPr>
      <w:r>
        <w:separator/>
      </w:r>
    </w:p>
  </w:footnote>
  <w:footnote w:type="continuationSeparator" w:id="0">
    <w:p w14:paraId="60A4A63B" w14:textId="77777777" w:rsidR="005A5CEB" w:rsidRDefault="005A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C022" w14:textId="77777777" w:rsidR="00DD0E5E" w:rsidRPr="00DD0E5E" w:rsidRDefault="00DD0E5E">
    <w:pPr>
      <w:pStyle w:val="Intestazione"/>
      <w:rPr>
        <w:rFonts w:ascii="Bookman Old Style" w:hAnsi="Bookman Old Style"/>
        <w:i/>
      </w:rPr>
    </w:pPr>
    <w:r w:rsidRPr="00DD0E5E">
      <w:rPr>
        <w:rFonts w:ascii="Bookman Old Style" w:hAnsi="Bookman Old Style"/>
        <w:i/>
      </w:rPr>
      <w:t>Organismo Indipendente di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Bookman Old Style" w:hAnsi="Bookman Old Style" w:cs="font31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F049BC"/>
    <w:multiLevelType w:val="multilevel"/>
    <w:tmpl w:val="0F4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C2C4B"/>
    <w:multiLevelType w:val="hybridMultilevel"/>
    <w:tmpl w:val="0F62A1DA"/>
    <w:lvl w:ilvl="0" w:tplc="BDD067CA">
      <w:start w:val="6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ED"/>
    <w:rsid w:val="00004C09"/>
    <w:rsid w:val="00006BA6"/>
    <w:rsid w:val="00013C78"/>
    <w:rsid w:val="00017A9D"/>
    <w:rsid w:val="000252AB"/>
    <w:rsid w:val="00026C6B"/>
    <w:rsid w:val="00026EEA"/>
    <w:rsid w:val="000274D8"/>
    <w:rsid w:val="0003121E"/>
    <w:rsid w:val="00031A45"/>
    <w:rsid w:val="00035475"/>
    <w:rsid w:val="00035672"/>
    <w:rsid w:val="00036348"/>
    <w:rsid w:val="00036F23"/>
    <w:rsid w:val="00040735"/>
    <w:rsid w:val="00042026"/>
    <w:rsid w:val="0004565E"/>
    <w:rsid w:val="000471CF"/>
    <w:rsid w:val="00047AEA"/>
    <w:rsid w:val="00055FA5"/>
    <w:rsid w:val="0006589C"/>
    <w:rsid w:val="00066D32"/>
    <w:rsid w:val="000710AC"/>
    <w:rsid w:val="00071174"/>
    <w:rsid w:val="000755DB"/>
    <w:rsid w:val="00076570"/>
    <w:rsid w:val="0007743C"/>
    <w:rsid w:val="00081846"/>
    <w:rsid w:val="0008772D"/>
    <w:rsid w:val="00090792"/>
    <w:rsid w:val="00092C91"/>
    <w:rsid w:val="00093DE2"/>
    <w:rsid w:val="000957AC"/>
    <w:rsid w:val="00095824"/>
    <w:rsid w:val="000964E0"/>
    <w:rsid w:val="000A0B72"/>
    <w:rsid w:val="000A1490"/>
    <w:rsid w:val="000A18C9"/>
    <w:rsid w:val="000A2B07"/>
    <w:rsid w:val="000A2B24"/>
    <w:rsid w:val="000A3503"/>
    <w:rsid w:val="000A3D68"/>
    <w:rsid w:val="000A6349"/>
    <w:rsid w:val="000A73FD"/>
    <w:rsid w:val="000B0406"/>
    <w:rsid w:val="000B4EB4"/>
    <w:rsid w:val="000C1E28"/>
    <w:rsid w:val="000C33A2"/>
    <w:rsid w:val="000C7D92"/>
    <w:rsid w:val="000D26F6"/>
    <w:rsid w:val="000D3FFB"/>
    <w:rsid w:val="000D6CA4"/>
    <w:rsid w:val="000E6E6D"/>
    <w:rsid w:val="000E6EDA"/>
    <w:rsid w:val="000F0CAF"/>
    <w:rsid w:val="000F16F2"/>
    <w:rsid w:val="000F1DA2"/>
    <w:rsid w:val="000F1E4D"/>
    <w:rsid w:val="000F308C"/>
    <w:rsid w:val="000F3FAE"/>
    <w:rsid w:val="000F7B75"/>
    <w:rsid w:val="00111E4C"/>
    <w:rsid w:val="00113601"/>
    <w:rsid w:val="001144BA"/>
    <w:rsid w:val="0011597F"/>
    <w:rsid w:val="00123E2C"/>
    <w:rsid w:val="001255C5"/>
    <w:rsid w:val="00125AD3"/>
    <w:rsid w:val="00125F67"/>
    <w:rsid w:val="00133308"/>
    <w:rsid w:val="001345D5"/>
    <w:rsid w:val="00137B50"/>
    <w:rsid w:val="0014179D"/>
    <w:rsid w:val="001443E7"/>
    <w:rsid w:val="00152B1F"/>
    <w:rsid w:val="00153970"/>
    <w:rsid w:val="00156E0D"/>
    <w:rsid w:val="001729ED"/>
    <w:rsid w:val="0018022A"/>
    <w:rsid w:val="001849A0"/>
    <w:rsid w:val="001879EA"/>
    <w:rsid w:val="0019065E"/>
    <w:rsid w:val="00191ABE"/>
    <w:rsid w:val="00193BAE"/>
    <w:rsid w:val="00196F91"/>
    <w:rsid w:val="001A00EE"/>
    <w:rsid w:val="001A2A8C"/>
    <w:rsid w:val="001A2B40"/>
    <w:rsid w:val="001B0EF6"/>
    <w:rsid w:val="001B18A2"/>
    <w:rsid w:val="001C27A7"/>
    <w:rsid w:val="001C6B08"/>
    <w:rsid w:val="001D50BD"/>
    <w:rsid w:val="001D6420"/>
    <w:rsid w:val="001D699F"/>
    <w:rsid w:val="001E417C"/>
    <w:rsid w:val="001F3BAE"/>
    <w:rsid w:val="00202751"/>
    <w:rsid w:val="002029E7"/>
    <w:rsid w:val="0020461F"/>
    <w:rsid w:val="002103C8"/>
    <w:rsid w:val="00211B06"/>
    <w:rsid w:val="00211D01"/>
    <w:rsid w:val="00212BF5"/>
    <w:rsid w:val="00215EDE"/>
    <w:rsid w:val="00217DCD"/>
    <w:rsid w:val="00220601"/>
    <w:rsid w:val="002207FE"/>
    <w:rsid w:val="00220C1C"/>
    <w:rsid w:val="00226EFF"/>
    <w:rsid w:val="00236648"/>
    <w:rsid w:val="00241489"/>
    <w:rsid w:val="00242333"/>
    <w:rsid w:val="00245A86"/>
    <w:rsid w:val="00245AFE"/>
    <w:rsid w:val="00245E11"/>
    <w:rsid w:val="00247625"/>
    <w:rsid w:val="00252BF8"/>
    <w:rsid w:val="00254402"/>
    <w:rsid w:val="00256E52"/>
    <w:rsid w:val="002610B7"/>
    <w:rsid w:val="002639FF"/>
    <w:rsid w:val="0026761D"/>
    <w:rsid w:val="002745FC"/>
    <w:rsid w:val="00276B3B"/>
    <w:rsid w:val="00282F1C"/>
    <w:rsid w:val="00291540"/>
    <w:rsid w:val="0029333A"/>
    <w:rsid w:val="002942F7"/>
    <w:rsid w:val="00294ACC"/>
    <w:rsid w:val="002A2CE0"/>
    <w:rsid w:val="002A335F"/>
    <w:rsid w:val="002A39AB"/>
    <w:rsid w:val="002A477B"/>
    <w:rsid w:val="002A7614"/>
    <w:rsid w:val="002A76BB"/>
    <w:rsid w:val="002B293E"/>
    <w:rsid w:val="002B6287"/>
    <w:rsid w:val="002B7DE0"/>
    <w:rsid w:val="002C23A1"/>
    <w:rsid w:val="002C289E"/>
    <w:rsid w:val="002C3244"/>
    <w:rsid w:val="002C445C"/>
    <w:rsid w:val="002C4493"/>
    <w:rsid w:val="002D224B"/>
    <w:rsid w:val="002D465C"/>
    <w:rsid w:val="002D4D03"/>
    <w:rsid w:val="002D50AF"/>
    <w:rsid w:val="002D681D"/>
    <w:rsid w:val="002D6916"/>
    <w:rsid w:val="002E0711"/>
    <w:rsid w:val="002E6C1D"/>
    <w:rsid w:val="002E6C79"/>
    <w:rsid w:val="002F0729"/>
    <w:rsid w:val="002F4A27"/>
    <w:rsid w:val="002F5094"/>
    <w:rsid w:val="002F7AF2"/>
    <w:rsid w:val="00300607"/>
    <w:rsid w:val="00301A2C"/>
    <w:rsid w:val="003027AB"/>
    <w:rsid w:val="00315C85"/>
    <w:rsid w:val="0031614E"/>
    <w:rsid w:val="00317620"/>
    <w:rsid w:val="003250F5"/>
    <w:rsid w:val="003263E9"/>
    <w:rsid w:val="00327E90"/>
    <w:rsid w:val="00330D7E"/>
    <w:rsid w:val="00331399"/>
    <w:rsid w:val="003319EF"/>
    <w:rsid w:val="00332936"/>
    <w:rsid w:val="00333DB8"/>
    <w:rsid w:val="00342EAC"/>
    <w:rsid w:val="003457E5"/>
    <w:rsid w:val="00345BAA"/>
    <w:rsid w:val="00346D46"/>
    <w:rsid w:val="003512EB"/>
    <w:rsid w:val="00352FE1"/>
    <w:rsid w:val="003569D9"/>
    <w:rsid w:val="00357D79"/>
    <w:rsid w:val="003606CD"/>
    <w:rsid w:val="003625E4"/>
    <w:rsid w:val="003626A8"/>
    <w:rsid w:val="003651F7"/>
    <w:rsid w:val="003670B8"/>
    <w:rsid w:val="00367170"/>
    <w:rsid w:val="00367FA5"/>
    <w:rsid w:val="00371113"/>
    <w:rsid w:val="00380ABB"/>
    <w:rsid w:val="00381E6F"/>
    <w:rsid w:val="003820E9"/>
    <w:rsid w:val="0038478E"/>
    <w:rsid w:val="0038547D"/>
    <w:rsid w:val="00386E3B"/>
    <w:rsid w:val="00391A6B"/>
    <w:rsid w:val="00392B72"/>
    <w:rsid w:val="00392BC4"/>
    <w:rsid w:val="00393E03"/>
    <w:rsid w:val="003A2F90"/>
    <w:rsid w:val="003A2FB8"/>
    <w:rsid w:val="003B20A2"/>
    <w:rsid w:val="003B6E30"/>
    <w:rsid w:val="003B7614"/>
    <w:rsid w:val="003C1002"/>
    <w:rsid w:val="003C426C"/>
    <w:rsid w:val="003C4976"/>
    <w:rsid w:val="003D5A51"/>
    <w:rsid w:val="003D65E0"/>
    <w:rsid w:val="003E06B7"/>
    <w:rsid w:val="003E6EA9"/>
    <w:rsid w:val="003E7E6B"/>
    <w:rsid w:val="003F3206"/>
    <w:rsid w:val="003F329A"/>
    <w:rsid w:val="003F54BC"/>
    <w:rsid w:val="00410907"/>
    <w:rsid w:val="00411AB1"/>
    <w:rsid w:val="00412259"/>
    <w:rsid w:val="00412949"/>
    <w:rsid w:val="00413AAA"/>
    <w:rsid w:val="00414556"/>
    <w:rsid w:val="004172D1"/>
    <w:rsid w:val="0042462D"/>
    <w:rsid w:val="00424A25"/>
    <w:rsid w:val="00431569"/>
    <w:rsid w:val="00435FC9"/>
    <w:rsid w:val="00443DC3"/>
    <w:rsid w:val="004455B8"/>
    <w:rsid w:val="00446ABE"/>
    <w:rsid w:val="0044794F"/>
    <w:rsid w:val="00451FC2"/>
    <w:rsid w:val="004534F3"/>
    <w:rsid w:val="004540E6"/>
    <w:rsid w:val="00462970"/>
    <w:rsid w:val="00462B85"/>
    <w:rsid w:val="00463EFF"/>
    <w:rsid w:val="004662B9"/>
    <w:rsid w:val="004736BB"/>
    <w:rsid w:val="004746A0"/>
    <w:rsid w:val="0048287E"/>
    <w:rsid w:val="00483143"/>
    <w:rsid w:val="00491C4B"/>
    <w:rsid w:val="0049705C"/>
    <w:rsid w:val="00497067"/>
    <w:rsid w:val="004A0D0B"/>
    <w:rsid w:val="004A41AA"/>
    <w:rsid w:val="004A7B0C"/>
    <w:rsid w:val="004B0587"/>
    <w:rsid w:val="004B1B77"/>
    <w:rsid w:val="004B400F"/>
    <w:rsid w:val="004C20E1"/>
    <w:rsid w:val="004C44CE"/>
    <w:rsid w:val="004C67AC"/>
    <w:rsid w:val="004D0276"/>
    <w:rsid w:val="004D4D23"/>
    <w:rsid w:val="004E474B"/>
    <w:rsid w:val="004E4DF5"/>
    <w:rsid w:val="004E797B"/>
    <w:rsid w:val="004F0B22"/>
    <w:rsid w:val="005031F1"/>
    <w:rsid w:val="00512034"/>
    <w:rsid w:val="00512A0A"/>
    <w:rsid w:val="00512CDE"/>
    <w:rsid w:val="00516433"/>
    <w:rsid w:val="00517F20"/>
    <w:rsid w:val="00522DEB"/>
    <w:rsid w:val="005258A7"/>
    <w:rsid w:val="005330B6"/>
    <w:rsid w:val="005332D8"/>
    <w:rsid w:val="0053693A"/>
    <w:rsid w:val="00550484"/>
    <w:rsid w:val="005524F1"/>
    <w:rsid w:val="0056028E"/>
    <w:rsid w:val="00561532"/>
    <w:rsid w:val="00562CC1"/>
    <w:rsid w:val="00564FAA"/>
    <w:rsid w:val="00572CC0"/>
    <w:rsid w:val="00574FA8"/>
    <w:rsid w:val="00576BC0"/>
    <w:rsid w:val="00580276"/>
    <w:rsid w:val="00581E7C"/>
    <w:rsid w:val="00582F16"/>
    <w:rsid w:val="00586DA2"/>
    <w:rsid w:val="00587526"/>
    <w:rsid w:val="00590B7D"/>
    <w:rsid w:val="00590F5B"/>
    <w:rsid w:val="005934C1"/>
    <w:rsid w:val="005947E9"/>
    <w:rsid w:val="005A5703"/>
    <w:rsid w:val="005A5CEB"/>
    <w:rsid w:val="005A76BA"/>
    <w:rsid w:val="005B3B3D"/>
    <w:rsid w:val="005C48A9"/>
    <w:rsid w:val="005C4A42"/>
    <w:rsid w:val="005C6020"/>
    <w:rsid w:val="005C7813"/>
    <w:rsid w:val="005D01E3"/>
    <w:rsid w:val="005E339E"/>
    <w:rsid w:val="005E7FA6"/>
    <w:rsid w:val="005F1E24"/>
    <w:rsid w:val="005F2033"/>
    <w:rsid w:val="005F4EDD"/>
    <w:rsid w:val="0060216E"/>
    <w:rsid w:val="00604EAC"/>
    <w:rsid w:val="006067FC"/>
    <w:rsid w:val="0061031E"/>
    <w:rsid w:val="00610A0E"/>
    <w:rsid w:val="00611561"/>
    <w:rsid w:val="006168CC"/>
    <w:rsid w:val="00617BF6"/>
    <w:rsid w:val="00621C9F"/>
    <w:rsid w:val="0062399C"/>
    <w:rsid w:val="00627B2F"/>
    <w:rsid w:val="00636B27"/>
    <w:rsid w:val="00640264"/>
    <w:rsid w:val="00642B69"/>
    <w:rsid w:val="00643425"/>
    <w:rsid w:val="006441A5"/>
    <w:rsid w:val="00656036"/>
    <w:rsid w:val="00663302"/>
    <w:rsid w:val="00663BDE"/>
    <w:rsid w:val="00664958"/>
    <w:rsid w:val="00666474"/>
    <w:rsid w:val="00672114"/>
    <w:rsid w:val="00673315"/>
    <w:rsid w:val="00677855"/>
    <w:rsid w:val="00680B24"/>
    <w:rsid w:val="006867B4"/>
    <w:rsid w:val="006911AB"/>
    <w:rsid w:val="0069285F"/>
    <w:rsid w:val="00695DF8"/>
    <w:rsid w:val="0069654A"/>
    <w:rsid w:val="006A04EF"/>
    <w:rsid w:val="006A144F"/>
    <w:rsid w:val="006A1AAB"/>
    <w:rsid w:val="006B1209"/>
    <w:rsid w:val="006B37D1"/>
    <w:rsid w:val="006B5CE1"/>
    <w:rsid w:val="006B66A2"/>
    <w:rsid w:val="006B73EE"/>
    <w:rsid w:val="006C12F4"/>
    <w:rsid w:val="006C4B62"/>
    <w:rsid w:val="006C7A3D"/>
    <w:rsid w:val="006D3A14"/>
    <w:rsid w:val="006D3C4B"/>
    <w:rsid w:val="006D5A69"/>
    <w:rsid w:val="006D6C4D"/>
    <w:rsid w:val="006D79F1"/>
    <w:rsid w:val="006E29CC"/>
    <w:rsid w:val="006E2EAD"/>
    <w:rsid w:val="006E66A8"/>
    <w:rsid w:val="006F0AF5"/>
    <w:rsid w:val="006F2349"/>
    <w:rsid w:val="006F2508"/>
    <w:rsid w:val="006F2C63"/>
    <w:rsid w:val="0071364A"/>
    <w:rsid w:val="0071520D"/>
    <w:rsid w:val="00717B64"/>
    <w:rsid w:val="007206AB"/>
    <w:rsid w:val="007220B2"/>
    <w:rsid w:val="00723050"/>
    <w:rsid w:val="00725063"/>
    <w:rsid w:val="00726075"/>
    <w:rsid w:val="0074073D"/>
    <w:rsid w:val="0074519C"/>
    <w:rsid w:val="007454D8"/>
    <w:rsid w:val="00753191"/>
    <w:rsid w:val="007541D8"/>
    <w:rsid w:val="00762DA5"/>
    <w:rsid w:val="00763A14"/>
    <w:rsid w:val="0076507D"/>
    <w:rsid w:val="00765A54"/>
    <w:rsid w:val="00772DBE"/>
    <w:rsid w:val="0077643E"/>
    <w:rsid w:val="00776B90"/>
    <w:rsid w:val="0077736A"/>
    <w:rsid w:val="00777C1C"/>
    <w:rsid w:val="00777E9C"/>
    <w:rsid w:val="0078127D"/>
    <w:rsid w:val="007828D1"/>
    <w:rsid w:val="007849B2"/>
    <w:rsid w:val="00787059"/>
    <w:rsid w:val="00791799"/>
    <w:rsid w:val="0079399A"/>
    <w:rsid w:val="00796BC3"/>
    <w:rsid w:val="00796C32"/>
    <w:rsid w:val="00797DD5"/>
    <w:rsid w:val="007A29DE"/>
    <w:rsid w:val="007A334A"/>
    <w:rsid w:val="007A63C5"/>
    <w:rsid w:val="007B2AE7"/>
    <w:rsid w:val="007B768F"/>
    <w:rsid w:val="007C0A61"/>
    <w:rsid w:val="007C2CA1"/>
    <w:rsid w:val="007C3000"/>
    <w:rsid w:val="007D163E"/>
    <w:rsid w:val="007D5A15"/>
    <w:rsid w:val="007D79E2"/>
    <w:rsid w:val="007E1F34"/>
    <w:rsid w:val="007E3141"/>
    <w:rsid w:val="007E4EDB"/>
    <w:rsid w:val="007E5267"/>
    <w:rsid w:val="007E6998"/>
    <w:rsid w:val="007E6B9C"/>
    <w:rsid w:val="007F0B50"/>
    <w:rsid w:val="007F4909"/>
    <w:rsid w:val="007F502F"/>
    <w:rsid w:val="007F761A"/>
    <w:rsid w:val="007F7841"/>
    <w:rsid w:val="00800DB1"/>
    <w:rsid w:val="00803CB5"/>
    <w:rsid w:val="008060C1"/>
    <w:rsid w:val="00806DFD"/>
    <w:rsid w:val="00807288"/>
    <w:rsid w:val="00810159"/>
    <w:rsid w:val="008106F3"/>
    <w:rsid w:val="00811969"/>
    <w:rsid w:val="00814C69"/>
    <w:rsid w:val="00816B95"/>
    <w:rsid w:val="00821C00"/>
    <w:rsid w:val="00824DA5"/>
    <w:rsid w:val="008255D0"/>
    <w:rsid w:val="008302F6"/>
    <w:rsid w:val="00834B53"/>
    <w:rsid w:val="008356B0"/>
    <w:rsid w:val="00837A0B"/>
    <w:rsid w:val="00837EAD"/>
    <w:rsid w:val="00840341"/>
    <w:rsid w:val="0084194A"/>
    <w:rsid w:val="008440EB"/>
    <w:rsid w:val="00844653"/>
    <w:rsid w:val="0084595B"/>
    <w:rsid w:val="0084780F"/>
    <w:rsid w:val="00852F91"/>
    <w:rsid w:val="008531D2"/>
    <w:rsid w:val="00856116"/>
    <w:rsid w:val="0085624F"/>
    <w:rsid w:val="008615D8"/>
    <w:rsid w:val="00861C14"/>
    <w:rsid w:val="008642A7"/>
    <w:rsid w:val="0086686F"/>
    <w:rsid w:val="00872014"/>
    <w:rsid w:val="00880AEB"/>
    <w:rsid w:val="00887752"/>
    <w:rsid w:val="008877C8"/>
    <w:rsid w:val="008907C8"/>
    <w:rsid w:val="00895812"/>
    <w:rsid w:val="00895D36"/>
    <w:rsid w:val="00897BC6"/>
    <w:rsid w:val="008A0B70"/>
    <w:rsid w:val="008A10F3"/>
    <w:rsid w:val="008A7AC6"/>
    <w:rsid w:val="008B0779"/>
    <w:rsid w:val="008B194B"/>
    <w:rsid w:val="008C119E"/>
    <w:rsid w:val="008C21A8"/>
    <w:rsid w:val="008C3888"/>
    <w:rsid w:val="008C39D6"/>
    <w:rsid w:val="008C43E9"/>
    <w:rsid w:val="008D102F"/>
    <w:rsid w:val="008D12CD"/>
    <w:rsid w:val="008D2C42"/>
    <w:rsid w:val="008D4CCA"/>
    <w:rsid w:val="008D695C"/>
    <w:rsid w:val="008D7B54"/>
    <w:rsid w:val="008E1138"/>
    <w:rsid w:val="008E21CD"/>
    <w:rsid w:val="008E297E"/>
    <w:rsid w:val="008E30F2"/>
    <w:rsid w:val="008F0769"/>
    <w:rsid w:val="008F48C0"/>
    <w:rsid w:val="008F4D55"/>
    <w:rsid w:val="008F75B1"/>
    <w:rsid w:val="00900629"/>
    <w:rsid w:val="0090075A"/>
    <w:rsid w:val="00907B2A"/>
    <w:rsid w:val="009177BA"/>
    <w:rsid w:val="00923773"/>
    <w:rsid w:val="00924E22"/>
    <w:rsid w:val="009276A9"/>
    <w:rsid w:val="00932C9E"/>
    <w:rsid w:val="00935FF9"/>
    <w:rsid w:val="00941D22"/>
    <w:rsid w:val="00942AE3"/>
    <w:rsid w:val="009458DB"/>
    <w:rsid w:val="00946B44"/>
    <w:rsid w:val="009606CA"/>
    <w:rsid w:val="00962B9C"/>
    <w:rsid w:val="00962CB2"/>
    <w:rsid w:val="009673AE"/>
    <w:rsid w:val="00970CA4"/>
    <w:rsid w:val="0097383A"/>
    <w:rsid w:val="009851BB"/>
    <w:rsid w:val="00992CDD"/>
    <w:rsid w:val="00992EF1"/>
    <w:rsid w:val="0099624C"/>
    <w:rsid w:val="009A0A9F"/>
    <w:rsid w:val="009A134E"/>
    <w:rsid w:val="009A3BC6"/>
    <w:rsid w:val="009A4677"/>
    <w:rsid w:val="009A7186"/>
    <w:rsid w:val="009B02ED"/>
    <w:rsid w:val="009B7189"/>
    <w:rsid w:val="009C0A48"/>
    <w:rsid w:val="009C5B0D"/>
    <w:rsid w:val="009C6F48"/>
    <w:rsid w:val="009D19F7"/>
    <w:rsid w:val="009D3A7E"/>
    <w:rsid w:val="009D3E46"/>
    <w:rsid w:val="009D7066"/>
    <w:rsid w:val="009E2FB7"/>
    <w:rsid w:val="009E3EDF"/>
    <w:rsid w:val="009E6C3F"/>
    <w:rsid w:val="009F289F"/>
    <w:rsid w:val="009F4072"/>
    <w:rsid w:val="009F7EED"/>
    <w:rsid w:val="00A0486F"/>
    <w:rsid w:val="00A04FD7"/>
    <w:rsid w:val="00A07E50"/>
    <w:rsid w:val="00A11707"/>
    <w:rsid w:val="00A11E43"/>
    <w:rsid w:val="00A16C05"/>
    <w:rsid w:val="00A2546C"/>
    <w:rsid w:val="00A25B0F"/>
    <w:rsid w:val="00A30B9D"/>
    <w:rsid w:val="00A3464B"/>
    <w:rsid w:val="00A371EB"/>
    <w:rsid w:val="00A42055"/>
    <w:rsid w:val="00A43AB8"/>
    <w:rsid w:val="00A4790F"/>
    <w:rsid w:val="00A47B22"/>
    <w:rsid w:val="00A47BEA"/>
    <w:rsid w:val="00A501CE"/>
    <w:rsid w:val="00A50A63"/>
    <w:rsid w:val="00A517FE"/>
    <w:rsid w:val="00A57EFB"/>
    <w:rsid w:val="00A6369B"/>
    <w:rsid w:val="00A63F7C"/>
    <w:rsid w:val="00A66C77"/>
    <w:rsid w:val="00A70A7A"/>
    <w:rsid w:val="00A73B15"/>
    <w:rsid w:val="00A7541E"/>
    <w:rsid w:val="00A755A2"/>
    <w:rsid w:val="00A768F9"/>
    <w:rsid w:val="00A80C08"/>
    <w:rsid w:val="00A83919"/>
    <w:rsid w:val="00A861A5"/>
    <w:rsid w:val="00A96375"/>
    <w:rsid w:val="00A9799A"/>
    <w:rsid w:val="00AA0869"/>
    <w:rsid w:val="00AA3E88"/>
    <w:rsid w:val="00AA4F18"/>
    <w:rsid w:val="00AA7AA7"/>
    <w:rsid w:val="00AB0B3B"/>
    <w:rsid w:val="00AB37C7"/>
    <w:rsid w:val="00AB6FB4"/>
    <w:rsid w:val="00AC267D"/>
    <w:rsid w:val="00AC3AD8"/>
    <w:rsid w:val="00AD00D8"/>
    <w:rsid w:val="00AD07B7"/>
    <w:rsid w:val="00AD116B"/>
    <w:rsid w:val="00AD753D"/>
    <w:rsid w:val="00AE01B2"/>
    <w:rsid w:val="00AE175B"/>
    <w:rsid w:val="00AE1CB0"/>
    <w:rsid w:val="00AE1D18"/>
    <w:rsid w:val="00AF1F60"/>
    <w:rsid w:val="00AF3749"/>
    <w:rsid w:val="00AF50CA"/>
    <w:rsid w:val="00AF5D91"/>
    <w:rsid w:val="00B04D56"/>
    <w:rsid w:val="00B05096"/>
    <w:rsid w:val="00B06C0A"/>
    <w:rsid w:val="00B10399"/>
    <w:rsid w:val="00B14831"/>
    <w:rsid w:val="00B17F26"/>
    <w:rsid w:val="00B202E1"/>
    <w:rsid w:val="00B20682"/>
    <w:rsid w:val="00B220EA"/>
    <w:rsid w:val="00B24FCF"/>
    <w:rsid w:val="00B30DE2"/>
    <w:rsid w:val="00B32C41"/>
    <w:rsid w:val="00B33F4D"/>
    <w:rsid w:val="00B37195"/>
    <w:rsid w:val="00B403F9"/>
    <w:rsid w:val="00B420A0"/>
    <w:rsid w:val="00B42DEA"/>
    <w:rsid w:val="00B46FB1"/>
    <w:rsid w:val="00B47C96"/>
    <w:rsid w:val="00B56945"/>
    <w:rsid w:val="00B635F8"/>
    <w:rsid w:val="00B640CD"/>
    <w:rsid w:val="00B6433F"/>
    <w:rsid w:val="00B646A0"/>
    <w:rsid w:val="00B655FC"/>
    <w:rsid w:val="00B76367"/>
    <w:rsid w:val="00B76D75"/>
    <w:rsid w:val="00B866AA"/>
    <w:rsid w:val="00B8761D"/>
    <w:rsid w:val="00B8761F"/>
    <w:rsid w:val="00B904FD"/>
    <w:rsid w:val="00B91C38"/>
    <w:rsid w:val="00BA0A8F"/>
    <w:rsid w:val="00BA0CEC"/>
    <w:rsid w:val="00BA4498"/>
    <w:rsid w:val="00BA49E8"/>
    <w:rsid w:val="00BA4BE8"/>
    <w:rsid w:val="00BB78FD"/>
    <w:rsid w:val="00BB7949"/>
    <w:rsid w:val="00BC4630"/>
    <w:rsid w:val="00BC74D5"/>
    <w:rsid w:val="00BC7B91"/>
    <w:rsid w:val="00BD000F"/>
    <w:rsid w:val="00BD1A02"/>
    <w:rsid w:val="00BD3637"/>
    <w:rsid w:val="00BD46D7"/>
    <w:rsid w:val="00BD767C"/>
    <w:rsid w:val="00BF0FEB"/>
    <w:rsid w:val="00BF2A9C"/>
    <w:rsid w:val="00C01371"/>
    <w:rsid w:val="00C02871"/>
    <w:rsid w:val="00C045A6"/>
    <w:rsid w:val="00C070F2"/>
    <w:rsid w:val="00C07AB1"/>
    <w:rsid w:val="00C10487"/>
    <w:rsid w:val="00C124A3"/>
    <w:rsid w:val="00C133CD"/>
    <w:rsid w:val="00C14AF5"/>
    <w:rsid w:val="00C15460"/>
    <w:rsid w:val="00C2055B"/>
    <w:rsid w:val="00C2059D"/>
    <w:rsid w:val="00C22A12"/>
    <w:rsid w:val="00C252A3"/>
    <w:rsid w:val="00C307BE"/>
    <w:rsid w:val="00C3324F"/>
    <w:rsid w:val="00C37D32"/>
    <w:rsid w:val="00C43112"/>
    <w:rsid w:val="00C448E6"/>
    <w:rsid w:val="00C45B90"/>
    <w:rsid w:val="00C50CB4"/>
    <w:rsid w:val="00C56030"/>
    <w:rsid w:val="00C57101"/>
    <w:rsid w:val="00C61A27"/>
    <w:rsid w:val="00C649A0"/>
    <w:rsid w:val="00C673A6"/>
    <w:rsid w:val="00C7058D"/>
    <w:rsid w:val="00C706BA"/>
    <w:rsid w:val="00C73384"/>
    <w:rsid w:val="00C736C5"/>
    <w:rsid w:val="00C76476"/>
    <w:rsid w:val="00C777A7"/>
    <w:rsid w:val="00C801DF"/>
    <w:rsid w:val="00C84F80"/>
    <w:rsid w:val="00C90750"/>
    <w:rsid w:val="00C91F89"/>
    <w:rsid w:val="00C95E3D"/>
    <w:rsid w:val="00CA0707"/>
    <w:rsid w:val="00CB3045"/>
    <w:rsid w:val="00CB5755"/>
    <w:rsid w:val="00CB6E28"/>
    <w:rsid w:val="00CC29A4"/>
    <w:rsid w:val="00CC2EDB"/>
    <w:rsid w:val="00CC4C45"/>
    <w:rsid w:val="00CC5F44"/>
    <w:rsid w:val="00CD1CF3"/>
    <w:rsid w:val="00CD6811"/>
    <w:rsid w:val="00CD7EB6"/>
    <w:rsid w:val="00CE086C"/>
    <w:rsid w:val="00CE0878"/>
    <w:rsid w:val="00CE1AFA"/>
    <w:rsid w:val="00CE1ECB"/>
    <w:rsid w:val="00CE4154"/>
    <w:rsid w:val="00CE610F"/>
    <w:rsid w:val="00CE6728"/>
    <w:rsid w:val="00CF3DEE"/>
    <w:rsid w:val="00CF6C20"/>
    <w:rsid w:val="00CF6D91"/>
    <w:rsid w:val="00D0053F"/>
    <w:rsid w:val="00D07970"/>
    <w:rsid w:val="00D13D13"/>
    <w:rsid w:val="00D13D52"/>
    <w:rsid w:val="00D16414"/>
    <w:rsid w:val="00D21F6B"/>
    <w:rsid w:val="00D33B43"/>
    <w:rsid w:val="00D33DA6"/>
    <w:rsid w:val="00D361D8"/>
    <w:rsid w:val="00D37B77"/>
    <w:rsid w:val="00D400E9"/>
    <w:rsid w:val="00D56657"/>
    <w:rsid w:val="00D57081"/>
    <w:rsid w:val="00D649FE"/>
    <w:rsid w:val="00D7508A"/>
    <w:rsid w:val="00D820C4"/>
    <w:rsid w:val="00D90B2B"/>
    <w:rsid w:val="00D90FE5"/>
    <w:rsid w:val="00D9205A"/>
    <w:rsid w:val="00D95491"/>
    <w:rsid w:val="00DA1B2F"/>
    <w:rsid w:val="00DA2BAB"/>
    <w:rsid w:val="00DA35A2"/>
    <w:rsid w:val="00DA3B59"/>
    <w:rsid w:val="00DA4F70"/>
    <w:rsid w:val="00DA60E3"/>
    <w:rsid w:val="00DB6590"/>
    <w:rsid w:val="00DC18CE"/>
    <w:rsid w:val="00DC2009"/>
    <w:rsid w:val="00DC3099"/>
    <w:rsid w:val="00DC3E8F"/>
    <w:rsid w:val="00DC5806"/>
    <w:rsid w:val="00DC5E0F"/>
    <w:rsid w:val="00DD0E5E"/>
    <w:rsid w:val="00DD19C5"/>
    <w:rsid w:val="00DD4093"/>
    <w:rsid w:val="00DD538C"/>
    <w:rsid w:val="00DD6326"/>
    <w:rsid w:val="00DE0A1C"/>
    <w:rsid w:val="00DE4427"/>
    <w:rsid w:val="00DE588F"/>
    <w:rsid w:val="00DE66A4"/>
    <w:rsid w:val="00DF44BF"/>
    <w:rsid w:val="00E027FB"/>
    <w:rsid w:val="00E03D0A"/>
    <w:rsid w:val="00E07218"/>
    <w:rsid w:val="00E07A00"/>
    <w:rsid w:val="00E07A9E"/>
    <w:rsid w:val="00E153B0"/>
    <w:rsid w:val="00E16C02"/>
    <w:rsid w:val="00E17811"/>
    <w:rsid w:val="00E200B4"/>
    <w:rsid w:val="00E201A5"/>
    <w:rsid w:val="00E25A7F"/>
    <w:rsid w:val="00E276BB"/>
    <w:rsid w:val="00E345BD"/>
    <w:rsid w:val="00E37C62"/>
    <w:rsid w:val="00E40057"/>
    <w:rsid w:val="00E40A43"/>
    <w:rsid w:val="00E41FCB"/>
    <w:rsid w:val="00E428E7"/>
    <w:rsid w:val="00E445E8"/>
    <w:rsid w:val="00E45762"/>
    <w:rsid w:val="00E46F39"/>
    <w:rsid w:val="00E47BA6"/>
    <w:rsid w:val="00E514FA"/>
    <w:rsid w:val="00E53D2A"/>
    <w:rsid w:val="00E655FB"/>
    <w:rsid w:val="00E67222"/>
    <w:rsid w:val="00E71BAC"/>
    <w:rsid w:val="00E81198"/>
    <w:rsid w:val="00E853AD"/>
    <w:rsid w:val="00E86B9C"/>
    <w:rsid w:val="00E91AB6"/>
    <w:rsid w:val="00E93A75"/>
    <w:rsid w:val="00E95650"/>
    <w:rsid w:val="00EA092E"/>
    <w:rsid w:val="00EA2CD8"/>
    <w:rsid w:val="00EA7DBC"/>
    <w:rsid w:val="00EB4904"/>
    <w:rsid w:val="00EB49E0"/>
    <w:rsid w:val="00EC0CAB"/>
    <w:rsid w:val="00EC49FB"/>
    <w:rsid w:val="00EC7FDE"/>
    <w:rsid w:val="00ED2350"/>
    <w:rsid w:val="00ED277C"/>
    <w:rsid w:val="00ED3287"/>
    <w:rsid w:val="00ED38A6"/>
    <w:rsid w:val="00ED4DE5"/>
    <w:rsid w:val="00ED5429"/>
    <w:rsid w:val="00EE4272"/>
    <w:rsid w:val="00EF48C0"/>
    <w:rsid w:val="00EF5A7E"/>
    <w:rsid w:val="00F00E92"/>
    <w:rsid w:val="00F02D0C"/>
    <w:rsid w:val="00F13ABF"/>
    <w:rsid w:val="00F1533D"/>
    <w:rsid w:val="00F17110"/>
    <w:rsid w:val="00F1760C"/>
    <w:rsid w:val="00F210D9"/>
    <w:rsid w:val="00F24E42"/>
    <w:rsid w:val="00F3183C"/>
    <w:rsid w:val="00F35943"/>
    <w:rsid w:val="00F40794"/>
    <w:rsid w:val="00F40EBB"/>
    <w:rsid w:val="00F42284"/>
    <w:rsid w:val="00F473D4"/>
    <w:rsid w:val="00F52578"/>
    <w:rsid w:val="00F60A0B"/>
    <w:rsid w:val="00F622DF"/>
    <w:rsid w:val="00F62EA7"/>
    <w:rsid w:val="00F651F5"/>
    <w:rsid w:val="00F65534"/>
    <w:rsid w:val="00F669AF"/>
    <w:rsid w:val="00F81ACB"/>
    <w:rsid w:val="00F86290"/>
    <w:rsid w:val="00F867B9"/>
    <w:rsid w:val="00F901FB"/>
    <w:rsid w:val="00F92EC1"/>
    <w:rsid w:val="00F93179"/>
    <w:rsid w:val="00F95BCD"/>
    <w:rsid w:val="00FA0641"/>
    <w:rsid w:val="00FA147D"/>
    <w:rsid w:val="00FA4639"/>
    <w:rsid w:val="00FC28CA"/>
    <w:rsid w:val="00FC44FE"/>
    <w:rsid w:val="00FC580D"/>
    <w:rsid w:val="00FC5FC3"/>
    <w:rsid w:val="00FC64FB"/>
    <w:rsid w:val="00FC6671"/>
    <w:rsid w:val="00FD1A64"/>
    <w:rsid w:val="00FD4EF1"/>
    <w:rsid w:val="00FD4F03"/>
    <w:rsid w:val="00FD6EB3"/>
    <w:rsid w:val="00FF5842"/>
    <w:rsid w:val="00FF75B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5C970"/>
  <w15:docId w15:val="{9E715EAB-A73C-4961-B497-00DADA07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7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font317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Enfasidelicata1">
    <w:name w:val="Enfasi delicata1"/>
    <w:rPr>
      <w:i/>
      <w:iCs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font317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pPr>
      <w:tabs>
        <w:tab w:val="left" w:pos="360"/>
        <w:tab w:val="right" w:leader="dot" w:pos="9060"/>
      </w:tabs>
      <w:spacing w:after="120" w:line="360" w:lineRule="auto"/>
      <w:ind w:left="360" w:hanging="360"/>
    </w:pPr>
    <w:rPr>
      <w:rFonts w:ascii="Verdana" w:eastAsia="Times New Roman" w:hAnsi="Verdana" w:cs="Times New Roman"/>
      <w:bCs/>
      <w:sz w:val="24"/>
      <w:szCs w:val="24"/>
    </w:rPr>
  </w:style>
  <w:style w:type="paragraph" w:styleId="Sommario2">
    <w:name w:val="toc 2"/>
    <w:basedOn w:val="Normale"/>
    <w:pPr>
      <w:tabs>
        <w:tab w:val="left" w:pos="960"/>
        <w:tab w:val="right" w:leader="dot" w:pos="9060"/>
      </w:tabs>
      <w:spacing w:after="12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1455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705C"/>
    <w:rPr>
      <w:rFonts w:ascii="Calibri" w:eastAsia="SimSun" w:hAnsi="Calibri" w:cs="font317"/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49705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files/2010/09/Linee-Guida-Qualit%C3%A0-_v.1.1_I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files/2010/09/Linee-Guida-fonte-amministrativa-v1.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91CE-47D0-4561-9B26-12E4AD60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13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19453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http://www.istat.it/it/strumenti/qualit%C3%A0-dei-dati/linee-guida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http://www.istat.it/it/files/2010/09/Linee-Guida-fonte-amministrativa-v1.1.pdf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http://www.istat.it/it/files/2010/09/Linee-Guida-Qualit%C3%A0-_v.1.1_IT.pdf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</dc:creator>
  <cp:lastModifiedBy>laura pezzola</cp:lastModifiedBy>
  <cp:revision>194</cp:revision>
  <cp:lastPrinted>2020-03-03T11:39:00Z</cp:lastPrinted>
  <dcterms:created xsi:type="dcterms:W3CDTF">2019-07-09T09:34:00Z</dcterms:created>
  <dcterms:modified xsi:type="dcterms:W3CDTF">2020-04-29T11:32:00Z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